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rPr>
      </w:pPr>
      <w:r>
        <w:rPr>
          <w:rFonts w:hint="eastAsia" w:hAnsi="宋体"/>
          <w:b/>
          <w:sz w:val="52"/>
          <w:szCs w:val="52"/>
        </w:rPr>
        <w:t>自主竞争性谈判文件</w:t>
      </w:r>
    </w:p>
    <w:p>
      <w:pPr>
        <w:pStyle w:val="25"/>
        <w:adjustRightInd w:val="0"/>
        <w:snapToGrid w:val="0"/>
        <w:spacing w:beforeLines="50" w:line="360" w:lineRule="auto"/>
        <w:rPr>
          <w:rFonts w:hAnsi="宋体"/>
          <w:b/>
          <w:sz w:val="32"/>
          <w:szCs w:val="32"/>
        </w:rPr>
      </w:pPr>
    </w:p>
    <w:p>
      <w:pPr>
        <w:pStyle w:val="25"/>
        <w:adjustRightInd w:val="0"/>
        <w:snapToGrid w:val="0"/>
        <w:spacing w:line="360" w:lineRule="auto"/>
        <w:rPr>
          <w:rFonts w:hAnsi="宋体"/>
          <w:sz w:val="32"/>
          <w:szCs w:val="32"/>
        </w:rPr>
      </w:pPr>
    </w:p>
    <w:p>
      <w:pPr>
        <w:spacing w:line="360" w:lineRule="auto"/>
        <w:ind w:left="2249" w:hanging="2249" w:hangingChars="700"/>
        <w:jc w:val="left"/>
        <w:rPr>
          <w:rFonts w:ascii="宋体" w:hAnsi="宋体" w:cs="Courier New"/>
          <w:b/>
          <w:sz w:val="32"/>
          <w:szCs w:val="21"/>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长沙市轨道交通1、2号线公务车采购项目（2019年度）</w:t>
      </w:r>
    </w:p>
    <w:p>
      <w:pPr>
        <w:spacing w:line="360" w:lineRule="auto"/>
        <w:ind w:left="1470" w:hanging="2249" w:hangingChars="700"/>
        <w:jc w:val="left"/>
        <w:rPr>
          <w:rFonts w:ascii="宋体" w:hAnsi="宋体" w:cs="Courier New"/>
          <w:b/>
          <w:sz w:val="32"/>
          <w:szCs w:val="21"/>
          <w:highlight w:val="none"/>
        </w:rPr>
      </w:pPr>
    </w:p>
    <w:p>
      <w:pPr>
        <w:pStyle w:val="25"/>
        <w:adjustRightInd w:val="0"/>
        <w:snapToGrid w:val="0"/>
        <w:spacing w:line="360" w:lineRule="auto"/>
        <w:rPr>
          <w:rFonts w:hint="eastAsia" w:hAnsi="宋体" w:eastAsia="宋体"/>
          <w:b/>
          <w:sz w:val="32"/>
          <w:highlight w:val="none"/>
          <w:lang w:val="en-US" w:eastAsia="zh-CN"/>
        </w:rPr>
      </w:pPr>
      <w:r>
        <w:rPr>
          <w:rFonts w:hint="eastAsia" w:hAnsi="宋体"/>
          <w:b/>
          <w:sz w:val="32"/>
          <w:highlight w:val="none"/>
        </w:rPr>
        <w:t>采购单位名称</w:t>
      </w:r>
      <w:r>
        <w:rPr>
          <w:rFonts w:hint="eastAsia" w:hAnsi="宋体"/>
          <w:b/>
          <w:sz w:val="32"/>
          <w:highlight w:val="none"/>
          <w:lang w:eastAsia="zh-CN"/>
        </w:rPr>
        <w:t>：</w:t>
      </w:r>
      <w:r>
        <w:rPr>
          <w:rFonts w:hint="eastAsia" w:hAnsi="宋体"/>
          <w:b/>
          <w:sz w:val="32"/>
          <w:highlight w:val="none"/>
          <w:u w:val="single"/>
          <w:lang w:eastAsia="zh-CN"/>
        </w:rPr>
        <w:t>长沙市轨道交通运营有限公司</w:t>
      </w:r>
    </w:p>
    <w:p>
      <w:pPr>
        <w:pStyle w:val="25"/>
        <w:adjustRightInd w:val="0"/>
        <w:snapToGrid w:val="0"/>
        <w:spacing w:line="360" w:lineRule="auto"/>
        <w:ind w:firstLine="2249" w:firstLineChars="700"/>
        <w:rPr>
          <w:rFonts w:hAnsi="宋体"/>
          <w:b/>
          <w:color w:val="auto"/>
          <w:sz w:val="32"/>
          <w:highlight w:val="none"/>
        </w:rPr>
      </w:pPr>
      <w:r>
        <w:rPr>
          <w:rFonts w:hint="eastAsia" w:hAnsi="宋体"/>
          <w:b/>
          <w:color w:val="auto"/>
          <w:sz w:val="32"/>
          <w:highlight w:val="none"/>
          <w:u w:val="single"/>
        </w:rPr>
        <w:t>长沙市轨道交通</w:t>
      </w:r>
      <w:r>
        <w:rPr>
          <w:rFonts w:hint="eastAsia" w:hAnsi="宋体"/>
          <w:b/>
          <w:color w:val="auto"/>
          <w:sz w:val="32"/>
          <w:highlight w:val="none"/>
          <w:u w:val="single"/>
          <w:lang w:eastAsia="zh-CN"/>
        </w:rPr>
        <w:t>一</w:t>
      </w:r>
      <w:r>
        <w:rPr>
          <w:rFonts w:hint="eastAsia" w:hAnsi="宋体"/>
          <w:b/>
          <w:color w:val="auto"/>
          <w:sz w:val="32"/>
          <w:highlight w:val="none"/>
          <w:u w:val="single"/>
        </w:rPr>
        <w:t>号线建设发展有限公司</w:t>
      </w:r>
    </w:p>
    <w:p>
      <w:pPr>
        <w:pStyle w:val="25"/>
        <w:adjustRightInd w:val="0"/>
        <w:snapToGrid w:val="0"/>
        <w:spacing w:line="360" w:lineRule="auto"/>
        <w:rPr>
          <w:rFonts w:hAnsi="宋体"/>
          <w:b/>
          <w:sz w:val="32"/>
          <w:highlight w:val="none"/>
        </w:rPr>
      </w:pPr>
    </w:p>
    <w:p>
      <w:pPr>
        <w:pStyle w:val="25"/>
        <w:adjustRightInd w:val="0"/>
        <w:snapToGrid w:val="0"/>
        <w:spacing w:line="360" w:lineRule="auto"/>
        <w:rPr>
          <w:rFonts w:hAnsi="宋体"/>
          <w:b/>
          <w:color w:val="FF0000"/>
          <w:sz w:val="32"/>
          <w:highlight w:val="none"/>
          <w:u w:val="single"/>
        </w:rPr>
      </w:pPr>
      <w:r>
        <w:rPr>
          <w:rFonts w:hint="eastAsia" w:hAnsi="宋体"/>
          <w:b/>
          <w:sz w:val="32"/>
          <w:highlight w:val="none"/>
        </w:rPr>
        <w:t>谈判项目编号：</w:t>
      </w:r>
      <w:r>
        <w:rPr>
          <w:rFonts w:hint="eastAsia" w:hAnsi="宋体"/>
          <w:b/>
          <w:color w:val="auto"/>
          <w:sz w:val="32"/>
          <w:highlight w:val="none"/>
          <w:u w:val="single"/>
        </w:rPr>
        <w:t>长轨运</w:t>
      </w:r>
      <w:r>
        <w:rPr>
          <w:rFonts w:hint="eastAsia" w:hAnsi="宋体"/>
          <w:b/>
          <w:color w:val="auto"/>
          <w:sz w:val="32"/>
          <w:highlight w:val="none"/>
          <w:u w:val="single"/>
          <w:lang w:eastAsia="zh-CN"/>
        </w:rPr>
        <w:t>物</w:t>
      </w:r>
      <w:r>
        <w:rPr>
          <w:rFonts w:hint="eastAsia" w:hAnsi="宋体"/>
          <w:b/>
          <w:color w:val="auto"/>
          <w:sz w:val="32"/>
          <w:highlight w:val="none"/>
          <w:u w:val="single"/>
        </w:rPr>
        <w:t>采【2019】</w:t>
      </w:r>
      <w:r>
        <w:rPr>
          <w:rFonts w:hint="eastAsia" w:hAnsi="宋体"/>
          <w:b/>
          <w:color w:val="auto"/>
          <w:sz w:val="32"/>
          <w:highlight w:val="none"/>
          <w:u w:val="single"/>
          <w:lang w:val="en-US" w:eastAsia="zh-CN"/>
        </w:rPr>
        <w:t>34</w:t>
      </w:r>
      <w:r>
        <w:rPr>
          <w:rFonts w:hint="eastAsia" w:hAnsi="宋体"/>
          <w:b/>
          <w:color w:val="auto"/>
          <w:sz w:val="32"/>
          <w:highlight w:val="none"/>
          <w:u w:val="single"/>
        </w:rPr>
        <w:t>号</w:t>
      </w:r>
    </w:p>
    <w:p>
      <w:pPr>
        <w:pStyle w:val="25"/>
        <w:adjustRightInd w:val="0"/>
        <w:snapToGrid w:val="0"/>
        <w:spacing w:beforeLines="50" w:line="360" w:lineRule="auto"/>
        <w:rPr>
          <w:rFonts w:hAnsi="宋体"/>
          <w:b/>
          <w:sz w:val="32"/>
          <w:szCs w:val="32"/>
        </w:rPr>
      </w:pPr>
    </w:p>
    <w:p>
      <w:pPr>
        <w:pStyle w:val="25"/>
        <w:adjustRightInd w:val="0"/>
        <w:snapToGrid w:val="0"/>
        <w:spacing w:beforeLines="50" w:line="360" w:lineRule="auto"/>
        <w:rPr>
          <w:rFonts w:hAnsi="宋体"/>
          <w:b/>
          <w:sz w:val="32"/>
          <w:szCs w:val="32"/>
        </w:rPr>
      </w:pPr>
    </w:p>
    <w:p>
      <w:pPr>
        <w:pStyle w:val="25"/>
        <w:adjustRightInd w:val="0"/>
        <w:snapToGrid w:val="0"/>
        <w:spacing w:line="360" w:lineRule="auto"/>
        <w:rPr>
          <w:rFonts w:hAnsi="宋体"/>
          <w:b/>
          <w:sz w:val="32"/>
        </w:rPr>
      </w:pPr>
    </w:p>
    <w:p>
      <w:pPr>
        <w:pStyle w:val="25"/>
        <w:adjustRightInd w:val="0"/>
        <w:snapToGrid w:val="0"/>
        <w:spacing w:line="360" w:lineRule="auto"/>
        <w:rPr>
          <w:rFonts w:hAnsi="宋体"/>
          <w:b/>
          <w:sz w:val="32"/>
        </w:rPr>
      </w:pPr>
    </w:p>
    <w:p>
      <w:pPr>
        <w:pStyle w:val="25"/>
        <w:adjustRightInd w:val="0"/>
        <w:snapToGrid w:val="0"/>
        <w:spacing w:line="360" w:lineRule="auto"/>
        <w:rPr>
          <w:rFonts w:hAnsi="宋体"/>
          <w:b/>
          <w:sz w:val="32"/>
        </w:rPr>
      </w:pPr>
    </w:p>
    <w:p>
      <w:pPr>
        <w:pStyle w:val="25"/>
        <w:adjustRightInd w:val="0"/>
        <w:snapToGrid w:val="0"/>
        <w:spacing w:line="360" w:lineRule="auto"/>
        <w:rPr>
          <w:rFonts w:hAnsi="宋体"/>
          <w:bCs/>
          <w:sz w:val="32"/>
        </w:rPr>
      </w:pPr>
    </w:p>
    <w:p>
      <w:pPr>
        <w:pStyle w:val="25"/>
        <w:adjustRightInd w:val="0"/>
        <w:snapToGrid w:val="0"/>
        <w:spacing w:line="360" w:lineRule="auto"/>
        <w:jc w:val="center"/>
        <w:rPr>
          <w:rFonts w:hAnsi="宋体"/>
          <w:bCs/>
          <w:sz w:val="32"/>
        </w:rPr>
      </w:pPr>
      <w:r>
        <w:rPr>
          <w:rFonts w:hint="eastAsia" w:hAnsi="宋体"/>
          <w:b/>
          <w:sz w:val="32"/>
          <w:u w:val="single"/>
        </w:rPr>
        <w:t>二〇一九</w:t>
      </w:r>
      <w:r>
        <w:rPr>
          <w:rFonts w:hint="eastAsia" w:hAnsi="宋体"/>
          <w:b/>
          <w:sz w:val="32"/>
        </w:rPr>
        <w:t>年</w:t>
      </w:r>
      <w:r>
        <w:rPr>
          <w:rFonts w:hint="eastAsia" w:hAnsi="宋体"/>
          <w:b/>
          <w:sz w:val="32"/>
          <w:u w:val="single"/>
        </w:rPr>
        <w:t>九</w:t>
      </w:r>
      <w:r>
        <w:rPr>
          <w:rFonts w:hint="eastAsia" w:hAnsi="宋体"/>
          <w:b/>
          <w:sz w:val="32"/>
        </w:rPr>
        <w:t>月</w:t>
      </w:r>
    </w:p>
    <w:p>
      <w:pPr>
        <w:pStyle w:val="25"/>
        <w:adjustRightInd w:val="0"/>
        <w:snapToGrid w:val="0"/>
        <w:spacing w:line="360" w:lineRule="auto"/>
        <w:jc w:val="center"/>
        <w:rPr>
          <w:rFonts w:hAnsi="宋体"/>
          <w:b/>
          <w:sz w:val="32"/>
        </w:rPr>
      </w:pPr>
    </w:p>
    <w:p>
      <w:pPr>
        <w:pStyle w:val="25"/>
        <w:adjustRightInd w:val="0"/>
        <w:snapToGrid w:val="0"/>
        <w:spacing w:line="360" w:lineRule="auto"/>
        <w:jc w:val="center"/>
        <w:rPr>
          <w:rFonts w:hAnsi="宋体"/>
          <w:b/>
          <w:sz w:val="32"/>
        </w:rPr>
        <w:sectPr>
          <w:pgSz w:w="11906" w:h="16838"/>
          <w:pgMar w:top="1440" w:right="1797" w:bottom="1440" w:left="1797" w:header="851" w:footer="851" w:gutter="0"/>
          <w:pgNumType w:start="1"/>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2"/>
        <w:tabs>
          <w:tab w:val="right" w:leader="dot" w:pos="8312"/>
        </w:tabs>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fldChar w:fldCharType="begin"/>
      </w:r>
      <w:r>
        <w:instrText xml:space="preserve"> HYPERLINK \l "_Toc12297" </w:instrText>
      </w:r>
      <w:r>
        <w:fldChar w:fldCharType="separate"/>
      </w:r>
      <w:r>
        <w:rPr>
          <w:rFonts w:hint="eastAsia" w:ascii="宋体" w:hAnsi="宋体" w:cs="宋体"/>
          <w:szCs w:val="32"/>
        </w:rPr>
        <w:t>第一章  谈判邀请公告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_Toc12297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"_Toc24592"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_Toc24592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"_Toc3316" </w:instrText>
      </w:r>
      <w:r>
        <w:fldChar w:fldCharType="separate"/>
      </w:r>
      <w:r>
        <w:rPr>
          <w:rFonts w:hint="eastAsia" w:ascii="宋体" w:hAnsi="宋体" w:cs="宋体"/>
          <w:szCs w:val="32"/>
        </w:rPr>
        <w:t>谈判须知前附表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_Toc3316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"_Toc16143" </w:instrText>
      </w:r>
      <w:r>
        <w:fldChar w:fldCharType="separate"/>
      </w:r>
      <w:r>
        <w:rPr>
          <w:rFonts w:hint="eastAsia" w:ascii="宋体" w:hAnsi="宋体" w:cs="宋体"/>
          <w:bCs/>
          <w:szCs w:val="32"/>
        </w:rPr>
        <w:t>谈判须知正文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_Toc16143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"_Toc28504" </w:instrText>
      </w:r>
      <w:r>
        <w:fldChar w:fldCharType="separate"/>
      </w:r>
      <w:r>
        <w:rPr>
          <w:rFonts w:hint="eastAsia" w:ascii="宋体" w:hAnsi="宋体" w:cs="宋体"/>
          <w:szCs w:val="21"/>
        </w:rPr>
        <w:t>一、说明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_Toc28504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"_Toc30689" </w:instrText>
      </w:r>
      <w:r>
        <w:fldChar w:fldCharType="separate"/>
      </w:r>
      <w:r>
        <w:rPr>
          <w:rFonts w:hint="eastAsia" w:ascii="宋体" w:hAnsi="宋体" w:cs="宋体"/>
          <w:szCs w:val="21"/>
        </w:rPr>
        <w:t>二、谈判文件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_Toc30689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"_Toc2701" </w:instrText>
      </w:r>
      <w:r>
        <w:fldChar w:fldCharType="separate"/>
      </w:r>
      <w:r>
        <w:rPr>
          <w:rFonts w:hint="eastAsia" w:ascii="宋体" w:hAnsi="宋体" w:cs="宋体"/>
          <w:szCs w:val="21"/>
        </w:rPr>
        <w:t>三、响应文件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_Toc2701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"_Toc9319" </w:instrText>
      </w:r>
      <w:r>
        <w:fldChar w:fldCharType="separate"/>
      </w:r>
      <w:r>
        <w:rPr>
          <w:rFonts w:hint="eastAsia" w:ascii="宋体" w:hAnsi="宋体" w:cs="宋体"/>
          <w:szCs w:val="21"/>
        </w:rPr>
        <w:t>四、响应文件的递交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_Toc9319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"_Toc7470" </w:instrText>
      </w:r>
      <w:r>
        <w:fldChar w:fldCharType="separate"/>
      </w:r>
      <w:r>
        <w:rPr>
          <w:rFonts w:hint="eastAsia" w:ascii="宋体" w:hAnsi="宋体" w:cs="宋体"/>
          <w:szCs w:val="21"/>
        </w:rPr>
        <w:t>五、响应文件的评审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_Toc7470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"_Toc27657" </w:instrText>
      </w:r>
      <w:r>
        <w:fldChar w:fldCharType="separate"/>
      </w:r>
      <w:r>
        <w:rPr>
          <w:rFonts w:hint="eastAsia" w:ascii="宋体" w:hAnsi="宋体" w:cs="宋体"/>
          <w:szCs w:val="21"/>
        </w:rPr>
        <w:t>六、响应文件的澄清、说明及补正</w:t>
      </w:r>
      <w:r>
        <w:rPr>
          <w:rFonts w:hint="eastAsia" w:ascii="宋体" w:hAnsi="宋体" w:cs="宋体"/>
        </w:rPr>
        <w:tab/>
      </w:r>
      <w:r>
        <w:rPr>
          <w:rFonts w:hint="eastAsia" w:ascii="宋体" w:hAnsi="宋体" w:cs="宋体"/>
          <w:lang w:val="en-US" w:eastAsia="zh-CN"/>
        </w:rPr>
        <w:t>8</w:t>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"_Toc28503" </w:instrText>
      </w:r>
      <w:r>
        <w:fldChar w:fldCharType="separate"/>
      </w:r>
      <w:r>
        <w:rPr>
          <w:rFonts w:hint="eastAsia" w:ascii="宋体" w:hAnsi="宋体" w:cs="宋体"/>
          <w:szCs w:val="21"/>
        </w:rPr>
        <w:t>七、中选结果与授予合同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_Toc28503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"_Toc894" </w:instrText>
      </w:r>
      <w:r>
        <w:fldChar w:fldCharType="separate"/>
      </w:r>
      <w:r>
        <w:rPr>
          <w:rFonts w:hint="eastAsia" w:ascii="宋体" w:hAnsi="宋体" w:cs="宋体"/>
          <w:szCs w:val="21"/>
        </w:rPr>
        <w:t>八、其他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_Toc894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"_Toc25542"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_Toc25542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"_Toc18407"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_Toc18407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"_Toc15112" </w:instrText>
      </w:r>
      <w:r>
        <w:fldChar w:fldCharType="separate"/>
      </w:r>
      <w:r>
        <w:rPr>
          <w:rFonts w:hint="eastAsia" w:ascii="宋体" w:hAnsi="宋体" w:cs="宋体"/>
          <w:szCs w:val="32"/>
        </w:rPr>
        <w:t>第五章  合同格式条款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_Toc15112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hint="eastAsia" w:ascii="宋体" w:hAnsi="宋体" w:eastAsia="宋体" w:cs="宋体"/>
          <w:lang w:val="en-US" w:eastAsia="zh-CN"/>
        </w:rPr>
      </w:pPr>
      <w:r>
        <w:fldChar w:fldCharType="begin"/>
      </w:r>
      <w:r>
        <w:instrText xml:space="preserve"> HYPERLINK \l "_Toc14277" </w:instrText>
      </w:r>
      <w:r>
        <w:fldChar w:fldCharType="separate"/>
      </w:r>
      <w:r>
        <w:rPr>
          <w:rFonts w:hint="eastAsia" w:ascii="宋体" w:hAnsi="宋体" w:cs="宋体"/>
          <w:szCs w:val="32"/>
        </w:rPr>
        <w:t xml:space="preserve">第六章  </w:t>
      </w:r>
      <w:r>
        <w:rPr>
          <w:rFonts w:hint="eastAsia" w:ascii="宋体" w:hAnsi="宋体" w:cs="宋体"/>
          <w:bCs/>
          <w:szCs w:val="32"/>
        </w:rPr>
        <w:t>响应文件组成</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3</w:t>
      </w:r>
    </w:p>
    <w:p>
      <w:pPr>
        <w:pStyle w:val="37"/>
        <w:tabs>
          <w:tab w:val="right" w:leader="dot" w:pos="8312"/>
        </w:tabs>
        <w:spacing w:line="360" w:lineRule="auto"/>
        <w:rPr>
          <w:rFonts w:hint="eastAsia" w:ascii="宋体" w:hAnsi="宋体" w:eastAsia="宋体" w:cs="宋体"/>
          <w:lang w:val="en-US" w:eastAsia="zh-CN"/>
        </w:rPr>
      </w:pPr>
      <w:r>
        <w:fldChar w:fldCharType="begin"/>
      </w:r>
      <w:r>
        <w:instrText xml:space="preserve"> HYPERLINK \l "_Toc24865" </w:instrText>
      </w:r>
      <w:r>
        <w:fldChar w:fldCharType="separate"/>
      </w:r>
      <w:r>
        <w:rPr>
          <w:rFonts w:hint="eastAsia" w:ascii="宋体" w:hAnsi="宋体" w:cs="宋体"/>
          <w:szCs w:val="32"/>
        </w:rPr>
        <w:t>一、谈判承诺书</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5</w:t>
      </w:r>
    </w:p>
    <w:p>
      <w:pPr>
        <w:pStyle w:val="37"/>
        <w:tabs>
          <w:tab w:val="right" w:leader="dot" w:pos="8312"/>
        </w:tabs>
        <w:spacing w:line="360" w:lineRule="auto"/>
        <w:rPr>
          <w:rFonts w:hint="eastAsia" w:ascii="宋体" w:hAnsi="宋体" w:eastAsia="宋体" w:cs="宋体"/>
          <w:lang w:val="en-US" w:eastAsia="zh-CN"/>
        </w:rPr>
      </w:pPr>
      <w:r>
        <w:fldChar w:fldCharType="begin"/>
      </w:r>
      <w:r>
        <w:instrText xml:space="preserve"> HYPERLINK \l "_Toc24714" </w:instrText>
      </w:r>
      <w:r>
        <w:fldChar w:fldCharType="separate"/>
      </w:r>
      <w:r>
        <w:rPr>
          <w:rFonts w:hint="eastAsia" w:ascii="宋体" w:hAnsi="宋体" w:cs="宋体"/>
          <w:szCs w:val="32"/>
        </w:rPr>
        <w:t>二、法定代表人身份证明书</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6</w:t>
      </w:r>
    </w:p>
    <w:p>
      <w:pPr>
        <w:pStyle w:val="37"/>
        <w:tabs>
          <w:tab w:val="right" w:leader="dot" w:pos="8312"/>
        </w:tabs>
        <w:spacing w:line="360" w:lineRule="auto"/>
        <w:rPr>
          <w:rFonts w:hint="eastAsia" w:ascii="宋体" w:hAnsi="宋体" w:eastAsia="宋体" w:cs="宋体"/>
          <w:lang w:val="en-US" w:eastAsia="zh-CN"/>
        </w:rPr>
      </w:pPr>
      <w:r>
        <w:fldChar w:fldCharType="begin"/>
      </w:r>
      <w:r>
        <w:instrText xml:space="preserve"> HYPERLINK \l "_Toc8518" </w:instrText>
      </w:r>
      <w:r>
        <w:fldChar w:fldCharType="separate"/>
      </w:r>
      <w:r>
        <w:rPr>
          <w:rFonts w:hint="eastAsia" w:ascii="宋体" w:hAnsi="宋体" w:cs="宋体"/>
          <w:szCs w:val="32"/>
        </w:rPr>
        <w:t>三、授权委托书</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7</w:t>
      </w:r>
    </w:p>
    <w:p>
      <w:pPr>
        <w:pStyle w:val="37"/>
        <w:tabs>
          <w:tab w:val="right" w:leader="dot" w:pos="8312"/>
        </w:tabs>
        <w:spacing w:line="360" w:lineRule="auto"/>
        <w:rPr>
          <w:rFonts w:hint="eastAsia" w:ascii="宋体" w:hAnsi="宋体" w:eastAsia="宋体" w:cs="宋体"/>
          <w:lang w:val="en-US" w:eastAsia="zh-CN"/>
        </w:rPr>
      </w:pPr>
      <w:r>
        <w:fldChar w:fldCharType="begin"/>
      </w:r>
      <w:r>
        <w:instrText xml:space="preserve"> HYPERLINK \l "_Toc19933" </w:instrText>
      </w:r>
      <w:r>
        <w:fldChar w:fldCharType="separate"/>
      </w:r>
      <w:r>
        <w:rPr>
          <w:rFonts w:hint="eastAsia" w:ascii="宋体" w:hAnsi="宋体" w:cs="宋体"/>
          <w:szCs w:val="32"/>
        </w:rPr>
        <w:t>四、谈判单位资格证明文件</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8</w:t>
      </w:r>
    </w:p>
    <w:p>
      <w:pPr>
        <w:pStyle w:val="37"/>
        <w:tabs>
          <w:tab w:val="right" w:leader="dot" w:pos="8312"/>
        </w:tabs>
        <w:spacing w:line="360" w:lineRule="auto"/>
        <w:rPr>
          <w:rFonts w:hint="eastAsia" w:ascii="宋体" w:hAnsi="宋体" w:eastAsia="宋体" w:cs="宋体"/>
          <w:lang w:val="en-US" w:eastAsia="zh-CN"/>
        </w:rPr>
      </w:pPr>
      <w:r>
        <w:fldChar w:fldCharType="begin"/>
      </w:r>
      <w:r>
        <w:instrText xml:space="preserve"> HYPERLINK \l "_Toc12228" </w:instrText>
      </w:r>
      <w:r>
        <w:fldChar w:fldCharType="separate"/>
      </w:r>
      <w:r>
        <w:rPr>
          <w:rFonts w:hint="eastAsia" w:ascii="宋体" w:hAnsi="宋体" w:cs="宋体"/>
          <w:szCs w:val="32"/>
        </w:rPr>
        <w:t>五、报价一览表</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9</w:t>
      </w:r>
    </w:p>
    <w:p>
      <w:pPr>
        <w:pStyle w:val="37"/>
        <w:tabs>
          <w:tab w:val="right" w:leader="dot" w:pos="8312"/>
        </w:tabs>
        <w:spacing w:line="360" w:lineRule="auto"/>
        <w:rPr>
          <w:rFonts w:hint="eastAsia" w:ascii="宋体" w:hAnsi="宋体" w:eastAsia="宋体" w:cs="宋体"/>
          <w:lang w:val="en-US" w:eastAsia="zh-CN"/>
        </w:rPr>
      </w:pPr>
      <w:r>
        <w:fldChar w:fldCharType="begin"/>
      </w:r>
      <w:r>
        <w:instrText xml:space="preserve"> HYPERLINK \l "_Toc18535" </w:instrText>
      </w:r>
      <w:r>
        <w:fldChar w:fldCharType="separate"/>
      </w:r>
      <w:r>
        <w:rPr>
          <w:rFonts w:hint="eastAsia" w:ascii="宋体" w:hAnsi="宋体" w:cs="宋体"/>
          <w:szCs w:val="32"/>
        </w:rPr>
        <w:t>六、分项价格表</w:t>
      </w:r>
      <w:r>
        <w:rPr>
          <w:rFonts w:hint="eastAsia" w:ascii="宋体" w:hAnsi="宋体" w:cs="宋体"/>
        </w:rPr>
        <w:tab/>
      </w:r>
      <w:r>
        <w:rPr>
          <w:rFonts w:hint="eastAsia" w:ascii="宋体" w:hAnsi="宋体" w:cs="宋体"/>
          <w:lang w:val="en-US" w:eastAsia="zh-CN"/>
        </w:rPr>
        <w:t>4</w:t>
      </w:r>
      <w:r>
        <w:rPr>
          <w:rFonts w:hint="eastAsia" w:ascii="宋体" w:hAnsi="宋体" w:cs="宋体"/>
        </w:rPr>
        <w:fldChar w:fldCharType="end"/>
      </w:r>
      <w:r>
        <w:rPr>
          <w:rFonts w:hint="eastAsia" w:ascii="宋体" w:hAnsi="宋体" w:cs="宋体"/>
          <w:lang w:val="en-US" w:eastAsia="zh-CN"/>
        </w:rPr>
        <w:t>0</w:t>
      </w:r>
    </w:p>
    <w:p>
      <w:pPr>
        <w:pStyle w:val="37"/>
        <w:tabs>
          <w:tab w:val="right" w:leader="dot" w:pos="8312"/>
        </w:tabs>
        <w:spacing w:line="360" w:lineRule="auto"/>
        <w:rPr>
          <w:rFonts w:hint="eastAsia" w:ascii="宋体" w:hAnsi="宋体" w:eastAsia="宋体" w:cs="宋体"/>
          <w:lang w:val="en-US" w:eastAsia="zh-CN"/>
        </w:rPr>
      </w:pPr>
      <w:r>
        <w:fldChar w:fldCharType="begin"/>
      </w:r>
      <w:r>
        <w:instrText xml:space="preserve"> HYPERLINK \l "_Toc22350" </w:instrText>
      </w:r>
      <w:r>
        <w:fldChar w:fldCharType="separate"/>
      </w:r>
      <w:r>
        <w:rPr>
          <w:rFonts w:hint="eastAsia" w:ascii="宋体" w:hAnsi="宋体" w:cs="宋体"/>
          <w:szCs w:val="32"/>
        </w:rPr>
        <w:t>七、其他资料（如有）</w:t>
      </w:r>
      <w:r>
        <w:rPr>
          <w:rFonts w:hint="eastAsia" w:ascii="宋体" w:hAnsi="宋体" w:cs="宋体"/>
        </w:rPr>
        <w:tab/>
      </w:r>
      <w:r>
        <w:rPr>
          <w:rFonts w:hint="eastAsia" w:ascii="宋体" w:hAnsi="宋体" w:cs="宋体"/>
          <w:lang w:val="en-US" w:eastAsia="zh-CN"/>
        </w:rPr>
        <w:t>4</w:t>
      </w:r>
      <w:r>
        <w:rPr>
          <w:rFonts w:hint="eastAsia" w:ascii="宋体" w:hAnsi="宋体" w:cs="宋体"/>
        </w:rPr>
        <w:fldChar w:fldCharType="end"/>
      </w:r>
      <w:r>
        <w:rPr>
          <w:rFonts w:hint="eastAsia" w:ascii="宋体" w:hAnsi="宋体" w:cs="宋体"/>
          <w:lang w:val="en-US" w:eastAsia="zh-CN"/>
        </w:rPr>
        <w:t>1</w:t>
      </w:r>
    </w:p>
    <w:p>
      <w:pPr>
        <w:spacing w:line="360" w:lineRule="auto"/>
        <w:rPr>
          <w:rFonts w:ascii="宋体" w:hAnsi="宋体"/>
        </w:rPr>
      </w:pPr>
      <w:r>
        <w:rPr>
          <w:rFonts w:hint="eastAsia" w:ascii="宋体" w:hAnsi="宋体" w:cs="宋体"/>
        </w:rPr>
        <w:fldChar w:fldCharType="end"/>
      </w:r>
    </w:p>
    <w:p>
      <w:pPr>
        <w:pStyle w:val="3"/>
        <w:keepNext w:val="0"/>
        <w:rPr>
          <w:rFonts w:ascii="宋体" w:hAnsi="宋体" w:cs="宋体"/>
          <w:sz w:val="32"/>
          <w:szCs w:val="32"/>
        </w:rPr>
        <w:sectPr>
          <w:footerReference r:id="rId3" w:type="default"/>
          <w:pgSz w:w="11906" w:h="16838"/>
          <w:pgMar w:top="1440" w:right="1797" w:bottom="1440" w:left="1797" w:header="851" w:footer="851" w:gutter="0"/>
          <w:cols w:space="720" w:num="1"/>
          <w:docGrid w:linePitch="312" w:charSpace="0"/>
        </w:sectPr>
      </w:pPr>
      <w:bookmarkStart w:id="1" w:name="_Toc29614"/>
      <w:bookmarkStart w:id="2" w:name="_Toc501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cs="宋体"/>
          <w:b/>
          <w:bCs/>
          <w:sz w:val="32"/>
          <w:szCs w:val="32"/>
        </w:rPr>
      </w:pPr>
      <w:bookmarkStart w:id="3" w:name="_Toc13376"/>
      <w:bookmarkStart w:id="4" w:name="_Toc12297"/>
      <w:r>
        <w:rPr>
          <w:rFonts w:hint="eastAsia" w:ascii="宋体" w:hAnsi="宋体" w:cs="宋体"/>
          <w:b/>
          <w:bCs/>
          <w:sz w:val="32"/>
          <w:szCs w:val="32"/>
        </w:rPr>
        <w:t>第一章  谈判邀请公告</w:t>
      </w:r>
      <w:bookmarkEnd w:id="0"/>
      <w:bookmarkEnd w:id="1"/>
      <w:bookmarkEnd w:id="2"/>
      <w:bookmarkEnd w:id="3"/>
      <w:bookmarkEnd w:id="4"/>
    </w:p>
    <w:p>
      <w:pPr>
        <w:pStyle w:val="25"/>
        <w:keepNext w:val="0"/>
        <w:keepLines w:val="0"/>
        <w:pageBreakBefore w:val="0"/>
        <w:kinsoku/>
        <w:wordWrap/>
        <w:overflowPunct/>
        <w:topLinePunct w:val="0"/>
        <w:bidi w:val="0"/>
        <w:adjustRightInd w:val="0"/>
        <w:snapToGrid w:val="0"/>
        <w:spacing w:line="360" w:lineRule="auto"/>
        <w:outlineLvl w:val="9"/>
        <w:rPr>
          <w:rFonts w:hAnsi="宋体"/>
          <w:iCs/>
          <w:u w:val="single"/>
        </w:rPr>
      </w:pPr>
    </w:p>
    <w:p>
      <w:pPr>
        <w:keepNext w:val="0"/>
        <w:keepLines w:val="0"/>
        <w:pageBreakBefore w:val="0"/>
        <w:kinsoku/>
        <w:wordWrap/>
        <w:overflowPunct/>
        <w:topLinePunct w:val="0"/>
        <w:bidi w:val="0"/>
        <w:spacing w:line="360" w:lineRule="auto"/>
        <w:ind w:firstLine="420" w:firstLineChars="200"/>
        <w:jc w:val="left"/>
        <w:outlineLvl w:val="9"/>
        <w:rPr>
          <w:rFonts w:ascii="宋体" w:hAnsi="宋体" w:cs="宋体"/>
          <w:iCs/>
          <w:color w:val="auto"/>
          <w:szCs w:val="21"/>
          <w:u w:val="single"/>
        </w:rPr>
      </w:pPr>
      <w:r>
        <w:rPr>
          <w:rFonts w:hint="eastAsia" w:ascii="宋体" w:hAnsi="宋体" w:cs="宋体"/>
          <w:iCs/>
          <w:color w:val="auto"/>
          <w:szCs w:val="21"/>
          <w:u w:val="single"/>
        </w:rPr>
        <w:t>湖南新泉工程造价咨询有限公司</w:t>
      </w:r>
      <w:r>
        <w:rPr>
          <w:rFonts w:hint="eastAsia" w:ascii="宋体" w:hAnsi="宋体" w:cs="宋体"/>
          <w:color w:val="auto"/>
          <w:szCs w:val="21"/>
        </w:rPr>
        <w:t>受</w:t>
      </w:r>
      <w:r>
        <w:rPr>
          <w:rFonts w:hint="eastAsia" w:ascii="宋体" w:hAnsi="宋体" w:cs="宋体"/>
          <w:color w:val="auto"/>
          <w:szCs w:val="21"/>
          <w:u w:val="single"/>
          <w:lang w:eastAsia="zh-CN"/>
        </w:rPr>
        <w:t>长沙市轨道交通运营有限公司、</w:t>
      </w:r>
      <w:r>
        <w:rPr>
          <w:rFonts w:hint="eastAsia" w:ascii="宋体" w:hAnsi="宋体" w:cs="宋体"/>
          <w:iCs/>
          <w:color w:val="auto"/>
          <w:szCs w:val="21"/>
          <w:u w:val="single"/>
        </w:rPr>
        <w:t>长沙市轨道交通</w:t>
      </w:r>
      <w:r>
        <w:rPr>
          <w:rFonts w:hint="eastAsia" w:ascii="宋体" w:hAnsi="宋体" w:cs="宋体"/>
          <w:iCs/>
          <w:color w:val="auto"/>
          <w:szCs w:val="21"/>
          <w:u w:val="single"/>
          <w:lang w:eastAsia="zh-CN"/>
        </w:rPr>
        <w:t>一</w:t>
      </w:r>
      <w:r>
        <w:rPr>
          <w:rFonts w:hint="eastAsia" w:ascii="宋体" w:hAnsi="宋体" w:cs="宋体"/>
          <w:iCs/>
          <w:color w:val="auto"/>
          <w:szCs w:val="21"/>
          <w:u w:val="single"/>
        </w:rPr>
        <w:t>号线建设发展有限公司</w:t>
      </w:r>
      <w:r>
        <w:rPr>
          <w:rFonts w:hint="eastAsia" w:ascii="宋体" w:hAnsi="宋体" w:cs="宋体"/>
          <w:color w:val="auto"/>
          <w:szCs w:val="21"/>
        </w:rPr>
        <w:t>的委托，</w:t>
      </w:r>
      <w:r>
        <w:rPr>
          <w:rFonts w:hint="eastAsia" w:ascii="宋体" w:hAnsi="宋体" w:cs="宋体"/>
          <w:iCs/>
          <w:color w:val="auto"/>
          <w:szCs w:val="21"/>
        </w:rPr>
        <w:t>对</w:t>
      </w:r>
      <w:r>
        <w:rPr>
          <w:rFonts w:hint="eastAsia" w:ascii="宋体" w:hAnsi="宋体" w:cs="宋体"/>
          <w:iCs/>
          <w:color w:val="auto"/>
          <w:szCs w:val="21"/>
          <w:u w:val="single"/>
        </w:rPr>
        <w:t>长沙市轨道交通1、2号线公务车采购项目（2019年度）</w:t>
      </w:r>
      <w:r>
        <w:rPr>
          <w:rFonts w:hint="eastAsia" w:ascii="宋体" w:hAnsi="宋体" w:cs="宋体"/>
          <w:iCs/>
          <w:color w:val="auto"/>
          <w:szCs w:val="21"/>
        </w:rPr>
        <w:t>进行自主竞争性谈判采购，现发布公告，邀请符合条件的单位参与谈判采购活动。</w:t>
      </w:r>
    </w:p>
    <w:p>
      <w:pPr>
        <w:pStyle w:val="25"/>
        <w:keepNext w:val="0"/>
        <w:keepLines w:val="0"/>
        <w:pageBreakBefore w:val="0"/>
        <w:kinsoku/>
        <w:wordWrap/>
        <w:overflowPunct/>
        <w:topLinePunct w:val="0"/>
        <w:bidi w:val="0"/>
        <w:adjustRightInd w:val="0"/>
        <w:snapToGrid w:val="0"/>
        <w:spacing w:line="360" w:lineRule="auto"/>
        <w:ind w:firstLine="422" w:firstLineChars="200"/>
        <w:outlineLvl w:val="9"/>
        <w:rPr>
          <w:rFonts w:hAnsi="宋体" w:cs="宋体"/>
          <w:b/>
          <w:iCs/>
          <w:color w:val="auto"/>
        </w:rPr>
      </w:pPr>
      <w:r>
        <w:rPr>
          <w:rFonts w:hint="eastAsia" w:hAnsi="宋体" w:cs="宋体"/>
          <w:b/>
          <w:iCs/>
          <w:color w:val="auto"/>
        </w:rPr>
        <w:t>一、项目概况</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cs="宋体"/>
          <w:b/>
          <w:iCs/>
          <w:color w:val="auto"/>
        </w:rPr>
      </w:pPr>
      <w:r>
        <w:rPr>
          <w:rFonts w:hint="eastAsia" w:hAnsi="宋体" w:cs="宋体"/>
          <w:iCs/>
          <w:color w:val="auto"/>
        </w:rPr>
        <w:t>1.项目名称：长沙市轨道交通1、2号线公务车采购项目（2019年度）</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cs="宋体"/>
          <w:iCs/>
          <w:color w:val="auto"/>
        </w:rPr>
      </w:pPr>
      <w:r>
        <w:rPr>
          <w:rFonts w:hint="eastAsia" w:hAnsi="宋体" w:cs="宋体"/>
          <w:iCs/>
          <w:color w:val="auto"/>
        </w:rPr>
        <w:t>2.项目</w:t>
      </w:r>
      <w:r>
        <w:rPr>
          <w:rFonts w:hint="eastAsia" w:hAnsi="宋体" w:cs="宋体"/>
          <w:iCs/>
          <w:color w:val="auto"/>
          <w:lang w:eastAsia="zh-CN"/>
        </w:rPr>
        <w:t>预算</w:t>
      </w:r>
      <w:r>
        <w:rPr>
          <w:rFonts w:hint="eastAsia" w:hAnsi="宋体" w:cs="宋体"/>
          <w:iCs/>
          <w:color w:val="auto"/>
        </w:rPr>
        <w:t>：1610000.00元</w:t>
      </w:r>
    </w:p>
    <w:p>
      <w:pPr>
        <w:keepNext w:val="0"/>
        <w:keepLines w:val="0"/>
        <w:pageBreakBefore w:val="0"/>
        <w:kinsoku/>
        <w:wordWrap/>
        <w:overflowPunct/>
        <w:topLinePunct w:val="0"/>
        <w:bidi w:val="0"/>
        <w:snapToGrid w:val="0"/>
        <w:spacing w:line="360" w:lineRule="auto"/>
        <w:ind w:firstLine="420" w:firstLineChars="200"/>
        <w:outlineLvl w:val="9"/>
        <w:rPr>
          <w:rFonts w:ascii="宋体" w:hAnsi="宋体" w:cs="宋体"/>
          <w:bCs/>
          <w:color w:val="auto"/>
          <w:szCs w:val="21"/>
        </w:rPr>
      </w:pPr>
      <w:r>
        <w:rPr>
          <w:rFonts w:hint="eastAsia" w:ascii="宋体" w:hAnsi="宋体" w:cs="宋体"/>
          <w:iCs/>
          <w:color w:val="auto"/>
          <w:szCs w:val="21"/>
        </w:rPr>
        <w:t>3.谈判内容：</w:t>
      </w:r>
      <w:r>
        <w:rPr>
          <w:rFonts w:hint="eastAsia" w:ascii="宋体" w:hAnsi="宋体" w:cs="宋体"/>
          <w:color w:val="auto"/>
        </w:rPr>
        <w:t>本次采购车辆选购上汽大通2019款V80 Plus商旅版加长轴高顶版7台</w:t>
      </w:r>
      <w:r>
        <w:rPr>
          <w:rFonts w:hint="eastAsia" w:ascii="宋体" w:hAnsi="宋体" w:cs="宋体"/>
          <w:color w:val="auto"/>
          <w:lang w:eastAsia="zh-CN"/>
        </w:rPr>
        <w:t>。</w:t>
      </w:r>
      <w:r>
        <w:rPr>
          <w:rFonts w:hint="eastAsia" w:ascii="宋体" w:hAnsi="宋体" w:eastAsia="宋体" w:cs="宋体"/>
          <w:iCs/>
          <w:color w:val="auto"/>
          <w:u w:val="none"/>
          <w:lang w:val="en-US" w:eastAsia="zh-CN"/>
        </w:rPr>
        <w:t>（具体详见用户需求书）</w:t>
      </w:r>
    </w:p>
    <w:p>
      <w:pPr>
        <w:keepNext w:val="0"/>
        <w:keepLines w:val="0"/>
        <w:pageBreakBefore w:val="0"/>
        <w:kinsoku/>
        <w:wordWrap/>
        <w:overflowPunct/>
        <w:topLinePunct w:val="0"/>
        <w:bidi w:val="0"/>
        <w:snapToGrid w:val="0"/>
        <w:spacing w:line="360" w:lineRule="auto"/>
        <w:ind w:firstLine="420" w:firstLineChars="200"/>
        <w:outlineLvl w:val="9"/>
        <w:rPr>
          <w:rFonts w:ascii="宋体" w:hAnsi="宋体" w:cs="宋体"/>
          <w:bCs/>
          <w:color w:val="auto"/>
          <w:szCs w:val="21"/>
        </w:rPr>
      </w:pPr>
      <w:r>
        <w:rPr>
          <w:rFonts w:hint="eastAsia" w:ascii="宋体" w:hAnsi="宋体" w:cs="宋体"/>
          <w:bCs/>
          <w:color w:val="auto"/>
          <w:szCs w:val="21"/>
        </w:rPr>
        <w:t>4.标段划分：共划分1</w:t>
      </w:r>
      <w:r>
        <w:rPr>
          <w:rFonts w:hint="eastAsia" w:ascii="宋体" w:hAnsi="宋体" w:cs="宋体"/>
          <w:color w:val="auto"/>
          <w:szCs w:val="21"/>
        </w:rPr>
        <w:t>个标段。</w:t>
      </w:r>
    </w:p>
    <w:p>
      <w:pPr>
        <w:keepNext w:val="0"/>
        <w:keepLines w:val="0"/>
        <w:pageBreakBefore w:val="0"/>
        <w:kinsoku/>
        <w:wordWrap/>
        <w:overflowPunct/>
        <w:topLinePunct w:val="0"/>
        <w:bidi w:val="0"/>
        <w:snapToGrid w:val="0"/>
        <w:spacing w:line="360" w:lineRule="auto"/>
        <w:ind w:firstLine="420" w:firstLineChars="200"/>
        <w:outlineLvl w:val="9"/>
        <w:rPr>
          <w:rFonts w:hint="eastAsia" w:ascii="宋体" w:hAnsi="宋体" w:cs="宋体"/>
          <w:bCs/>
          <w:color w:val="auto"/>
          <w:szCs w:val="21"/>
        </w:rPr>
      </w:pPr>
      <w:r>
        <w:rPr>
          <w:rFonts w:hint="eastAsia" w:ascii="宋体" w:hAnsi="宋体" w:cs="宋体"/>
          <w:bCs/>
          <w:color w:val="auto"/>
          <w:szCs w:val="21"/>
        </w:rPr>
        <w:t>5.质保期：</w:t>
      </w:r>
    </w:p>
    <w:p>
      <w:pPr>
        <w:keepNext w:val="0"/>
        <w:keepLines w:val="0"/>
        <w:pageBreakBefore w:val="0"/>
        <w:kinsoku/>
        <w:wordWrap/>
        <w:overflowPunct/>
        <w:topLinePunct w:val="0"/>
        <w:bidi w:val="0"/>
        <w:snapToGrid w:val="0"/>
        <w:spacing w:line="360" w:lineRule="auto"/>
        <w:ind w:firstLine="420" w:firstLineChars="200"/>
        <w:outlineLvl w:val="9"/>
        <w:rPr>
          <w:rFonts w:hint="eastAsia" w:ascii="宋体" w:hAnsi="宋体" w:cs="宋体"/>
          <w:bCs/>
          <w:color w:val="auto"/>
          <w:szCs w:val="21"/>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1</w:t>
      </w:r>
      <w:r>
        <w:rPr>
          <w:rFonts w:hint="eastAsia" w:ascii="宋体" w:hAnsi="宋体" w:cs="宋体"/>
          <w:bCs/>
          <w:color w:val="auto"/>
          <w:szCs w:val="21"/>
          <w:lang w:eastAsia="zh-CN"/>
        </w:rPr>
        <w:t>）</w:t>
      </w:r>
      <w:r>
        <w:rPr>
          <w:rFonts w:hint="eastAsia" w:ascii="宋体" w:hAnsi="宋体" w:cs="宋体"/>
          <w:bCs/>
          <w:color w:val="auto"/>
          <w:szCs w:val="21"/>
        </w:rPr>
        <w:t>所投产品所有部件的质量保证及售后服务均由中标人负责；</w:t>
      </w:r>
    </w:p>
    <w:p>
      <w:pPr>
        <w:keepNext w:val="0"/>
        <w:keepLines w:val="0"/>
        <w:pageBreakBefore w:val="0"/>
        <w:kinsoku/>
        <w:wordWrap/>
        <w:overflowPunct/>
        <w:topLinePunct w:val="0"/>
        <w:bidi w:val="0"/>
        <w:snapToGrid w:val="0"/>
        <w:spacing w:line="360" w:lineRule="auto"/>
        <w:ind w:firstLine="420" w:firstLineChars="200"/>
        <w:outlineLvl w:val="9"/>
        <w:rPr>
          <w:rFonts w:hint="eastAsia" w:ascii="宋体" w:hAnsi="宋体" w:cs="宋体"/>
          <w:bCs/>
          <w:color w:val="auto"/>
          <w:szCs w:val="21"/>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2</w:t>
      </w:r>
      <w:r>
        <w:rPr>
          <w:rFonts w:hint="eastAsia" w:ascii="宋体" w:hAnsi="宋体" w:cs="宋体"/>
          <w:bCs/>
          <w:color w:val="auto"/>
          <w:szCs w:val="21"/>
          <w:lang w:eastAsia="zh-CN"/>
        </w:rPr>
        <w:t>）</w:t>
      </w:r>
      <w:r>
        <w:rPr>
          <w:rFonts w:hint="eastAsia" w:ascii="宋体" w:hAnsi="宋体" w:cs="宋体"/>
          <w:bCs/>
          <w:color w:val="auto"/>
          <w:szCs w:val="21"/>
        </w:rPr>
        <w:t>质保期从验收合格交付后开始计算,质保期3年或10万公里</w:t>
      </w:r>
      <w:r>
        <w:rPr>
          <w:rFonts w:hint="eastAsia" w:ascii="宋体" w:hAnsi="宋体" w:cs="宋体"/>
          <w:bCs/>
          <w:color w:val="auto"/>
          <w:szCs w:val="21"/>
          <w:lang w:eastAsia="zh-CN"/>
        </w:rPr>
        <w:t>（</w:t>
      </w:r>
      <w:r>
        <w:rPr>
          <w:rFonts w:hint="eastAsia" w:ascii="宋体" w:hAnsi="宋体" w:cs="宋体"/>
          <w:bCs/>
          <w:color w:val="auto"/>
          <w:szCs w:val="21"/>
        </w:rPr>
        <w:t>以先到为准），如中标人提供的质保期超出上述范围，以中标人承诺的期限为准</w:t>
      </w:r>
      <w:r>
        <w:rPr>
          <w:rFonts w:hint="eastAsia" w:ascii="宋体" w:hAnsi="宋体" w:cs="宋体"/>
          <w:bCs/>
          <w:color w:val="auto"/>
          <w:szCs w:val="21"/>
          <w:lang w:eastAsia="zh-CN"/>
        </w:rPr>
        <w:t>。</w:t>
      </w:r>
      <w:r>
        <w:rPr>
          <w:rFonts w:hint="eastAsia" w:ascii="宋体" w:hAnsi="宋体" w:cs="宋体"/>
          <w:bCs/>
          <w:color w:val="auto"/>
          <w:szCs w:val="21"/>
        </w:rPr>
        <w:t>（具体详见用户需求书）</w:t>
      </w:r>
    </w:p>
    <w:p>
      <w:pPr>
        <w:pStyle w:val="13"/>
        <w:keepNext w:val="0"/>
        <w:keepLines w:val="0"/>
        <w:pageBreakBefore w:val="0"/>
        <w:kinsoku/>
        <w:wordWrap/>
        <w:overflowPunct/>
        <w:topLinePunct w:val="0"/>
        <w:bidi w:val="0"/>
        <w:outlineLvl w:val="9"/>
        <w:rPr>
          <w:rFonts w:hint="eastAsia" w:ascii="宋体" w:hAnsi="宋体" w:eastAsia="宋体" w:cs="宋体"/>
          <w:color w:val="auto"/>
          <w:lang w:val="en-US" w:eastAsia="zh-CN"/>
        </w:rPr>
      </w:pPr>
      <w:r>
        <w:rPr>
          <w:rFonts w:hint="eastAsia" w:ascii="宋体" w:hAnsi="宋体" w:cs="宋体"/>
          <w:bCs/>
          <w:color w:val="auto"/>
          <w:szCs w:val="21"/>
          <w:lang w:val="en-US" w:eastAsia="zh-CN"/>
        </w:rPr>
        <w:t>6.供货期：</w:t>
      </w:r>
      <w:r>
        <w:rPr>
          <w:rFonts w:hint="eastAsia" w:ascii="宋体" w:hAnsi="宋体" w:eastAsia="宋体" w:cs="宋体"/>
          <w:color w:val="auto"/>
          <w:sz w:val="21"/>
          <w:szCs w:val="21"/>
        </w:rPr>
        <w:t>自招标人发出书面供货通知之日起35个工作日内完成供货。</w:t>
      </w:r>
    </w:p>
    <w:p>
      <w:pPr>
        <w:pStyle w:val="25"/>
        <w:keepNext w:val="0"/>
        <w:keepLines w:val="0"/>
        <w:pageBreakBefore w:val="0"/>
        <w:kinsoku/>
        <w:wordWrap/>
        <w:overflowPunct/>
        <w:topLinePunct w:val="0"/>
        <w:bidi w:val="0"/>
        <w:adjustRightInd w:val="0"/>
        <w:snapToGrid w:val="0"/>
        <w:spacing w:line="360" w:lineRule="auto"/>
        <w:ind w:firstLine="422" w:firstLineChars="200"/>
        <w:outlineLvl w:val="9"/>
        <w:rPr>
          <w:rFonts w:hAnsi="宋体" w:cs="宋体"/>
          <w:b/>
          <w:iCs/>
          <w:color w:val="auto"/>
        </w:rPr>
      </w:pPr>
      <w:r>
        <w:rPr>
          <w:rFonts w:hint="eastAsia" w:hAnsi="宋体" w:cs="宋体"/>
          <w:b/>
          <w:iCs/>
          <w:color w:val="auto"/>
        </w:rPr>
        <w:t>二、资格要求</w:t>
      </w:r>
    </w:p>
    <w:p>
      <w:pPr>
        <w:keepNext w:val="0"/>
        <w:keepLines w:val="0"/>
        <w:pageBreakBefore w:val="0"/>
        <w:widowControl/>
        <w:kinsoku/>
        <w:wordWrap/>
        <w:overflowPunct/>
        <w:topLinePunct w:val="0"/>
        <w:bidi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w:t>
      </w:r>
      <w:r>
        <w:rPr>
          <w:rFonts w:hint="eastAsia" w:ascii="宋体" w:hAnsi="宋体" w:cs="宋体"/>
          <w:iCs/>
          <w:color w:val="auto"/>
          <w:szCs w:val="21"/>
        </w:rPr>
        <w:t>谈判单位须为具有独立法人资格、自主经营、独立核算的公司，须提供营业执照副本原件。</w:t>
      </w:r>
    </w:p>
    <w:p>
      <w:pPr>
        <w:keepNext w:val="0"/>
        <w:keepLines w:val="0"/>
        <w:pageBreakBefore w:val="0"/>
        <w:kinsoku/>
        <w:wordWrap/>
        <w:overflowPunct/>
        <w:topLinePunct w:val="0"/>
        <w:bidi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2.谈判单位须为上汽大通的制造商或经销商或代理商</w:t>
      </w:r>
      <w:r>
        <w:rPr>
          <w:rFonts w:hint="eastAsia" w:ascii="宋体" w:hAnsi="宋体" w:cs="宋体"/>
          <w:color w:val="auto"/>
          <w:szCs w:val="21"/>
          <w:lang w:val="en-US" w:eastAsia="zh-CN"/>
        </w:rPr>
        <w:t>，</w:t>
      </w:r>
      <w:r>
        <w:rPr>
          <w:rFonts w:hint="eastAsia" w:ascii="宋体" w:hAnsi="宋体" w:cs="宋体"/>
          <w:color w:val="auto"/>
          <w:szCs w:val="21"/>
        </w:rPr>
        <w:t>须提供资格证明文件原件。</w:t>
      </w:r>
    </w:p>
    <w:p>
      <w:pPr>
        <w:keepNext w:val="0"/>
        <w:keepLines w:val="0"/>
        <w:pageBreakBefore w:val="0"/>
        <w:kinsoku/>
        <w:wordWrap/>
        <w:overflowPunct/>
        <w:topLinePunct w:val="0"/>
        <w:bidi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3.谈判单位在本项目响应文件递交截止之日前36个月内，在经营活动中没有重大违法记录，须提供加盖谈判单位公章的相关证明文件。</w:t>
      </w:r>
    </w:p>
    <w:p>
      <w:pPr>
        <w:keepNext w:val="0"/>
        <w:keepLines w:val="0"/>
        <w:pageBreakBefore w:val="0"/>
        <w:kinsoku/>
        <w:wordWrap/>
        <w:overflowPunct/>
        <w:topLinePunct w:val="0"/>
        <w:bidi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4.本项目谈判不接受联合体形式参与。</w:t>
      </w:r>
    </w:p>
    <w:p>
      <w:pPr>
        <w:keepNext w:val="0"/>
        <w:keepLines w:val="0"/>
        <w:pageBreakBefore w:val="0"/>
        <w:kinsoku/>
        <w:wordWrap/>
        <w:overflowPunct/>
        <w:topLinePunct w:val="0"/>
        <w:bidi w:val="0"/>
        <w:spacing w:line="360" w:lineRule="auto"/>
        <w:ind w:firstLine="420" w:firstLineChars="200"/>
        <w:outlineLvl w:val="9"/>
        <w:rPr>
          <w:rFonts w:ascii="宋体" w:hAnsi="宋体" w:cs="宋体"/>
          <w:iCs/>
          <w:color w:val="auto"/>
          <w:szCs w:val="21"/>
        </w:rPr>
      </w:pPr>
      <w:r>
        <w:rPr>
          <w:rFonts w:hint="eastAsia" w:ascii="宋体" w:hAnsi="宋体" w:cs="宋体"/>
          <w:color w:val="auto"/>
          <w:szCs w:val="21"/>
        </w:rPr>
        <w:t>5.被长沙市轨道交通集团函告禁止在一定期限内参与轨道公司项目投标或谈判的单位按函告内容执行。</w:t>
      </w:r>
    </w:p>
    <w:p>
      <w:pPr>
        <w:keepNext w:val="0"/>
        <w:keepLines w:val="0"/>
        <w:pageBreakBefore w:val="0"/>
        <w:kinsoku/>
        <w:wordWrap/>
        <w:overflowPunct/>
        <w:topLinePunct w:val="0"/>
        <w:bidi w:val="0"/>
        <w:spacing w:line="360" w:lineRule="auto"/>
        <w:ind w:firstLine="422" w:firstLineChars="200"/>
        <w:outlineLvl w:val="9"/>
        <w:rPr>
          <w:rFonts w:ascii="宋体" w:hAnsi="宋体" w:cs="宋体"/>
          <w:b/>
          <w:bCs/>
          <w:iCs/>
          <w:color w:val="auto"/>
          <w:szCs w:val="21"/>
        </w:rPr>
      </w:pPr>
      <w:r>
        <w:rPr>
          <w:rFonts w:hint="eastAsia" w:ascii="宋体" w:hAnsi="宋体" w:cs="宋体"/>
          <w:b/>
          <w:bCs/>
          <w:color w:val="auto"/>
          <w:szCs w:val="21"/>
        </w:rPr>
        <w:t>三、</w:t>
      </w:r>
      <w:r>
        <w:rPr>
          <w:rFonts w:hint="eastAsia" w:ascii="宋体" w:hAnsi="宋体" w:cs="宋体"/>
          <w:b/>
          <w:bCs/>
          <w:iCs/>
          <w:color w:val="auto"/>
          <w:szCs w:val="21"/>
        </w:rPr>
        <w:t>评审办法</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color w:val="auto"/>
          <w:szCs w:val="21"/>
        </w:rPr>
      </w:pPr>
      <w:r>
        <w:rPr>
          <w:rFonts w:hint="eastAsia" w:ascii="宋体" w:hAnsi="宋体" w:cs="宋体"/>
          <w:iCs/>
          <w:color w:val="auto"/>
          <w:szCs w:val="21"/>
        </w:rPr>
        <w:t>本项目评审办法采用</w:t>
      </w:r>
      <w:r>
        <w:rPr>
          <w:rFonts w:hint="eastAsia" w:ascii="宋体" w:hAnsi="宋体" w:cs="宋体"/>
          <w:bCs/>
          <w:color w:val="auto"/>
          <w:szCs w:val="21"/>
        </w:rPr>
        <w:t>经符合性审查合格后的最低价法。</w:t>
      </w:r>
    </w:p>
    <w:p>
      <w:pPr>
        <w:keepNext w:val="0"/>
        <w:keepLines w:val="0"/>
        <w:pageBreakBefore w:val="0"/>
        <w:widowControl/>
        <w:kinsoku/>
        <w:wordWrap/>
        <w:overflowPunct/>
        <w:topLinePunct w:val="0"/>
        <w:bidi w:val="0"/>
        <w:spacing w:line="360" w:lineRule="auto"/>
        <w:ind w:firstLine="422" w:firstLineChars="200"/>
        <w:outlineLvl w:val="9"/>
        <w:rPr>
          <w:rFonts w:ascii="宋体" w:hAnsi="宋体" w:cs="宋体"/>
          <w:b/>
          <w:bCs/>
          <w:color w:val="auto"/>
          <w:szCs w:val="21"/>
        </w:rPr>
      </w:pPr>
      <w:r>
        <w:rPr>
          <w:rFonts w:hint="eastAsia" w:ascii="宋体" w:hAnsi="宋体" w:cs="宋体"/>
          <w:b/>
          <w:bCs/>
          <w:color w:val="auto"/>
          <w:szCs w:val="21"/>
        </w:rPr>
        <w:t>四、自主竞争性谈判文件的获取</w:t>
      </w:r>
    </w:p>
    <w:p>
      <w:pPr>
        <w:keepNext w:val="0"/>
        <w:keepLines w:val="0"/>
        <w:pageBreakBefore w:val="0"/>
        <w:kinsoku/>
        <w:wordWrap/>
        <w:overflowPunct/>
        <w:topLinePunct w:val="0"/>
        <w:bidi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凡有意参加谈判的单位，请于2019年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9</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27</w:t>
      </w:r>
      <w:r>
        <w:rPr>
          <w:rFonts w:hint="eastAsia" w:ascii="宋体" w:hAnsi="宋体" w:cs="宋体"/>
          <w:color w:val="auto"/>
          <w:szCs w:val="21"/>
          <w:u w:val="single"/>
        </w:rPr>
        <w:t xml:space="preserve"> </w:t>
      </w:r>
      <w:r>
        <w:rPr>
          <w:rFonts w:hint="eastAsia" w:ascii="宋体" w:hAnsi="宋体" w:cs="宋体"/>
          <w:color w:val="auto"/>
          <w:szCs w:val="21"/>
        </w:rPr>
        <w:t>日至2019年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10</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9</w:t>
      </w:r>
      <w:r>
        <w:rPr>
          <w:rFonts w:hint="eastAsia" w:ascii="宋体" w:hAnsi="宋体" w:cs="宋体"/>
          <w:color w:val="auto"/>
          <w:szCs w:val="21"/>
          <w:u w:val="single"/>
        </w:rPr>
        <w:t xml:space="preserve"> </w:t>
      </w:r>
      <w:r>
        <w:rPr>
          <w:rFonts w:hint="eastAsia" w:ascii="宋体" w:hAnsi="宋体" w:cs="宋体"/>
          <w:color w:val="auto"/>
          <w:szCs w:val="21"/>
        </w:rPr>
        <w:t>日登录长沙市轨道交通集团有限公司官方网站</w:t>
      </w:r>
      <w:r>
        <w:rPr>
          <w:rFonts w:hint="eastAsia" w:ascii="宋体" w:hAnsi="宋体" w:eastAsia="宋体" w:cs="宋体"/>
          <w:color w:val="auto"/>
          <w:kern w:val="0"/>
          <w:sz w:val="21"/>
          <w:szCs w:val="21"/>
        </w:rPr>
        <w:t>（http://www.hncsmtr.com/）</w:t>
      </w:r>
      <w:r>
        <w:rPr>
          <w:rFonts w:hint="eastAsia" w:ascii="宋体" w:hAnsi="宋体" w:cs="宋体"/>
          <w:color w:val="auto"/>
          <w:szCs w:val="21"/>
        </w:rPr>
        <w:t>获取自主竞争性谈判文件。</w:t>
      </w:r>
    </w:p>
    <w:p>
      <w:pPr>
        <w:keepNext w:val="0"/>
        <w:keepLines w:val="0"/>
        <w:pageBreakBefore w:val="0"/>
        <w:kinsoku/>
        <w:wordWrap/>
        <w:overflowPunct/>
        <w:topLinePunct w:val="0"/>
        <w:bidi w:val="0"/>
        <w:spacing w:line="360" w:lineRule="auto"/>
        <w:ind w:firstLine="422" w:firstLineChars="200"/>
        <w:outlineLvl w:val="9"/>
        <w:rPr>
          <w:rFonts w:ascii="宋体" w:hAnsi="宋体" w:cs="宋体"/>
          <w:b/>
          <w:bCs/>
          <w:color w:val="auto"/>
          <w:szCs w:val="21"/>
        </w:rPr>
      </w:pPr>
      <w:r>
        <w:rPr>
          <w:rFonts w:hint="eastAsia" w:ascii="宋体" w:hAnsi="宋体" w:cs="宋体"/>
          <w:b/>
          <w:bCs/>
          <w:color w:val="auto"/>
          <w:szCs w:val="21"/>
        </w:rPr>
        <w:t>五、</w:t>
      </w:r>
      <w:r>
        <w:rPr>
          <w:rFonts w:hint="eastAsia" w:ascii="宋体" w:hAnsi="宋体" w:cs="宋体"/>
          <w:b/>
          <w:bCs/>
          <w:iCs/>
          <w:color w:val="auto"/>
          <w:szCs w:val="21"/>
        </w:rPr>
        <w:t>谈判文件的</w:t>
      </w:r>
      <w:r>
        <w:rPr>
          <w:rFonts w:hint="eastAsia" w:ascii="宋体" w:hAnsi="宋体" w:cs="宋体"/>
          <w:b/>
          <w:bCs/>
          <w:color w:val="auto"/>
          <w:szCs w:val="21"/>
        </w:rPr>
        <w:t>澄清与答疑</w:t>
      </w:r>
    </w:p>
    <w:p>
      <w:pPr>
        <w:keepNext w:val="0"/>
        <w:keepLines w:val="0"/>
        <w:pageBreakBefore w:val="0"/>
        <w:kinsoku/>
        <w:wordWrap/>
        <w:overflowPunct/>
        <w:topLinePunct w:val="0"/>
        <w:bidi w:val="0"/>
        <w:spacing w:line="360" w:lineRule="auto"/>
        <w:ind w:firstLine="420" w:firstLineChars="200"/>
        <w:outlineLvl w:val="9"/>
        <w:rPr>
          <w:rFonts w:ascii="宋体" w:hAnsi="宋体" w:cs="宋体"/>
          <w:iCs/>
          <w:color w:val="auto"/>
          <w:szCs w:val="21"/>
        </w:rPr>
      </w:pPr>
      <w:r>
        <w:rPr>
          <w:rFonts w:hint="eastAsia" w:ascii="宋体" w:hAnsi="宋体" w:cs="宋体"/>
          <w:color w:val="auto"/>
          <w:szCs w:val="21"/>
        </w:rPr>
        <w:t>1.</w:t>
      </w:r>
      <w:r>
        <w:rPr>
          <w:rFonts w:hint="eastAsia" w:ascii="宋体" w:hAnsi="宋体" w:cs="宋体"/>
          <w:iCs/>
          <w:color w:val="auto"/>
          <w:szCs w:val="21"/>
        </w:rPr>
        <w:t>本项目不组织答疑会和现场踏勘。</w:t>
      </w:r>
    </w:p>
    <w:p>
      <w:pPr>
        <w:keepNext w:val="0"/>
        <w:keepLines w:val="0"/>
        <w:pageBreakBefore w:val="0"/>
        <w:kinsoku/>
        <w:wordWrap/>
        <w:overflowPunct/>
        <w:topLinePunct w:val="0"/>
        <w:bidi w:val="0"/>
        <w:spacing w:line="360" w:lineRule="auto"/>
        <w:ind w:firstLine="420" w:firstLineChars="200"/>
        <w:outlineLvl w:val="9"/>
        <w:rPr>
          <w:rFonts w:ascii="宋体" w:hAnsi="宋体" w:cs="宋体"/>
          <w:iCs/>
          <w:color w:val="auto"/>
          <w:szCs w:val="21"/>
        </w:rPr>
      </w:pPr>
      <w:r>
        <w:rPr>
          <w:rFonts w:hint="eastAsia" w:ascii="宋体" w:hAnsi="宋体" w:cs="宋体"/>
          <w:iCs/>
          <w:color w:val="auto"/>
          <w:szCs w:val="21"/>
        </w:rPr>
        <w:t>2.谈判单位若对谈判文件有任何疑问，</w:t>
      </w:r>
      <w:r>
        <w:rPr>
          <w:rFonts w:hint="eastAsia" w:ascii="宋体" w:hAnsi="宋体" w:cs="宋体"/>
          <w:color w:val="auto"/>
          <w:szCs w:val="21"/>
        </w:rPr>
        <w:t>应于</w:t>
      </w:r>
      <w:r>
        <w:rPr>
          <w:rFonts w:hint="eastAsia" w:ascii="宋体" w:hAnsi="宋体" w:cs="宋体"/>
          <w:color w:val="auto"/>
          <w:szCs w:val="21"/>
          <w:u w:val="single"/>
        </w:rPr>
        <w:t>2019</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10</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10</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iCs/>
          <w:color w:val="auto"/>
          <w:szCs w:val="21"/>
        </w:rPr>
        <w:t>17：00时（含）前（节假日除外）以书面形式（经法定代表人签字或盖章，并加盖单位公章）递交至采购代理机构。</w:t>
      </w:r>
    </w:p>
    <w:p>
      <w:pPr>
        <w:keepNext w:val="0"/>
        <w:keepLines w:val="0"/>
        <w:pageBreakBefore w:val="0"/>
        <w:kinsoku/>
        <w:wordWrap/>
        <w:overflowPunct/>
        <w:topLinePunct w:val="0"/>
        <w:bidi w:val="0"/>
        <w:spacing w:line="360" w:lineRule="auto"/>
        <w:ind w:firstLine="420" w:firstLineChars="200"/>
        <w:outlineLvl w:val="9"/>
        <w:rPr>
          <w:rFonts w:ascii="宋体" w:hAnsi="宋体" w:cs="宋体"/>
          <w:iCs/>
          <w:color w:val="auto"/>
          <w:szCs w:val="21"/>
        </w:rPr>
      </w:pPr>
      <w:r>
        <w:rPr>
          <w:rFonts w:hint="eastAsia" w:ascii="宋体" w:hAnsi="宋体" w:cs="宋体"/>
          <w:iCs/>
          <w:color w:val="auto"/>
          <w:szCs w:val="21"/>
        </w:rPr>
        <w:t>3.在谈判截止时间前，采购单位或采购代理机构可主动地或在解答谈判单位提出的问题时对谈判文件进行澄清或修改。</w:t>
      </w:r>
    </w:p>
    <w:p>
      <w:pPr>
        <w:keepNext w:val="0"/>
        <w:keepLines w:val="0"/>
        <w:pageBreakBefore w:val="0"/>
        <w:kinsoku/>
        <w:wordWrap/>
        <w:overflowPunct/>
        <w:topLinePunct w:val="0"/>
        <w:bidi w:val="0"/>
        <w:spacing w:line="360" w:lineRule="auto"/>
        <w:ind w:firstLine="420" w:firstLineChars="200"/>
        <w:outlineLvl w:val="9"/>
        <w:rPr>
          <w:rFonts w:ascii="宋体" w:hAnsi="宋体" w:cs="宋体"/>
          <w:color w:val="auto"/>
          <w:kern w:val="0"/>
          <w:szCs w:val="21"/>
        </w:rPr>
      </w:pPr>
      <w:r>
        <w:rPr>
          <w:rFonts w:hint="eastAsia" w:ascii="宋体" w:hAnsi="宋体" w:cs="宋体"/>
          <w:iCs/>
          <w:color w:val="auto"/>
          <w:szCs w:val="21"/>
        </w:rPr>
        <w:t>4.</w:t>
      </w:r>
      <w:r>
        <w:rPr>
          <w:rFonts w:hint="eastAsia" w:ascii="宋体" w:hAnsi="宋体" w:cs="宋体"/>
          <w:color w:val="auto"/>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keepNext w:val="0"/>
        <w:keepLines w:val="0"/>
        <w:pageBreakBefore w:val="0"/>
        <w:kinsoku/>
        <w:wordWrap/>
        <w:overflowPunct/>
        <w:topLinePunct w:val="0"/>
        <w:bidi w:val="0"/>
        <w:spacing w:line="360" w:lineRule="auto"/>
        <w:ind w:firstLine="422" w:firstLineChars="200"/>
        <w:outlineLvl w:val="9"/>
        <w:rPr>
          <w:rFonts w:hint="eastAsia" w:ascii="宋体" w:hAnsi="宋体" w:cs="宋体"/>
          <w:b/>
          <w:bCs/>
          <w:iCs/>
          <w:color w:val="auto"/>
          <w:szCs w:val="21"/>
        </w:rPr>
      </w:pPr>
      <w:r>
        <w:rPr>
          <w:rFonts w:hint="eastAsia" w:ascii="宋体" w:hAnsi="宋体" w:cs="宋体"/>
          <w:b/>
          <w:bCs/>
          <w:color w:val="auto"/>
          <w:kern w:val="0"/>
          <w:szCs w:val="21"/>
        </w:rPr>
        <w:t>六、</w:t>
      </w:r>
      <w:r>
        <w:rPr>
          <w:rFonts w:hint="eastAsia" w:ascii="宋体" w:hAnsi="宋体" w:cs="宋体"/>
          <w:b/>
          <w:bCs/>
          <w:iCs/>
          <w:color w:val="auto"/>
          <w:szCs w:val="21"/>
        </w:rPr>
        <w:t>响应文件的递交</w:t>
      </w:r>
    </w:p>
    <w:p>
      <w:pPr>
        <w:keepNext w:val="0"/>
        <w:keepLines w:val="0"/>
        <w:pageBreakBefore w:val="0"/>
        <w:widowControl w:val="0"/>
        <w:kinsoku/>
        <w:wordWrap/>
        <w:overflowPunct/>
        <w:topLinePunct w:val="0"/>
        <w:bidi w:val="0"/>
        <w:spacing w:line="360" w:lineRule="auto"/>
        <w:ind w:left="0" w:leftChars="0" w:right="0" w:rightChars="0" w:firstLine="420" w:firstLineChars="200"/>
        <w:outlineLvl w:val="9"/>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1.响应文件递交的截止时间及谈判时间为2019年</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cs="Times New Roman"/>
          <w:bCs/>
          <w:color w:val="auto"/>
          <w:szCs w:val="21"/>
          <w:highlight w:val="none"/>
          <w:u w:val="single"/>
          <w:lang w:val="en-US" w:eastAsia="zh-CN"/>
        </w:rPr>
        <w:t>10</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eastAsia="宋体" w:cs="Times New Roman"/>
          <w:bCs/>
          <w:color w:val="auto"/>
          <w:szCs w:val="21"/>
          <w:highlight w:val="none"/>
          <w:lang w:val="en-US" w:eastAsia="zh-CN"/>
        </w:rPr>
        <w:t>月</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cs="Times New Roman"/>
          <w:bCs/>
          <w:color w:val="auto"/>
          <w:szCs w:val="21"/>
          <w:highlight w:val="none"/>
          <w:u w:val="single"/>
          <w:lang w:val="en-US" w:eastAsia="zh-CN"/>
        </w:rPr>
        <w:t>15</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eastAsia="宋体" w:cs="Times New Roman"/>
          <w:bCs/>
          <w:color w:val="auto"/>
          <w:szCs w:val="21"/>
          <w:highlight w:val="none"/>
          <w:lang w:val="en-US" w:eastAsia="zh-CN"/>
        </w:rPr>
        <w:t>日</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cs="Times New Roman"/>
          <w:bCs/>
          <w:color w:val="auto"/>
          <w:szCs w:val="21"/>
          <w:highlight w:val="none"/>
          <w:u w:val="single"/>
          <w:lang w:val="en-US" w:eastAsia="zh-CN"/>
        </w:rPr>
        <w:t>14</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eastAsia="宋体" w:cs="Times New Roman"/>
          <w:bCs/>
          <w:color w:val="auto"/>
          <w:szCs w:val="21"/>
          <w:highlight w:val="none"/>
          <w:lang w:val="en-US" w:eastAsia="zh-CN"/>
        </w:rPr>
        <w:t>时</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cs="Times New Roman"/>
          <w:bCs/>
          <w:color w:val="auto"/>
          <w:szCs w:val="21"/>
          <w:highlight w:val="none"/>
          <w:u w:val="single"/>
          <w:lang w:val="en-US" w:eastAsia="zh-CN"/>
        </w:rPr>
        <w:t>30</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eastAsia="宋体" w:cs="Times New Roman"/>
          <w:bCs/>
          <w:color w:val="auto"/>
          <w:szCs w:val="21"/>
          <w:highlight w:val="none"/>
          <w:lang w:val="en-US" w:eastAsia="zh-CN"/>
        </w:rPr>
        <w:t>分，地点为</w:t>
      </w:r>
      <w:r>
        <w:rPr>
          <w:rFonts w:hint="eastAsia" w:ascii="宋体" w:hAnsi="宋体" w:eastAsia="宋体" w:cs="宋体"/>
          <w:color w:val="auto"/>
          <w:sz w:val="21"/>
          <w:szCs w:val="21"/>
        </w:rPr>
        <w:t>长沙市劳动东路二段48号长沙市轨道交通运营有限公司综合楼910室。</w:t>
      </w:r>
    </w:p>
    <w:p>
      <w:pPr>
        <w:keepNext w:val="0"/>
        <w:keepLines w:val="0"/>
        <w:pageBreakBefore w:val="0"/>
        <w:kinsoku/>
        <w:wordWrap/>
        <w:overflowPunct/>
        <w:topLinePunct w:val="0"/>
        <w:bidi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2.逾期送达的或者未送达指定地点的或者未密封的响应文件，采购单位或采购代理机构将予以</w:t>
      </w:r>
      <w:r>
        <w:rPr>
          <w:rFonts w:hint="eastAsia" w:ascii="宋体" w:hAnsi="宋体" w:cs="宋体"/>
          <w:b/>
          <w:bCs/>
          <w:color w:val="auto"/>
          <w:szCs w:val="21"/>
        </w:rPr>
        <w:t>拒收</w:t>
      </w:r>
      <w:r>
        <w:rPr>
          <w:rFonts w:hint="eastAsia" w:ascii="宋体" w:hAnsi="宋体" w:cs="宋体"/>
          <w:color w:val="auto"/>
          <w:szCs w:val="21"/>
        </w:rPr>
        <w:t>。</w:t>
      </w:r>
    </w:p>
    <w:p>
      <w:pPr>
        <w:keepNext w:val="0"/>
        <w:keepLines w:val="0"/>
        <w:pageBreakBefore w:val="0"/>
        <w:kinsoku/>
        <w:wordWrap/>
        <w:overflowPunct/>
        <w:topLinePunct w:val="0"/>
        <w:bidi w:val="0"/>
        <w:spacing w:line="360" w:lineRule="auto"/>
        <w:ind w:firstLine="422" w:firstLineChars="200"/>
        <w:outlineLvl w:val="9"/>
        <w:rPr>
          <w:rFonts w:ascii="宋体" w:hAnsi="宋体" w:cs="宋体"/>
          <w:b/>
          <w:color w:val="auto"/>
          <w:szCs w:val="21"/>
        </w:rPr>
      </w:pPr>
      <w:r>
        <w:rPr>
          <w:rFonts w:hint="eastAsia" w:ascii="宋体" w:hAnsi="宋体" w:cs="宋体"/>
          <w:b/>
          <w:iCs/>
          <w:color w:val="auto"/>
          <w:szCs w:val="21"/>
        </w:rPr>
        <w:t>七、采购单位及其委托的采购代理机构的名称、地址和联系方法</w:t>
      </w:r>
    </w:p>
    <w:p>
      <w:pPr>
        <w:keepNext w:val="0"/>
        <w:keepLines w:val="0"/>
        <w:pageBreakBefore w:val="0"/>
        <w:kinsoku/>
        <w:wordWrap/>
        <w:overflowPunct/>
        <w:topLinePunct w:val="0"/>
        <w:bidi w:val="0"/>
        <w:adjustRightInd w:val="0"/>
        <w:snapToGrid w:val="0"/>
        <w:spacing w:line="360" w:lineRule="auto"/>
        <w:ind w:firstLine="413" w:firstLineChars="196"/>
        <w:outlineLvl w:val="9"/>
        <w:rPr>
          <w:rFonts w:ascii="宋体" w:hAnsi="宋体" w:cs="宋体"/>
          <w:color w:val="auto"/>
          <w:szCs w:val="21"/>
        </w:rPr>
      </w:pPr>
      <w:r>
        <w:rPr>
          <w:rFonts w:hint="eastAsia" w:ascii="宋体" w:hAnsi="宋体" w:cs="宋体"/>
          <w:b/>
          <w:bCs/>
          <w:color w:val="auto"/>
          <w:szCs w:val="21"/>
        </w:rPr>
        <w:t>采购单位：</w:t>
      </w:r>
      <w:r>
        <w:rPr>
          <w:rFonts w:hint="eastAsia" w:ascii="宋体" w:hAnsi="宋体" w:cs="宋体"/>
          <w:b w:val="0"/>
          <w:bCs w:val="0"/>
          <w:color w:val="auto"/>
          <w:szCs w:val="21"/>
          <w:lang w:eastAsia="zh-CN"/>
        </w:rPr>
        <w:t>长沙市轨道交通运营有限公司、</w:t>
      </w:r>
      <w:r>
        <w:rPr>
          <w:rFonts w:hint="eastAsia" w:ascii="宋体" w:hAnsi="宋体" w:cs="宋体"/>
          <w:b w:val="0"/>
          <w:bCs w:val="0"/>
          <w:iCs/>
          <w:color w:val="auto"/>
          <w:szCs w:val="21"/>
        </w:rPr>
        <w:t>长沙市轨道交通</w:t>
      </w:r>
      <w:r>
        <w:rPr>
          <w:rFonts w:hint="eastAsia" w:ascii="宋体" w:hAnsi="宋体" w:cs="宋体"/>
          <w:b w:val="0"/>
          <w:bCs w:val="0"/>
          <w:iCs/>
          <w:color w:val="auto"/>
          <w:szCs w:val="21"/>
          <w:lang w:eastAsia="zh-CN"/>
        </w:rPr>
        <w:t>一</w:t>
      </w:r>
      <w:r>
        <w:rPr>
          <w:rFonts w:hint="eastAsia" w:ascii="宋体" w:hAnsi="宋体" w:cs="宋体"/>
          <w:b w:val="0"/>
          <w:bCs w:val="0"/>
          <w:iCs/>
          <w:color w:val="auto"/>
          <w:szCs w:val="21"/>
        </w:rPr>
        <w:t>号线建设发展有限公司</w:t>
      </w:r>
    </w:p>
    <w:p>
      <w:pPr>
        <w:keepNext w:val="0"/>
        <w:keepLines w:val="0"/>
        <w:pageBreakBefore w:val="0"/>
        <w:kinsoku/>
        <w:wordWrap/>
        <w:overflowPunct/>
        <w:topLinePunct w:val="0"/>
        <w:bidi w:val="0"/>
        <w:adjustRightInd w:val="0"/>
        <w:snapToGrid w:val="0"/>
        <w:spacing w:line="360" w:lineRule="auto"/>
        <w:ind w:firstLine="411" w:firstLineChars="196"/>
        <w:outlineLvl w:val="9"/>
        <w:rPr>
          <w:rFonts w:ascii="宋体" w:hAnsi="宋体" w:cs="宋体"/>
          <w:color w:val="auto"/>
          <w:szCs w:val="21"/>
        </w:rPr>
      </w:pPr>
      <w:r>
        <w:rPr>
          <w:rFonts w:hint="eastAsia" w:ascii="宋体" w:hAnsi="宋体" w:cs="宋体"/>
          <w:color w:val="auto"/>
          <w:szCs w:val="21"/>
        </w:rPr>
        <w:t>地  址：</w:t>
      </w:r>
      <w:r>
        <w:rPr>
          <w:rFonts w:hint="eastAsia" w:ascii="宋体" w:hAnsi="宋体" w:eastAsia="宋体" w:cs="宋体"/>
          <w:color w:val="auto"/>
          <w:sz w:val="21"/>
          <w:szCs w:val="21"/>
        </w:rPr>
        <w:t>长沙市劳动东路二段48号长沙市轨道交通运营有限公司综合楼910室。</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bCs/>
          <w:color w:val="auto"/>
          <w:szCs w:val="21"/>
        </w:rPr>
      </w:pPr>
      <w:r>
        <w:rPr>
          <w:rFonts w:hint="eastAsia" w:ascii="宋体" w:hAnsi="宋体" w:cs="宋体"/>
          <w:bCs/>
          <w:color w:val="auto"/>
          <w:szCs w:val="21"/>
        </w:rPr>
        <w:t>联系人：黄工</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default" w:ascii="宋体" w:hAnsi="宋体" w:eastAsia="宋体" w:cs="宋体"/>
          <w:bCs/>
          <w:szCs w:val="21"/>
          <w:lang w:val="en-US" w:eastAsia="zh-CN"/>
        </w:rPr>
      </w:pPr>
      <w:r>
        <w:rPr>
          <w:rFonts w:hint="eastAsia" w:ascii="宋体" w:hAnsi="宋体" w:cs="宋体"/>
          <w:bCs/>
          <w:szCs w:val="21"/>
        </w:rPr>
        <w:t>电  话：</w:t>
      </w:r>
      <w:r>
        <w:rPr>
          <w:rFonts w:hint="eastAsia" w:ascii="宋体" w:hAnsi="宋体"/>
          <w:szCs w:val="21"/>
        </w:rPr>
        <w:t>0731-</w:t>
      </w:r>
      <w:r>
        <w:rPr>
          <w:rFonts w:hint="eastAsia" w:ascii="宋体" w:hAnsi="宋体" w:cs="宋体"/>
          <w:bCs/>
          <w:szCs w:val="21"/>
        </w:rPr>
        <w:t>86852</w:t>
      </w:r>
      <w:r>
        <w:rPr>
          <w:rFonts w:hint="eastAsia" w:ascii="宋体" w:hAnsi="宋体" w:cs="宋体"/>
          <w:bCs/>
          <w:szCs w:val="21"/>
          <w:lang w:val="en-US" w:eastAsia="zh-CN"/>
        </w:rPr>
        <w:t>373</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bCs/>
          <w:szCs w:val="21"/>
        </w:rPr>
        <w:t>监督举报电话：</w:t>
      </w:r>
      <w:r>
        <w:rPr>
          <w:rFonts w:hint="eastAsia" w:ascii="宋体" w:hAnsi="宋体"/>
          <w:szCs w:val="21"/>
        </w:rPr>
        <w:t>0731-</w:t>
      </w:r>
      <w:r>
        <w:rPr>
          <w:rFonts w:hint="eastAsia" w:ascii="宋体" w:hAnsi="宋体" w:cs="宋体"/>
          <w:szCs w:val="21"/>
        </w:rPr>
        <w:t>86852248</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联系人：文工</w:t>
      </w:r>
    </w:p>
    <w:p>
      <w:pPr>
        <w:keepNext w:val="0"/>
        <w:keepLines w:val="0"/>
        <w:pageBreakBefore w:val="0"/>
        <w:kinsoku/>
        <w:wordWrap/>
        <w:overflowPunct/>
        <w:topLinePunct w:val="0"/>
        <w:bidi w:val="0"/>
        <w:spacing w:line="360" w:lineRule="auto"/>
        <w:ind w:firstLine="422" w:firstLineChars="200"/>
        <w:outlineLvl w:val="9"/>
        <w:rPr>
          <w:rFonts w:ascii="宋体" w:hAnsi="宋体" w:cs="宋体"/>
          <w:szCs w:val="21"/>
        </w:rPr>
      </w:pPr>
      <w:r>
        <w:rPr>
          <w:rFonts w:hint="eastAsia" w:ascii="宋体" w:hAnsi="宋体" w:cs="宋体"/>
          <w:b/>
          <w:bCs/>
          <w:szCs w:val="21"/>
        </w:rPr>
        <w:t>采购代理机构：</w:t>
      </w:r>
      <w:r>
        <w:rPr>
          <w:rFonts w:hint="eastAsia" w:ascii="宋体" w:hAnsi="宋体" w:cs="宋体"/>
          <w:szCs w:val="21"/>
        </w:rPr>
        <w:t>湖南新泉工程造价咨询有限公司</w:t>
      </w:r>
    </w:p>
    <w:p>
      <w:pPr>
        <w:keepNext w:val="0"/>
        <w:keepLines w:val="0"/>
        <w:pageBreakBefore w:val="0"/>
        <w:kinsoku/>
        <w:wordWrap/>
        <w:overflowPunct/>
        <w:topLinePunct w:val="0"/>
        <w:bidi w:val="0"/>
        <w:spacing w:line="360" w:lineRule="auto"/>
        <w:ind w:firstLine="420" w:firstLineChars="200"/>
        <w:outlineLvl w:val="9"/>
        <w:rPr>
          <w:rFonts w:ascii="宋体" w:hAnsi="宋体" w:cs="宋体"/>
          <w:szCs w:val="21"/>
        </w:rPr>
      </w:pPr>
      <w:r>
        <w:rPr>
          <w:rFonts w:hint="eastAsia" w:ascii="宋体" w:hAnsi="宋体" w:cs="宋体"/>
          <w:szCs w:val="21"/>
        </w:rPr>
        <w:t>联系电话：0731-85226831、85410207</w:t>
      </w:r>
    </w:p>
    <w:p>
      <w:pPr>
        <w:keepNext w:val="0"/>
        <w:keepLines w:val="0"/>
        <w:pageBreakBefore w:val="0"/>
        <w:kinsoku/>
        <w:wordWrap/>
        <w:overflowPunct/>
        <w:topLinePunct w:val="0"/>
        <w:bidi w:val="0"/>
        <w:spacing w:line="360" w:lineRule="auto"/>
        <w:ind w:firstLine="420" w:firstLineChars="200"/>
        <w:outlineLvl w:val="9"/>
        <w:rPr>
          <w:rFonts w:ascii="宋体" w:hAnsi="宋体" w:cs="宋体"/>
          <w:szCs w:val="21"/>
        </w:rPr>
      </w:pPr>
      <w:r>
        <w:rPr>
          <w:rFonts w:hint="eastAsia" w:ascii="宋体" w:hAnsi="宋体" w:cs="宋体"/>
          <w:szCs w:val="21"/>
        </w:rPr>
        <w:t>联系人：何佳 殷芳明</w:t>
      </w:r>
    </w:p>
    <w:p>
      <w:pPr>
        <w:keepNext w:val="0"/>
        <w:keepLines w:val="0"/>
        <w:pageBreakBefore w:val="0"/>
        <w:kinsoku/>
        <w:wordWrap/>
        <w:overflowPunct/>
        <w:topLinePunct w:val="0"/>
        <w:bidi w:val="0"/>
        <w:spacing w:line="360" w:lineRule="auto"/>
        <w:ind w:firstLine="420" w:firstLineChars="200"/>
        <w:outlineLvl w:val="9"/>
        <w:rPr>
          <w:rFonts w:ascii="宋体" w:hAnsi="宋体" w:cs="宋体"/>
          <w:szCs w:val="21"/>
        </w:rPr>
      </w:pPr>
      <w:r>
        <w:rPr>
          <w:rFonts w:hint="eastAsia" w:ascii="宋体" w:hAnsi="宋体" w:cs="宋体"/>
          <w:szCs w:val="21"/>
        </w:rPr>
        <w:t>地址：长沙市芙蓉中路三段420号华升大厦1418房间</w:t>
      </w:r>
    </w:p>
    <w:p>
      <w:pPr>
        <w:pStyle w:val="13"/>
        <w:keepNext w:val="0"/>
        <w:keepLines w:val="0"/>
        <w:pageBreakBefore w:val="0"/>
        <w:kinsoku/>
        <w:wordWrap/>
        <w:overflowPunct/>
        <w:topLinePunct w:val="0"/>
        <w:bidi w:val="0"/>
        <w:outlineLvl w:val="9"/>
        <w:rPr>
          <w:rFonts w:ascii="宋体" w:hAnsi="宋体"/>
          <w:highlight w:val="yellow"/>
        </w:rPr>
      </w:pPr>
    </w:p>
    <w:p>
      <w:pPr>
        <w:keepNext w:val="0"/>
        <w:keepLines w:val="0"/>
        <w:pageBreakBefore w:val="0"/>
        <w:kinsoku/>
        <w:wordWrap/>
        <w:overflowPunct/>
        <w:topLinePunct w:val="0"/>
        <w:bidi w:val="0"/>
        <w:outlineLvl w:val="9"/>
        <w:rPr>
          <w:rFonts w:ascii="宋体" w:hAnsi="宋体"/>
          <w:highlight w:val="yellow"/>
        </w:rPr>
      </w:pPr>
    </w:p>
    <w:p>
      <w:pPr>
        <w:keepNext w:val="0"/>
        <w:keepLines w:val="0"/>
        <w:pageBreakBefore w:val="0"/>
        <w:kinsoku/>
        <w:wordWrap/>
        <w:overflowPunct/>
        <w:topLinePunct w:val="0"/>
        <w:bidi w:val="0"/>
        <w:adjustRightInd w:val="0"/>
        <w:snapToGrid w:val="0"/>
        <w:spacing w:line="360" w:lineRule="auto"/>
        <w:jc w:val="right"/>
        <w:outlineLvl w:val="9"/>
        <w:rPr>
          <w:rFonts w:ascii="宋体" w:hAnsi="宋体"/>
          <w:szCs w:val="21"/>
        </w:rPr>
      </w:pPr>
      <w:r>
        <w:rPr>
          <w:rFonts w:hint="eastAsia" w:ascii="宋体" w:hAnsi="宋体" w:cs="宋体"/>
          <w:szCs w:val="21"/>
        </w:rPr>
        <w:t>2019年</w:t>
      </w:r>
      <w:r>
        <w:rPr>
          <w:rFonts w:hint="eastAsia" w:ascii="宋体" w:hAnsi="宋体" w:cs="宋体"/>
          <w:szCs w:val="21"/>
          <w:lang w:val="en-US" w:eastAsia="zh-CN"/>
        </w:rPr>
        <w:t xml:space="preserve"> </w:t>
      </w:r>
      <w:r>
        <w:rPr>
          <w:rFonts w:hint="eastAsia" w:ascii="宋体" w:hAnsi="宋体" w:cs="宋体"/>
          <w:szCs w:val="21"/>
        </w:rPr>
        <w:t>9</w:t>
      </w:r>
      <w:r>
        <w:rPr>
          <w:rFonts w:hint="eastAsia" w:ascii="宋体" w:hAnsi="宋体" w:cs="宋体"/>
          <w:szCs w:val="21"/>
          <w:lang w:val="en-US" w:eastAsia="zh-CN"/>
        </w:rPr>
        <w:t xml:space="preserve"> </w:t>
      </w:r>
      <w:r>
        <w:rPr>
          <w:rFonts w:hint="eastAsia" w:ascii="宋体" w:hAnsi="宋体" w:cs="宋体"/>
          <w:szCs w:val="21"/>
        </w:rPr>
        <w:t xml:space="preserve">月 </w:t>
      </w:r>
      <w:r>
        <w:rPr>
          <w:rFonts w:hint="eastAsia" w:ascii="宋体" w:hAnsi="宋体" w:cs="宋体"/>
          <w:szCs w:val="21"/>
          <w:lang w:val="en-US" w:eastAsia="zh-CN"/>
        </w:rPr>
        <w:t>27</w:t>
      </w:r>
      <w:r>
        <w:rPr>
          <w:rFonts w:hint="eastAsia" w:ascii="宋体" w:hAnsi="宋体" w:cs="宋体"/>
          <w:szCs w:val="21"/>
        </w:rPr>
        <w:t xml:space="preserve"> 日</w:t>
      </w:r>
    </w:p>
    <w:p>
      <w:pPr>
        <w:keepNext w:val="0"/>
        <w:keepLines w:val="0"/>
        <w:pageBreakBefore w:val="0"/>
        <w:kinsoku/>
        <w:wordWrap/>
        <w:overflowPunct/>
        <w:topLinePunct w:val="0"/>
        <w:bidi w:val="0"/>
        <w:spacing w:after="240"/>
        <w:jc w:val="center"/>
        <w:outlineLvl w:val="9"/>
        <w:rPr>
          <w:rFonts w:hint="eastAsia" w:ascii="宋体" w:hAnsi="宋体" w:eastAsia="宋体" w:cs="宋体"/>
          <w:b/>
          <w:bCs/>
          <w:sz w:val="32"/>
          <w:szCs w:val="32"/>
        </w:rPr>
      </w:pPr>
      <w:r>
        <w:rPr>
          <w:rFonts w:ascii="宋体" w:hAnsi="宋体"/>
          <w:b w:val="0"/>
          <w:bCs w:val="0"/>
          <w:sz w:val="32"/>
          <w:szCs w:val="32"/>
        </w:rPr>
        <w:br w:type="page"/>
      </w:r>
      <w:bookmarkStart w:id="5" w:name="_Toc8914"/>
      <w:bookmarkStart w:id="6" w:name="_Toc14891065"/>
      <w:bookmarkStart w:id="7" w:name="_Toc6753"/>
      <w:bookmarkStart w:id="8" w:name="_Toc24592"/>
      <w:bookmarkStart w:id="9" w:name="_Toc5145"/>
      <w:r>
        <w:rPr>
          <w:rFonts w:hint="eastAsia" w:ascii="宋体" w:hAnsi="宋体" w:eastAsia="宋体" w:cs="宋体"/>
          <w:b/>
          <w:bCs/>
          <w:sz w:val="32"/>
          <w:szCs w:val="32"/>
        </w:rPr>
        <w:t>第二章  谈判须知</w:t>
      </w:r>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hAnsi="宋体" w:cs="宋体"/>
          <w:b/>
          <w:bCs/>
          <w:sz w:val="32"/>
          <w:szCs w:val="32"/>
        </w:rPr>
      </w:pPr>
      <w:bookmarkStart w:id="10" w:name="_Toc9591"/>
      <w:bookmarkStart w:id="11" w:name="_Toc14891066"/>
      <w:bookmarkStart w:id="12" w:name="_Toc6617"/>
      <w:bookmarkStart w:id="13" w:name="_Toc5430"/>
      <w:bookmarkStart w:id="14" w:name="_Toc3316"/>
      <w:r>
        <w:rPr>
          <w:rFonts w:hint="eastAsia" w:ascii="宋体" w:hAnsi="宋体" w:cs="宋体"/>
          <w:b/>
          <w:bCs/>
          <w:sz w:val="32"/>
          <w:szCs w:val="32"/>
        </w:rPr>
        <w:t>谈判须知前附表</w:t>
      </w:r>
      <w:bookmarkEnd w:id="10"/>
      <w:bookmarkEnd w:id="11"/>
      <w:bookmarkEnd w:id="12"/>
      <w:bookmarkEnd w:id="13"/>
      <w:bookmarkEnd w:id="14"/>
    </w:p>
    <w:tbl>
      <w:tblPr>
        <w:tblStyle w:val="46"/>
        <w:tblW w:w="965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tblHeader/>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名  称</w:t>
            </w:r>
          </w:p>
        </w:tc>
        <w:tc>
          <w:tcPr>
            <w:tcW w:w="7788"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2"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采购项目</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color w:val="auto"/>
                <w:szCs w:val="21"/>
              </w:rPr>
            </w:pPr>
            <w:r>
              <w:rPr>
                <w:rFonts w:hint="eastAsia" w:ascii="宋体" w:hAnsi="宋体" w:cs="宋体"/>
                <w:iCs/>
                <w:color w:val="auto"/>
                <w:szCs w:val="21"/>
              </w:rPr>
              <w:t>长沙市轨道交通1、2号线公务车采购项目（2019年度）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采购单位</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iCs/>
                <w:color w:val="auto"/>
                <w:szCs w:val="21"/>
              </w:rPr>
            </w:pPr>
            <w:r>
              <w:rPr>
                <w:rFonts w:hint="eastAsia" w:ascii="宋体" w:hAnsi="宋体" w:cs="宋体"/>
                <w:b w:val="0"/>
                <w:bCs w:val="0"/>
                <w:color w:val="auto"/>
                <w:szCs w:val="21"/>
                <w:lang w:eastAsia="zh-CN"/>
              </w:rPr>
              <w:t>长沙市轨道交通运营有限公司、</w:t>
            </w:r>
            <w:r>
              <w:rPr>
                <w:rFonts w:hint="eastAsia" w:ascii="宋体" w:hAnsi="宋体" w:cs="宋体"/>
                <w:iCs/>
                <w:color w:val="auto"/>
                <w:szCs w:val="21"/>
              </w:rPr>
              <w:t>长沙市轨道交通</w:t>
            </w:r>
            <w:r>
              <w:rPr>
                <w:rFonts w:hint="eastAsia" w:ascii="宋体" w:hAnsi="宋体" w:cs="宋体"/>
                <w:iCs/>
                <w:color w:val="auto"/>
                <w:szCs w:val="21"/>
                <w:lang w:eastAsia="zh-CN"/>
              </w:rPr>
              <w:t>一</w:t>
            </w:r>
            <w:r>
              <w:rPr>
                <w:rFonts w:hint="eastAsia" w:ascii="宋体" w:hAnsi="宋体" w:cs="宋体"/>
                <w:iCs/>
                <w:color w:val="auto"/>
                <w:szCs w:val="21"/>
              </w:rPr>
              <w:t>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采购代理机构</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iCs/>
                <w:szCs w:val="21"/>
              </w:rPr>
            </w:pPr>
            <w:r>
              <w:rPr>
                <w:rFonts w:hint="eastAsia" w:ascii="宋体" w:hAnsi="宋体" w:cs="宋体"/>
                <w:szCs w:val="21"/>
              </w:rPr>
              <w:t>湖南新泉工程造价咨询有限公司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color w:val="FF0000"/>
                <w:szCs w:val="21"/>
              </w:rPr>
            </w:pPr>
            <w:r>
              <w:rPr>
                <w:rFonts w:hint="eastAsia" w:ascii="宋体" w:hAnsi="宋体" w:cs="宋体"/>
                <w:b/>
                <w:szCs w:val="21"/>
              </w:rPr>
              <w:t>谈判控制价</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iCs/>
                <w:color w:val="FF0000"/>
                <w:szCs w:val="21"/>
              </w:rPr>
            </w:pPr>
            <w:r>
              <w:rPr>
                <w:rFonts w:hint="eastAsia" w:ascii="宋体" w:hAnsi="宋体" w:cs="宋体"/>
                <w:szCs w:val="21"/>
              </w:rPr>
              <w:t>1610000.00元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评审办法</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iCs/>
                <w:color w:val="FF0000"/>
                <w:szCs w:val="21"/>
              </w:rPr>
            </w:pPr>
            <w:r>
              <w:rPr>
                <w:rFonts w:hint="eastAsia" w:ascii="宋体" w:hAnsi="宋体" w:cs="宋体"/>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46"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highlight w:val="yellow"/>
              </w:rPr>
            </w:pPr>
            <w:r>
              <w:rPr>
                <w:rFonts w:hint="eastAsia" w:ascii="宋体" w:hAnsi="宋体" w:cs="宋体"/>
                <w:b/>
                <w:szCs w:val="21"/>
              </w:rPr>
              <w:t>资格要求</w:t>
            </w:r>
          </w:p>
        </w:tc>
        <w:tc>
          <w:tcPr>
            <w:tcW w:w="7788" w:type="dxa"/>
            <w:vAlign w:val="center"/>
          </w:tcPr>
          <w:p>
            <w:pPr>
              <w:keepNext w:val="0"/>
              <w:keepLines w:val="0"/>
              <w:pageBreakBefore w:val="0"/>
              <w:kinsoku/>
              <w:wordWrap/>
              <w:overflowPunct/>
              <w:topLinePunct w:val="0"/>
              <w:bidi w:val="0"/>
              <w:spacing w:line="360" w:lineRule="auto"/>
              <w:outlineLvl w:val="9"/>
              <w:rPr>
                <w:rFonts w:ascii="宋体" w:hAnsi="宋体" w:cs="宋体"/>
                <w:color w:val="000000"/>
                <w:szCs w:val="21"/>
              </w:rPr>
            </w:pPr>
            <w:r>
              <w:rPr>
                <w:rFonts w:hint="eastAsia" w:ascii="宋体" w:hAnsi="宋体" w:cs="宋体"/>
                <w:color w:val="000000"/>
                <w:szCs w:val="21"/>
              </w:rPr>
              <w:t>1.谈判单位须为具有独立法人资格、自主经营、独立核算的公司/单位，须提供营业执照副本原件。</w:t>
            </w:r>
          </w:p>
          <w:p>
            <w:pPr>
              <w:keepNext w:val="0"/>
              <w:keepLines w:val="0"/>
              <w:pageBreakBefore w:val="0"/>
              <w:kinsoku/>
              <w:wordWrap/>
              <w:overflowPunct/>
              <w:topLinePunct w:val="0"/>
              <w:bidi w:val="0"/>
              <w:spacing w:line="360" w:lineRule="auto"/>
              <w:outlineLvl w:val="9"/>
              <w:rPr>
                <w:rFonts w:ascii="宋体" w:hAnsi="宋体" w:cs="宋体"/>
                <w:color w:val="000000"/>
                <w:szCs w:val="21"/>
              </w:rPr>
            </w:pPr>
            <w:r>
              <w:rPr>
                <w:rFonts w:hint="eastAsia" w:ascii="宋体" w:hAnsi="宋体" w:cs="宋体"/>
                <w:color w:val="000000"/>
                <w:szCs w:val="21"/>
              </w:rPr>
              <w:t>2.谈判单位须为上汽大通的制造商或经销商或代理商。须提供资格证明文件原件。</w:t>
            </w:r>
          </w:p>
          <w:p>
            <w:pPr>
              <w:keepNext w:val="0"/>
              <w:keepLines w:val="0"/>
              <w:pageBreakBefore w:val="0"/>
              <w:kinsoku/>
              <w:wordWrap/>
              <w:overflowPunct/>
              <w:topLinePunct w:val="0"/>
              <w:bidi w:val="0"/>
              <w:spacing w:line="360" w:lineRule="auto"/>
              <w:outlineLvl w:val="9"/>
              <w:rPr>
                <w:rFonts w:ascii="宋体" w:hAnsi="宋体" w:cs="宋体"/>
                <w:color w:val="000000"/>
                <w:szCs w:val="21"/>
              </w:rPr>
            </w:pPr>
            <w:r>
              <w:rPr>
                <w:rFonts w:hint="eastAsia" w:ascii="宋体" w:hAnsi="宋体" w:cs="宋体"/>
                <w:color w:val="000000"/>
                <w:szCs w:val="21"/>
              </w:rPr>
              <w:t>3.谈判单位在本项目响应文件递交截止之日前36个月内，在经营活动中没有重大违法记录，须提供加盖谈判单位公章的相关证明文件。</w:t>
            </w:r>
          </w:p>
          <w:p>
            <w:pPr>
              <w:keepNext w:val="0"/>
              <w:keepLines w:val="0"/>
              <w:pageBreakBefore w:val="0"/>
              <w:kinsoku/>
              <w:wordWrap/>
              <w:overflowPunct/>
              <w:topLinePunct w:val="0"/>
              <w:bidi w:val="0"/>
              <w:spacing w:line="360" w:lineRule="auto"/>
              <w:outlineLvl w:val="9"/>
              <w:rPr>
                <w:rFonts w:ascii="宋体" w:hAnsi="宋体" w:cs="宋体"/>
                <w:color w:val="000000"/>
                <w:szCs w:val="21"/>
              </w:rPr>
            </w:pPr>
            <w:r>
              <w:rPr>
                <w:rFonts w:hint="eastAsia" w:ascii="宋体" w:hAnsi="宋体" w:cs="宋体"/>
                <w:color w:val="000000"/>
                <w:szCs w:val="21"/>
              </w:rPr>
              <w:t>4.本项目谈判不接受联合体形式参与。</w:t>
            </w:r>
          </w:p>
          <w:p>
            <w:pPr>
              <w:keepNext w:val="0"/>
              <w:keepLines w:val="0"/>
              <w:pageBreakBefore w:val="0"/>
              <w:kinsoku/>
              <w:wordWrap/>
              <w:overflowPunct/>
              <w:topLinePunct w:val="0"/>
              <w:bidi w:val="0"/>
              <w:spacing w:line="360" w:lineRule="auto"/>
              <w:outlineLvl w:val="9"/>
              <w:rPr>
                <w:rFonts w:ascii="宋体" w:hAnsi="宋体" w:cs="宋体"/>
                <w:color w:val="000000"/>
                <w:szCs w:val="21"/>
                <w:highlight w:val="yellow"/>
              </w:rPr>
            </w:pPr>
            <w:r>
              <w:rPr>
                <w:rFonts w:hint="eastAsia" w:ascii="宋体" w:hAnsi="宋体" w:cs="宋体"/>
                <w:color w:val="000000"/>
                <w:szCs w:val="21"/>
              </w:rPr>
              <w:t>5.被长沙市轨道交通集团函告禁止在一定期限内参与轨道公司项目投标或谈判的单位按函告内容执行。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谈判答疑文件递交截止时间</w:t>
            </w:r>
          </w:p>
        </w:tc>
        <w:tc>
          <w:tcPr>
            <w:tcW w:w="7788" w:type="dxa"/>
            <w:vAlign w:val="center"/>
          </w:tcPr>
          <w:p>
            <w:pPr>
              <w:pStyle w:val="25"/>
              <w:keepNext w:val="0"/>
              <w:keepLines w:val="0"/>
              <w:pageBreakBefore w:val="0"/>
              <w:kinsoku/>
              <w:wordWrap/>
              <w:overflowPunct/>
              <w:topLinePunct w:val="0"/>
              <w:bidi w:val="0"/>
              <w:adjustRightInd w:val="0"/>
              <w:snapToGrid w:val="0"/>
              <w:spacing w:line="360" w:lineRule="auto"/>
              <w:outlineLvl w:val="9"/>
              <w:rPr>
                <w:rFonts w:hint="eastAsia" w:hAnsi="宋体" w:eastAsia="宋体" w:cs="宋体"/>
                <w:color w:val="000000"/>
                <w:lang w:eastAsia="zh-CN"/>
              </w:rPr>
            </w:pPr>
            <w:r>
              <w:rPr>
                <w:rFonts w:hint="eastAsia" w:hAnsi="宋体" w:cs="宋体"/>
                <w:u w:val="single"/>
              </w:rPr>
              <w:t>2019</w:t>
            </w:r>
            <w:r>
              <w:rPr>
                <w:rFonts w:hint="eastAsia" w:hAnsi="宋体" w:cs="宋体"/>
              </w:rPr>
              <w:t>年</w:t>
            </w:r>
            <w:r>
              <w:rPr>
                <w:rFonts w:hint="eastAsia" w:hAnsi="宋体" w:cs="宋体"/>
                <w:u w:val="single"/>
              </w:rPr>
              <w:t xml:space="preserve"> </w:t>
            </w:r>
            <w:r>
              <w:rPr>
                <w:rFonts w:hint="eastAsia" w:hAnsi="宋体" w:cs="宋体"/>
                <w:u w:val="single"/>
                <w:lang w:val="en-US" w:eastAsia="zh-CN"/>
              </w:rPr>
              <w:t>10</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u w:val="single"/>
                <w:lang w:val="en-US" w:eastAsia="zh-CN"/>
              </w:rPr>
              <w:t>10</w:t>
            </w:r>
            <w:r>
              <w:rPr>
                <w:rFonts w:hint="eastAsia" w:hAnsi="宋体" w:cs="宋体"/>
                <w:u w:val="single"/>
              </w:rPr>
              <w:t xml:space="preserve"> </w:t>
            </w:r>
            <w:r>
              <w:rPr>
                <w:rFonts w:hint="eastAsia" w:hAnsi="宋体" w:cs="宋体"/>
              </w:rPr>
              <w:t>日</w:t>
            </w:r>
            <w:r>
              <w:rPr>
                <w:rFonts w:hint="eastAsia" w:hAnsi="宋体" w:cs="宋体"/>
                <w:u w:val="single"/>
              </w:rPr>
              <w:t xml:space="preserve"> </w:t>
            </w:r>
            <w:r>
              <w:rPr>
                <w:rFonts w:hint="eastAsia" w:hAnsi="宋体" w:cs="宋体"/>
                <w:u w:val="single"/>
                <w:lang w:val="en-US" w:eastAsia="zh-CN"/>
              </w:rPr>
              <w:t>17</w:t>
            </w:r>
            <w:r>
              <w:rPr>
                <w:rFonts w:hint="eastAsia" w:hAnsi="宋体" w:cs="宋体"/>
                <w:u w:val="single"/>
              </w:rPr>
              <w:t xml:space="preserve"> </w:t>
            </w:r>
            <w:r>
              <w:rPr>
                <w:rFonts w:hint="eastAsia" w:hAnsi="宋体" w:cs="宋体"/>
              </w:rPr>
              <w:t>时</w:t>
            </w:r>
            <w:r>
              <w:rPr>
                <w:rFonts w:hint="eastAsia" w:hAnsi="宋体" w:cs="宋体"/>
                <w:u w:val="single"/>
              </w:rPr>
              <w:t xml:space="preserve"> </w:t>
            </w:r>
            <w:r>
              <w:rPr>
                <w:rFonts w:hint="eastAsia" w:hAnsi="宋体" w:cs="宋体"/>
                <w:u w:val="single"/>
                <w:lang w:val="en-US" w:eastAsia="zh-CN"/>
              </w:rPr>
              <w:t>00</w:t>
            </w:r>
            <w:r>
              <w:rPr>
                <w:rFonts w:hint="eastAsia" w:hAnsi="宋体" w:cs="宋体"/>
                <w:u w:val="single"/>
              </w:rPr>
              <w:t xml:space="preserve"> </w:t>
            </w:r>
            <w:r>
              <w:rPr>
                <w:rFonts w:hint="eastAsia" w:hAnsi="宋体" w:cs="宋体"/>
              </w:rPr>
              <w:t>分</w:t>
            </w:r>
            <w:r>
              <w:rPr>
                <w:rFonts w:hint="eastAsia" w:hAnsi="宋体" w:cs="宋体"/>
                <w:lang w:eastAsia="zh-CN"/>
              </w:rPr>
              <w:t>（</w:t>
            </w:r>
            <w:r>
              <w:rPr>
                <w:rFonts w:hint="eastAsia" w:hAnsi="宋体" w:cs="宋体"/>
              </w:rPr>
              <w:t>北京时间</w:t>
            </w:r>
            <w:r>
              <w:rPr>
                <w:rFonts w:hint="eastAsia" w:hAnsi="宋体" w:cs="宋体"/>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41"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谈判答疑文件递交方式及地点</w:t>
            </w:r>
          </w:p>
        </w:tc>
        <w:tc>
          <w:tcPr>
            <w:tcW w:w="7788" w:type="dxa"/>
            <w:vAlign w:val="center"/>
          </w:tcPr>
          <w:p>
            <w:pPr>
              <w:pStyle w:val="25"/>
              <w:keepNext w:val="0"/>
              <w:keepLines w:val="0"/>
              <w:pageBreakBefore w:val="0"/>
              <w:kinsoku/>
              <w:wordWrap/>
              <w:overflowPunct/>
              <w:topLinePunct w:val="0"/>
              <w:bidi w:val="0"/>
              <w:adjustRightInd w:val="0"/>
              <w:snapToGrid w:val="0"/>
              <w:spacing w:line="360" w:lineRule="auto"/>
              <w:outlineLvl w:val="9"/>
              <w:rPr>
                <w:rFonts w:hAnsi="宋体" w:cs="宋体"/>
                <w:iCs/>
                <w:color w:val="FF0000"/>
              </w:rPr>
            </w:pPr>
            <w:r>
              <w:rPr>
                <w:rFonts w:hint="eastAsia" w:hAnsi="宋体" w:cs="宋体"/>
              </w:rPr>
              <w:t>谈判答疑文件应以书面形式递交至长沙市芙蓉中路三段420号华升大厦1418房间湖南新泉工程造价咨询有限公司。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21"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响应文件的递交截止及谈判时间</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hint="eastAsia" w:ascii="宋体" w:hAnsi="宋体" w:eastAsia="宋体" w:cs="宋体"/>
                <w:szCs w:val="21"/>
                <w:lang w:eastAsia="zh-CN"/>
              </w:rPr>
            </w:pPr>
            <w:r>
              <w:rPr>
                <w:rFonts w:hint="eastAsia" w:ascii="宋体" w:hAnsi="宋体" w:cs="宋体"/>
                <w:szCs w:val="21"/>
                <w:u w:val="single"/>
              </w:rPr>
              <w:t>2019</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15</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14</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u w:val="single"/>
                <w:lang w:val="en-US" w:eastAsia="zh-CN"/>
              </w:rPr>
              <w:t>30</w:t>
            </w:r>
            <w:r>
              <w:rPr>
                <w:rFonts w:hint="eastAsia" w:ascii="宋体" w:hAnsi="宋体" w:cs="宋体"/>
                <w:szCs w:val="21"/>
                <w:u w:val="single"/>
              </w:rPr>
              <w:t xml:space="preserve"> </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北京时间</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响应文件的递交及谈判地点</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szCs w:val="21"/>
              </w:rPr>
            </w:pPr>
            <w:r>
              <w:rPr>
                <w:rFonts w:hint="eastAsia" w:ascii="宋体" w:hAnsi="宋体" w:eastAsia="宋体" w:cs="宋体"/>
                <w:color w:val="auto"/>
                <w:sz w:val="21"/>
                <w:szCs w:val="21"/>
              </w:rPr>
              <w:t>长沙市劳动东路二段48号长沙市轨道交通运营有限公司综合楼910室。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谈判现场验证须提交的资料</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7"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响应文件有效期</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响应文件份数</w:t>
            </w:r>
          </w:p>
        </w:tc>
        <w:tc>
          <w:tcPr>
            <w:tcW w:w="7788" w:type="dxa"/>
            <w:vAlign w:val="center"/>
          </w:tcPr>
          <w:p>
            <w:pPr>
              <w:keepNext w:val="0"/>
              <w:keepLines w:val="0"/>
              <w:pageBreakBefore w:val="0"/>
              <w:kinsoku/>
              <w:wordWrap/>
              <w:overflowPunct/>
              <w:topLinePunct w:val="0"/>
              <w:bidi w:val="0"/>
              <w:adjustRightInd w:val="0"/>
              <w:snapToGrid w:val="0"/>
              <w:spacing w:line="360" w:lineRule="auto"/>
              <w:outlineLvl w:val="9"/>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6"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价格承包内容</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color w:val="000000"/>
              </w:rPr>
            </w:pPr>
            <w:r>
              <w:rPr>
                <w:rFonts w:hint="eastAsia" w:ascii="宋体" w:hAnsi="宋体" w:cs="宋体"/>
                <w:color w:val="000000"/>
              </w:rPr>
              <w:t>1.本合同为总价合同，合同总价在合同执行过程中固定不变，不受政策、法规变化以及汇率浮动、物价指数浮动等因素的影响。</w:t>
            </w:r>
          </w:p>
          <w:p>
            <w:pPr>
              <w:keepNext w:val="0"/>
              <w:keepLines w:val="0"/>
              <w:pageBreakBefore w:val="0"/>
              <w:kinsoku/>
              <w:wordWrap/>
              <w:overflowPunct/>
              <w:topLinePunct w:val="0"/>
              <w:bidi w:val="0"/>
              <w:adjustRightInd w:val="0"/>
              <w:snapToGrid w:val="0"/>
              <w:spacing w:line="360" w:lineRule="auto"/>
              <w:outlineLvl w:val="9"/>
              <w:rPr>
                <w:rFonts w:ascii="宋体" w:hAnsi="宋体" w:cs="宋体"/>
                <w:szCs w:val="21"/>
              </w:rPr>
            </w:pPr>
            <w:r>
              <w:rPr>
                <w:rFonts w:hint="eastAsia" w:ascii="宋体" w:hAnsi="宋体" w:cs="宋体"/>
                <w:color w:val="000000"/>
              </w:rPr>
              <w:t>2.合同价格包括但不限于物资制造前的准备、设计联络（如果有）、设计（如果有）、制造、出厂检验、包装、发货、运输至现场指定地点、装卸、安装/安装督导（如果有）、现场检验及验收、调试（如果有）、向政府机构报检（如果有）、试运行服务（如果有）及质量保证服务、培训（如果有）、售后服务等履行合同标的全过程产生的所有成本和费用以及乙方应承担的一切税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color w:val="FF0000"/>
                <w:szCs w:val="21"/>
              </w:rPr>
            </w:pPr>
            <w:r>
              <w:rPr>
                <w:rFonts w:hint="eastAsia" w:ascii="宋体" w:hAnsi="宋体" w:cs="宋体"/>
                <w:b/>
                <w:szCs w:val="21"/>
              </w:rPr>
              <w:t>项目支付方式</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pPr>
            <w:r>
              <w:rPr>
                <w:rFonts w:hint="eastAsia"/>
              </w:rPr>
              <w:t>1</w:t>
            </w:r>
            <w:bookmarkStart w:id="519" w:name="_GoBack"/>
            <w:bookmarkEnd w:id="519"/>
            <w:r>
              <w:rPr>
                <w:rFonts w:hint="eastAsia"/>
              </w:rPr>
              <w:t>.预付款：本项目不支付预付款。</w:t>
            </w:r>
          </w:p>
          <w:p>
            <w:pPr>
              <w:keepNext w:val="0"/>
              <w:keepLines w:val="0"/>
              <w:pageBreakBefore w:val="0"/>
              <w:kinsoku/>
              <w:wordWrap/>
              <w:overflowPunct/>
              <w:topLinePunct w:val="0"/>
              <w:bidi w:val="0"/>
              <w:adjustRightInd w:val="0"/>
              <w:snapToGrid w:val="0"/>
              <w:spacing w:line="360" w:lineRule="auto"/>
              <w:jc w:val="left"/>
              <w:outlineLvl w:val="9"/>
              <w:rPr>
                <w:rFonts w:hint="eastAsia"/>
                <w:lang w:eastAsia="zh-CN"/>
              </w:rPr>
            </w:pPr>
            <w:r>
              <w:rPr>
                <w:rFonts w:hint="eastAsia"/>
              </w:rPr>
              <w:t>2.</w:t>
            </w:r>
            <w:r>
              <w:rPr>
                <w:rFonts w:hint="eastAsia"/>
                <w:lang w:eastAsia="zh-CN"/>
              </w:rPr>
              <w:t>履约验收</w:t>
            </w:r>
            <w:r>
              <w:rPr>
                <w:rFonts w:hint="eastAsia"/>
              </w:rPr>
              <w:t>完成付款</w:t>
            </w:r>
            <w:r>
              <w:rPr>
                <w:rFonts w:hint="eastAsia"/>
                <w:lang w:eastAsia="zh-CN"/>
              </w:rPr>
              <w:t>：所有物资到货且经甲方验收合格，项目按合同约定完成履约且按甲方相关规定办理履约验收，履约验收完成后，在收到乙方支付申请并证实完整后28个工作日内，支付至合同价格的</w:t>
            </w:r>
            <w:r>
              <w:rPr>
                <w:rFonts w:hint="eastAsia"/>
                <w:lang w:val="en-US" w:eastAsia="zh-CN"/>
              </w:rPr>
              <w:t>100</w:t>
            </w:r>
            <w:r>
              <w:rPr>
                <w:rFonts w:hint="eastAsia"/>
                <w:lang w:eastAsia="zh-CN"/>
              </w:rPr>
              <w:t>%。</w:t>
            </w:r>
          </w:p>
          <w:p>
            <w:pPr>
              <w:tabs>
                <w:tab w:val="left" w:pos="1248"/>
              </w:tabs>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pPr>
            <w:r>
              <w:rPr>
                <w:rFonts w:hint="eastAsia" w:ascii="宋体" w:hAnsi="宋体" w:eastAsia="宋体" w:cs="宋体"/>
                <w:color w:val="000000"/>
                <w:sz w:val="21"/>
                <w:szCs w:val="21"/>
                <w:lang w:val="en-US" w:eastAsia="zh-CN"/>
              </w:rPr>
              <w:t>4</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乙方提供的相关单据，其中增值税专用发票应符合税法相关规定，金额为合同总价款，包括收取的奖励费、包装物租金等价外费用，安装调试费、运输费不得另行开具服务类专用发票。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信息发布</w:t>
            </w:r>
          </w:p>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指定媒体</w:t>
            </w:r>
          </w:p>
        </w:tc>
        <w:tc>
          <w:tcPr>
            <w:tcW w:w="7788" w:type="dxa"/>
            <w:vAlign w:val="center"/>
          </w:tcPr>
          <w:p>
            <w:pPr>
              <w:keepNext w:val="0"/>
              <w:keepLines w:val="0"/>
              <w:pageBreakBefore w:val="0"/>
              <w:kinsoku/>
              <w:wordWrap/>
              <w:overflowPunct/>
              <w:topLinePunct w:val="0"/>
              <w:bidi w:val="0"/>
              <w:adjustRightInd w:val="0"/>
              <w:snapToGrid w:val="0"/>
              <w:spacing w:line="360" w:lineRule="auto"/>
              <w:outlineLvl w:val="9"/>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rPr>
              <w:t>http://www.hncsmtr.com/</w:t>
            </w:r>
            <w:r>
              <w:rPr>
                <w:rStyle w:val="55"/>
                <w:rFonts w:hint="eastAsia" w:ascii="宋体" w:hAnsi="宋体" w:cs="宋体"/>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采购代理服务费</w:t>
            </w:r>
          </w:p>
        </w:tc>
        <w:tc>
          <w:tcPr>
            <w:tcW w:w="7788" w:type="dxa"/>
            <w:vAlign w:val="center"/>
          </w:tcPr>
          <w:p>
            <w:pPr>
              <w:keepNext w:val="0"/>
              <w:keepLines w:val="0"/>
              <w:pageBreakBefore w:val="0"/>
              <w:kinsoku/>
              <w:wordWrap/>
              <w:overflowPunct/>
              <w:topLinePunct w:val="0"/>
              <w:bidi w:val="0"/>
              <w:adjustRightInd w:val="0"/>
              <w:snapToGrid w:val="0"/>
              <w:spacing w:line="360" w:lineRule="auto"/>
              <w:outlineLvl w:val="9"/>
              <w:rPr>
                <w:rFonts w:ascii="宋体" w:hAnsi="宋体" w:cs="宋体"/>
                <w:szCs w:val="21"/>
              </w:rPr>
            </w:pPr>
            <w:r>
              <w:rPr>
                <w:rFonts w:hint="eastAsia" w:ascii="宋体" w:hAnsi="宋体" w:cs="宋体"/>
                <w:szCs w:val="21"/>
              </w:rPr>
              <w:t>本项目采购代理服务费以中选价为基数，按《招标代理服务收费汇率表》</w:t>
            </w:r>
            <w:r>
              <w:rPr>
                <w:rFonts w:hint="eastAsia" w:ascii="宋体" w:hAnsi="宋体" w:cs="宋体"/>
                <w:szCs w:val="21"/>
                <w:lang w:eastAsia="zh-CN"/>
              </w:rPr>
              <w:t>（</w:t>
            </w:r>
            <w:r>
              <w:rPr>
                <w:rFonts w:hint="eastAsia" w:ascii="宋体" w:hAnsi="宋体" w:cs="宋体"/>
                <w:szCs w:val="21"/>
              </w:rPr>
              <w:t>附件</w:t>
            </w:r>
            <w:r>
              <w:rPr>
                <w:rFonts w:hint="eastAsia" w:ascii="宋体" w:hAnsi="宋体" w:cs="宋体"/>
                <w:szCs w:val="21"/>
                <w:lang w:eastAsia="zh-CN"/>
              </w:rPr>
              <w:t>）</w:t>
            </w:r>
            <w:r>
              <w:rPr>
                <w:rFonts w:hint="eastAsia" w:ascii="宋体" w:hAnsi="宋体" w:cs="宋体"/>
                <w:szCs w:val="21"/>
              </w:rPr>
              <w:t>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其他规定</w:t>
            </w:r>
          </w:p>
        </w:tc>
        <w:tc>
          <w:tcPr>
            <w:tcW w:w="7788" w:type="dxa"/>
            <w:vAlign w:val="center"/>
          </w:tcPr>
          <w:p>
            <w:pPr>
              <w:keepNext w:val="0"/>
              <w:keepLines w:val="0"/>
              <w:pageBreakBefore w:val="0"/>
              <w:kinsoku/>
              <w:wordWrap/>
              <w:overflowPunct/>
              <w:topLinePunct w:val="0"/>
              <w:bidi w:val="0"/>
              <w:adjustRightInd w:val="0"/>
              <w:snapToGrid w:val="0"/>
              <w:spacing w:line="360" w:lineRule="auto"/>
              <w:outlineLvl w:val="9"/>
              <w:rPr>
                <w:rFonts w:ascii="宋体" w:hAnsi="宋体" w:cs="宋体"/>
                <w:szCs w:val="21"/>
              </w:rPr>
            </w:pPr>
            <w:r>
              <w:rPr>
                <w:rFonts w:hint="eastAsia" w:ascii="宋体" w:hAnsi="宋体" w:cs="宋体"/>
                <w:szCs w:val="21"/>
              </w:rPr>
              <w:t>（如有）</w:t>
            </w:r>
          </w:p>
        </w:tc>
      </w:tr>
    </w:tbl>
    <w:p>
      <w:pPr>
        <w:keepNext w:val="0"/>
        <w:keepLines w:val="0"/>
        <w:pageBreakBefore w:val="0"/>
        <w:kinsoku/>
        <w:wordWrap/>
        <w:overflowPunct/>
        <w:topLinePunct w:val="0"/>
        <w:bidi w:val="0"/>
        <w:jc w:val="center"/>
        <w:outlineLvl w:val="9"/>
        <w:rPr>
          <w:rFonts w:ascii="宋体" w:hAnsi="宋体"/>
          <w:sz w:val="30"/>
          <w:szCs w:val="30"/>
        </w:rPr>
      </w:pPr>
      <w:bookmarkStart w:id="15" w:name="_Toc14891067"/>
    </w:p>
    <w:p>
      <w:pPr>
        <w:keepNext w:val="0"/>
        <w:keepLines w:val="0"/>
        <w:pageBreakBefore w:val="0"/>
        <w:widowControl/>
        <w:kinsoku/>
        <w:wordWrap/>
        <w:overflowPunct/>
        <w:topLinePunct w:val="0"/>
        <w:bidi w:val="0"/>
        <w:jc w:val="left"/>
        <w:outlineLvl w:val="9"/>
        <w:rPr>
          <w:rFonts w:ascii="宋体" w:hAnsi="宋体"/>
        </w:rPr>
        <w:sectPr>
          <w:footerReference r:id="rId4" w:type="default"/>
          <w:pgSz w:w="11906" w:h="16838"/>
          <w:pgMar w:top="1440" w:right="1797" w:bottom="1440" w:left="1797" w:header="851" w:footer="851" w:gutter="0"/>
          <w:pgNumType w:fmt="decimal"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32"/>
          <w:szCs w:val="32"/>
        </w:rPr>
      </w:pPr>
      <w:bookmarkStart w:id="16" w:name="_Toc16939"/>
      <w:bookmarkStart w:id="17" w:name="_Toc26157"/>
      <w:bookmarkStart w:id="18" w:name="_Toc30640"/>
      <w:bookmarkStart w:id="19" w:name="_Toc16143"/>
      <w:r>
        <w:rPr>
          <w:rFonts w:hint="eastAsia" w:ascii="宋体" w:hAnsi="宋体" w:eastAsia="宋体" w:cs="宋体"/>
          <w:b/>
          <w:bCs/>
          <w:sz w:val="32"/>
          <w:szCs w:val="32"/>
        </w:rPr>
        <w:t>谈判须知正文</w:t>
      </w:r>
      <w:bookmarkEnd w:id="15"/>
      <w:bookmarkEnd w:id="16"/>
      <w:bookmarkEnd w:id="17"/>
      <w:bookmarkEnd w:id="18"/>
      <w:bookmarkEnd w:id="19"/>
    </w:p>
    <w:p>
      <w:pPr>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cs="宋体"/>
          <w:b/>
          <w:bCs/>
          <w:sz w:val="21"/>
          <w:szCs w:val="21"/>
        </w:rPr>
      </w:pPr>
      <w:bookmarkStart w:id="20" w:name="_Toc14891068"/>
      <w:bookmarkStart w:id="21" w:name="_Toc28504"/>
      <w:r>
        <w:rPr>
          <w:rFonts w:hint="eastAsia" w:ascii="宋体" w:hAnsi="宋体" w:cs="宋体"/>
          <w:b/>
          <w:bCs/>
          <w:sz w:val="21"/>
          <w:szCs w:val="21"/>
        </w:rPr>
        <w:t>一、说明</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w:t>
      </w:r>
      <w:r>
        <w:rPr>
          <w:rFonts w:hint="eastAsia" w:ascii="宋体" w:hAnsi="宋体" w:cs="宋体"/>
          <w:b/>
          <w:szCs w:val="21"/>
          <w:lang w:eastAsia="zh-CN"/>
        </w:rPr>
        <w:t>（</w:t>
      </w:r>
      <w:r>
        <w:rPr>
          <w:rFonts w:hint="eastAsia" w:ascii="宋体" w:hAnsi="宋体" w:cs="宋体"/>
          <w:b/>
          <w:szCs w:val="21"/>
        </w:rPr>
        <w:t>以下简称前附表</w:t>
      </w:r>
      <w:r>
        <w:rPr>
          <w:rFonts w:hint="eastAsia" w:ascii="宋体" w:hAnsi="宋体" w:cs="宋体"/>
          <w:b/>
          <w:szCs w:val="21"/>
          <w:lang w:eastAsia="zh-CN"/>
        </w:rPr>
        <w:t>）</w:t>
      </w:r>
      <w:r>
        <w:rPr>
          <w:rFonts w:hint="eastAsia" w:ascii="宋体" w:hAnsi="宋体" w:cs="宋体"/>
          <w:b/>
          <w:szCs w:val="21"/>
        </w:rPr>
        <w:t>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szCs w:val="21"/>
        </w:rPr>
      </w:pPr>
      <w:r>
        <w:rPr>
          <w:rFonts w:hint="eastAsia" w:ascii="宋体" w:hAnsi="宋体" w:cs="宋体"/>
          <w:b/>
          <w:szCs w:val="21"/>
        </w:rPr>
        <w:t>2.本谈判文件的解释权属于长沙市轨道交通运营有限公司。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3.3“采购代理机构”是指接受采购人委托，代理采购项目的机构。本采购项目的采购代理机构名称见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keepNext w:val="0"/>
        <w:keepLines w:val="0"/>
        <w:pageBreakBefore w:val="0"/>
        <w:widowControl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keepNext w:val="0"/>
        <w:keepLines w:val="0"/>
        <w:pageBreakBefore w:val="0"/>
        <w:widowControl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keepNext w:val="0"/>
        <w:keepLines w:val="0"/>
        <w:pageBreakBefore w:val="0"/>
        <w:widowControl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（3）与本采购项目的其他谈判单位存在控股、管理关系；</w:t>
      </w:r>
    </w:p>
    <w:p>
      <w:pPr>
        <w:pStyle w:val="356"/>
        <w:keepNext w:val="0"/>
        <w:keepLines w:val="0"/>
        <w:pageBreakBefore w:val="0"/>
        <w:widowControl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（4）被责令停产停业、暂扣或者吊销许可证、暂扣或者吊销执照；</w:t>
      </w:r>
    </w:p>
    <w:p>
      <w:pPr>
        <w:pStyle w:val="356"/>
        <w:keepNext w:val="0"/>
        <w:keepLines w:val="0"/>
        <w:pageBreakBefore w:val="0"/>
        <w:widowControl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（5）进入破产、清算、注销程序，或存在其他可能丧失履约能力的情形；</w:t>
      </w:r>
    </w:p>
    <w:p>
      <w:pPr>
        <w:pStyle w:val="356"/>
        <w:keepNext w:val="0"/>
        <w:keepLines w:val="0"/>
        <w:pageBreakBefore w:val="0"/>
        <w:widowControl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Ansi="宋体" w:cs="宋体"/>
          <w:b/>
          <w:bCs/>
        </w:rPr>
      </w:pPr>
      <w:r>
        <w:rPr>
          <w:rFonts w:hint="eastAsia" w:hAnsi="宋体" w:cs="宋体"/>
          <w:b/>
        </w:rPr>
        <w:t>6．</w:t>
      </w:r>
      <w:r>
        <w:rPr>
          <w:rFonts w:hint="eastAsia" w:hAnsi="宋体" w:cs="宋体"/>
          <w:b/>
          <w:bCs/>
        </w:rPr>
        <w:t>谈判单位代表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sz w:val="21"/>
          <w:szCs w:val="21"/>
        </w:rPr>
      </w:pPr>
      <w:bookmarkStart w:id="22" w:name="_Toc30689"/>
      <w:bookmarkStart w:id="23" w:name="_Toc14891069"/>
      <w:r>
        <w:rPr>
          <w:rFonts w:hint="eastAsia" w:ascii="宋体" w:hAnsi="宋体" w:eastAsia="宋体" w:cs="宋体"/>
          <w:b/>
          <w:bCs/>
          <w:sz w:val="21"/>
          <w:szCs w:val="21"/>
        </w:rPr>
        <w:t>二、谈判文件</w:t>
      </w:r>
      <w:bookmarkEnd w:id="22"/>
      <w:bookmarkEnd w:id="2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7．谈判文件的组成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7.1谈判文件由下列文件组成：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第一章 谈判邀请公告</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第二章 谈判须知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第三章 评审办法及标准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第四章 用户需求书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第五章 合同格式条款</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第六章 响应文件组成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sz w:val="21"/>
          <w:szCs w:val="21"/>
        </w:rPr>
      </w:pPr>
      <w:bookmarkStart w:id="24" w:name="_Toc14891070"/>
      <w:bookmarkStart w:id="25" w:name="_Toc2701"/>
      <w:r>
        <w:rPr>
          <w:rFonts w:hint="eastAsia" w:ascii="宋体" w:hAnsi="宋体" w:eastAsia="宋体" w:cs="宋体"/>
          <w:b/>
          <w:bCs/>
          <w:sz w:val="21"/>
          <w:szCs w:val="21"/>
        </w:rPr>
        <w:t>三、响应文件</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Cs/>
          <w:szCs w:val="21"/>
        </w:rPr>
      </w:pPr>
      <w:r>
        <w:rPr>
          <w:rFonts w:hint="eastAsia" w:ascii="宋体" w:hAnsi="宋体" w:cs="宋体"/>
          <w:bCs/>
          <w:szCs w:val="21"/>
        </w:rPr>
        <w:t>10.1谈判单位应仔细阅读谈判文件的所有内容，按谈判文件的要求编制响应文件，并保证所提供的全部资料的真实性。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10.5谈判单位提交的响应文件应按谈判文件中提供的响应文件格式编制。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11.1响应文件应包括下列内容：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（1）谈判承诺书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（2）法定代表人身份证明书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（3）授权委托书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（4）谈判单位资格证明文件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（5）报价一览表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（6）分项价格表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（7）其他资料（如有）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12.报价要求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12.1谈判单位应按第六章“响应文件格式”的要求在报价文件中进行报价。谈判单位所报的总价及综合单价均不得超过谈判控制价，不超过谈判控制价的报价方为有效报价，谈判时需明确税费，税率必须符合国家政策法规规定，合同支付时服务单位需开具经</w:t>
      </w:r>
      <w:r>
        <w:rPr>
          <w:rFonts w:hint="eastAsia" w:ascii="宋体" w:hAnsi="宋体" w:cs="宋体"/>
          <w:b/>
          <w:szCs w:val="21"/>
        </w:rPr>
        <w:t>采购单位</w:t>
      </w:r>
      <w:r>
        <w:rPr>
          <w:rFonts w:hint="eastAsia" w:ascii="宋体" w:hAnsi="宋体" w:cs="宋体"/>
          <w:szCs w:val="21"/>
        </w:rPr>
        <w:t>认可的合法完税单据。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12.2谈判单位应充分了解该项目的总体情况以及影响谈判报价的其他要素。</w:t>
      </w:r>
      <w:r>
        <w:rPr>
          <w:rFonts w:hint="eastAsia" w:ascii="宋体" w:hAnsi="宋体" w:cs="宋体"/>
          <w:b/>
          <w:szCs w:val="21"/>
        </w:rPr>
        <w:t>最终结算以长沙市轨道交通运营有限公司审核为准。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12.4本项目谈判控制价见</w:t>
      </w:r>
      <w:r>
        <w:rPr>
          <w:rFonts w:hint="eastAsia" w:ascii="宋体" w:hAnsi="宋体" w:cs="宋体"/>
          <w:b/>
          <w:szCs w:val="21"/>
        </w:rPr>
        <w:t>前附表</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12.6谈判单位递交两份或多份内容不同的报价文件，或在一份报价文件中对同一项目报有两个或多个报价，且未声明哪一个有效的，将被认为是非实质响应而被拒绝。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color w:val="FF0000"/>
          <w:szCs w:val="21"/>
        </w:rPr>
      </w:pPr>
      <w:r>
        <w:rPr>
          <w:rFonts w:hint="eastAsia" w:ascii="宋体" w:hAnsi="宋体" w:cs="宋体"/>
          <w:bCs/>
          <w:szCs w:val="21"/>
        </w:rPr>
        <w:t>12.7最低报价不能作为中选的保证。</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szCs w:val="21"/>
        </w:rPr>
        <w:t>12.8</w:t>
      </w:r>
      <w:r>
        <w:rPr>
          <w:rFonts w:hint="eastAsia" w:ascii="宋体" w:hAnsi="宋体" w:cs="宋体"/>
          <w:color w:val="000000"/>
        </w:rPr>
        <w:t>本合同为总价</w:t>
      </w:r>
      <w:r>
        <w:rPr>
          <w:rFonts w:hint="eastAsia" w:ascii="宋体" w:hAnsi="宋体" w:cs="宋体"/>
          <w:color w:val="000000"/>
          <w:lang w:eastAsia="zh-CN"/>
        </w:rPr>
        <w:t>方式</w:t>
      </w:r>
      <w:r>
        <w:rPr>
          <w:rFonts w:hint="eastAsia" w:ascii="宋体" w:hAnsi="宋体" w:cs="宋体"/>
          <w:color w:val="000000"/>
        </w:rPr>
        <w:t>，</w:t>
      </w:r>
      <w:r>
        <w:rPr>
          <w:rFonts w:hint="eastAsia" w:ascii="宋体" w:hAnsi="宋体" w:eastAsia="宋体" w:cs="宋体"/>
          <w:color w:val="000000"/>
          <w:sz w:val="21"/>
          <w:szCs w:val="21"/>
        </w:rPr>
        <w:t>合同价格包括</w:t>
      </w:r>
      <w:r>
        <w:rPr>
          <w:rFonts w:hint="eastAsia" w:ascii="宋体" w:hAnsi="宋体" w:eastAsia="宋体" w:cs="宋体"/>
          <w:color w:val="000000"/>
          <w:sz w:val="21"/>
          <w:szCs w:val="21"/>
          <w:lang w:eastAsia="zh-CN"/>
        </w:rPr>
        <w:t>但不限于</w:t>
      </w:r>
      <w:r>
        <w:rPr>
          <w:rFonts w:hint="eastAsia" w:ascii="宋体" w:hAnsi="宋体" w:eastAsia="宋体" w:cs="宋体"/>
          <w:color w:val="000000"/>
          <w:sz w:val="21"/>
          <w:szCs w:val="21"/>
        </w:rPr>
        <w:t>物资制造前的准备、设计联络（如果有）、设计（如果有）、制造、出厂检验、包装、发货、运输至现场指定地点、装卸、安装/安装督导（如果有）、现场检验及验收、调试（如果有）、向政府机构报检（如果有）、试运行服务（如果有）及质量保证服务、培训（如果有）、售后服务等履行合同标的全过程产生的所有成本和费用以及乙方应承担的一切税费。</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14.响应文件的编制</w:t>
      </w:r>
    </w:p>
    <w:p>
      <w:pPr>
        <w:pStyle w:val="356"/>
        <w:keepNext w:val="0"/>
        <w:keepLines w:val="0"/>
        <w:pageBreakBefore w:val="0"/>
        <w:widowControl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14.1响应文件应按</w:t>
      </w:r>
      <w:r>
        <w:rPr>
          <w:rFonts w:hint="eastAsia" w:hAnsi="宋体" w:cs="宋体"/>
          <w:b/>
          <w:bCs/>
          <w:sz w:val="21"/>
          <w:szCs w:val="21"/>
        </w:rPr>
        <w:t>第六章</w:t>
      </w:r>
      <w:r>
        <w:rPr>
          <w:rFonts w:hint="eastAsia" w:hAnsi="宋体" w:cs="宋体"/>
          <w:sz w:val="21"/>
          <w:szCs w:val="21"/>
        </w:rPr>
        <w:t>“响应文件格式”进行编写，如有必要，可以增加附页，作为响应文件的组成部分。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14.2响应文件应用不褪色的材料书写或打印（建议双面打印），并按</w:t>
      </w:r>
      <w:r>
        <w:rPr>
          <w:rFonts w:hint="eastAsia" w:hAnsi="宋体" w:cs="宋体"/>
          <w:b/>
          <w:bCs/>
        </w:rPr>
        <w:t>第六章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第六章</w:t>
      </w:r>
      <w:r>
        <w:rPr>
          <w:rFonts w:hint="eastAsia" w:hAnsi="宋体" w:cs="宋体"/>
        </w:rPr>
        <w:t>“响应文件格式”的要求。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sz w:val="21"/>
          <w:szCs w:val="21"/>
        </w:rPr>
      </w:pPr>
      <w:bookmarkStart w:id="26" w:name="_Toc14891071"/>
      <w:bookmarkStart w:id="27" w:name="_Toc9319"/>
      <w:r>
        <w:rPr>
          <w:rFonts w:hint="eastAsia" w:ascii="宋体" w:hAnsi="宋体" w:eastAsia="宋体" w:cs="宋体"/>
          <w:b/>
          <w:bCs/>
          <w:sz w:val="21"/>
          <w:szCs w:val="21"/>
        </w:rPr>
        <w:t>四、响应文件的递交</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bCs/>
          <w:szCs w:val="21"/>
        </w:rPr>
      </w:pPr>
      <w:r>
        <w:rPr>
          <w:rFonts w:hint="eastAsia" w:ascii="宋体" w:hAnsi="宋体" w:cs="宋体"/>
          <w:szCs w:val="21"/>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7938" w:type="dxa"/>
          </w:tcPr>
          <w:p>
            <w:pPr>
              <w:keepNext w:val="0"/>
              <w:keepLines w:val="0"/>
              <w:pageBreakBefore w:val="0"/>
              <w:kinsoku/>
              <w:wordWrap/>
              <w:overflowPunct/>
              <w:topLinePunct w:val="0"/>
              <w:bidi w:val="0"/>
              <w:spacing w:line="360" w:lineRule="auto"/>
              <w:outlineLvl w:val="9"/>
              <w:rPr>
                <w:rFonts w:ascii="宋体" w:hAnsi="宋体" w:cs="宋体"/>
                <w:szCs w:val="21"/>
                <w:u w:val="single"/>
              </w:rPr>
            </w:pPr>
            <w:r>
              <w:rPr>
                <w:rFonts w:hint="eastAsia" w:ascii="宋体" w:hAnsi="宋体" w:cs="宋体"/>
                <w:szCs w:val="21"/>
              </w:rPr>
              <w:t>采购单位：</w:t>
            </w:r>
          </w:p>
          <w:p>
            <w:pPr>
              <w:keepNext w:val="0"/>
              <w:keepLines w:val="0"/>
              <w:pageBreakBefore w:val="0"/>
              <w:kinsoku/>
              <w:wordWrap/>
              <w:overflowPunct/>
              <w:topLinePunct w:val="0"/>
              <w:bidi w:val="0"/>
              <w:spacing w:line="360" w:lineRule="auto"/>
              <w:outlineLvl w:val="9"/>
              <w:rPr>
                <w:rFonts w:ascii="宋体" w:hAnsi="宋体" w:cs="宋体"/>
                <w:szCs w:val="21"/>
                <w:u w:val="single"/>
              </w:rPr>
            </w:pPr>
            <w:r>
              <w:rPr>
                <w:rFonts w:hint="eastAsia" w:ascii="宋体" w:hAnsi="宋体" w:cs="宋体"/>
                <w:szCs w:val="21"/>
              </w:rPr>
              <w:t>项目名称：</w:t>
            </w:r>
          </w:p>
          <w:p>
            <w:pPr>
              <w:keepNext w:val="0"/>
              <w:keepLines w:val="0"/>
              <w:pageBreakBefore w:val="0"/>
              <w:kinsoku/>
              <w:wordWrap/>
              <w:overflowPunct/>
              <w:topLinePunct w:val="0"/>
              <w:bidi w:val="0"/>
              <w:spacing w:line="360" w:lineRule="auto"/>
              <w:outlineLvl w:val="9"/>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（填写单位名称并加盖单位公章）</w:t>
            </w:r>
          </w:p>
          <w:p>
            <w:pPr>
              <w:keepNext w:val="0"/>
              <w:keepLines w:val="0"/>
              <w:pageBreakBefore w:val="0"/>
              <w:kinsoku/>
              <w:wordWrap/>
              <w:overflowPunct/>
              <w:topLinePunct w:val="0"/>
              <w:bidi w:val="0"/>
              <w:spacing w:line="360" w:lineRule="auto"/>
              <w:ind w:firstLine="840" w:firstLineChars="400"/>
              <w:outlineLvl w:val="9"/>
              <w:rPr>
                <w:rFonts w:ascii="宋体" w:hAnsi="宋体" w:cs="宋体"/>
                <w:szCs w:val="21"/>
              </w:rPr>
            </w:pPr>
            <w:r>
              <w:rPr>
                <w:rFonts w:hint="eastAsia" w:ascii="宋体" w:hAnsi="宋体" w:cs="宋体"/>
                <w:bCs/>
                <w:szCs w:val="21"/>
              </w:rPr>
              <w:t>年  月  日</w:t>
            </w:r>
          </w:p>
        </w:tc>
      </w:tr>
    </w:tbl>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17.响应文件的递交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sz w:val="21"/>
          <w:szCs w:val="21"/>
        </w:rPr>
      </w:pPr>
      <w:bookmarkStart w:id="28" w:name="_Toc7470"/>
      <w:bookmarkStart w:id="29" w:name="_Toc14891072"/>
      <w:r>
        <w:rPr>
          <w:rFonts w:hint="eastAsia" w:ascii="宋体" w:hAnsi="宋体" w:eastAsia="宋体" w:cs="宋体"/>
          <w:b/>
          <w:bCs/>
          <w:sz w:val="21"/>
          <w:szCs w:val="21"/>
        </w:rPr>
        <w:t>五、响应文件的评审</w:t>
      </w:r>
      <w:bookmarkEnd w:id="28"/>
      <w:bookmarkEnd w:id="29"/>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szCs w:val="21"/>
        </w:rPr>
      </w:pPr>
      <w:r>
        <w:rPr>
          <w:rFonts w:hint="eastAsia" w:ascii="宋体" w:hAnsi="宋体" w:cs="宋体"/>
          <w:b/>
          <w:bCs/>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sz w:val="21"/>
          <w:szCs w:val="21"/>
        </w:rPr>
      </w:pPr>
      <w:bookmarkStart w:id="30" w:name="_Toc27657"/>
      <w:bookmarkStart w:id="31" w:name="_Toc14891073"/>
      <w:r>
        <w:rPr>
          <w:rFonts w:hint="eastAsia" w:ascii="宋体" w:hAnsi="宋体" w:eastAsia="宋体" w:cs="宋体"/>
          <w:b/>
          <w:bCs/>
          <w:sz w:val="21"/>
          <w:szCs w:val="21"/>
        </w:rPr>
        <w:t>六、响应文件的澄清、说明及补正</w:t>
      </w:r>
      <w:bookmarkEnd w:id="30"/>
      <w:bookmarkEnd w:id="31"/>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kern w:val="0"/>
          <w:szCs w:val="21"/>
        </w:rPr>
      </w:pPr>
      <w:r>
        <w:rPr>
          <w:rFonts w:hint="eastAsia" w:ascii="宋体" w:hAnsi="宋体" w:cs="宋体"/>
          <w:b/>
          <w:kern w:val="0"/>
          <w:szCs w:val="21"/>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kern w:val="0"/>
          <w:szCs w:val="21"/>
        </w:rPr>
      </w:pPr>
      <w:r>
        <w:rPr>
          <w:rFonts w:hint="eastAsia" w:ascii="宋体" w:hAnsi="宋体" w:cs="宋体"/>
          <w:b/>
          <w:kern w:val="0"/>
          <w:szCs w:val="21"/>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rPr>
      </w:pPr>
      <w:r>
        <w:rPr>
          <w:rFonts w:hint="eastAsia" w:ascii="宋体" w:hAnsi="宋体" w:cs="宋体"/>
          <w:kern w:val="0"/>
          <w:szCs w:val="21"/>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szCs w:val="21"/>
        </w:rPr>
      </w:pPr>
      <w:r>
        <w:rPr>
          <w:rFonts w:hint="eastAsia" w:ascii="宋体" w:hAnsi="宋体" w:cs="宋体"/>
          <w:kern w:val="0"/>
          <w:szCs w:val="21"/>
        </w:rPr>
        <w:t>20.3与谈判文件有重大偏离的响应文件将被拒绝。重大偏离指谈判总报价、谈判有限期、服务期明显不能满足谈判文件的要求。这些偏离不允许在响应文件递交截止时间之后修正。</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sz w:val="21"/>
          <w:szCs w:val="21"/>
        </w:rPr>
      </w:pPr>
      <w:bookmarkStart w:id="32" w:name="_Toc14891074"/>
      <w:bookmarkStart w:id="33" w:name="_Toc28503"/>
      <w:r>
        <w:rPr>
          <w:rFonts w:hint="eastAsia" w:ascii="宋体" w:hAnsi="宋体" w:eastAsia="宋体" w:cs="宋体"/>
          <w:b/>
          <w:bCs/>
          <w:sz w:val="21"/>
          <w:szCs w:val="21"/>
        </w:rPr>
        <w:t>七、中选结果与授予合同</w:t>
      </w:r>
      <w:bookmarkEnd w:id="32"/>
      <w:bookmarkEnd w:id="33"/>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21.中选信息的公布</w:t>
      </w:r>
    </w:p>
    <w:p>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hAnsi="宋体" w:cs="宋体"/>
          <w:b/>
          <w:bCs/>
        </w:rPr>
      </w:pPr>
      <w:r>
        <w:rPr>
          <w:rFonts w:hint="eastAsia" w:hAnsi="宋体" w:cs="宋体"/>
          <w:b/>
          <w:bCs/>
        </w:rPr>
        <w:t>22.评审结果异议</w:t>
      </w:r>
    </w:p>
    <w:p>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b/>
        </w:rPr>
      </w:pPr>
      <w:r>
        <w:rPr>
          <w:rFonts w:hint="eastAsia" w:hAnsi="宋体" w:cs="宋体"/>
          <w:kern w:val="0"/>
        </w:rPr>
        <w:t>22.1谈判单位对评审结果有异议的，应当在结果公示期间提出。</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23.中选通知</w:t>
      </w:r>
    </w:p>
    <w:p>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24.签订合同</w:t>
      </w:r>
    </w:p>
    <w:p>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24.1谈判文件、中选单位的响应文件及其补充的文件等均为签订合同的依据。</w:t>
      </w:r>
    </w:p>
    <w:p>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24.2中选单位应当在中选通知书发出后及时与采购单位签订合同。</w:t>
      </w:r>
    </w:p>
    <w:p>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24.3中选单位应当按照合同约定履行义务。</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25.纪律和监督</w:t>
      </w:r>
    </w:p>
    <w:p>
      <w:pPr>
        <w:keepNext w:val="0"/>
        <w:keepLines w:val="0"/>
        <w:pageBreakBefore w:val="0"/>
        <w:kinsoku/>
        <w:wordWrap/>
        <w:overflowPunct/>
        <w:topLinePunct w:val="0"/>
        <w:autoSpaceDE/>
        <w:autoSpaceDN/>
        <w:bidi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25.1对采购单位的纪律要求</w:t>
      </w:r>
    </w:p>
    <w:p>
      <w:pPr>
        <w:pStyle w:val="356"/>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25.2对谈判单位的纪律要求</w:t>
      </w:r>
    </w:p>
    <w:p>
      <w:pPr>
        <w:pStyle w:val="356"/>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4" w:name="page32"/>
      <w:bookmarkEnd w:id="34"/>
      <w:r>
        <w:rPr>
          <w:rFonts w:hint="eastAsia" w:hAnsi="宋体" w:cs="宋体"/>
          <w:sz w:val="21"/>
          <w:szCs w:val="21"/>
        </w:rPr>
        <w:t>三章“评审办法”没有规定的评审因素和标准进行评审。</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25.4对与评审活动有关的工作人员的纪律要求</w:t>
      </w:r>
    </w:p>
    <w:p>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sz w:val="21"/>
          <w:szCs w:val="21"/>
        </w:rPr>
      </w:pPr>
      <w:bookmarkStart w:id="35" w:name="_Toc894"/>
      <w:bookmarkStart w:id="36" w:name="_Toc14891075"/>
      <w:r>
        <w:rPr>
          <w:rFonts w:hint="eastAsia" w:ascii="宋体" w:hAnsi="宋体" w:eastAsia="宋体" w:cs="宋体"/>
          <w:b/>
          <w:bCs/>
          <w:sz w:val="21"/>
          <w:szCs w:val="21"/>
        </w:rPr>
        <w:t>八、其他</w:t>
      </w:r>
      <w:bookmarkEnd w:id="35"/>
      <w:bookmarkEnd w:id="36"/>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keepNext w:val="0"/>
        <w:keepLines w:val="0"/>
        <w:pageBreakBefore w:val="0"/>
        <w:kinsoku/>
        <w:wordWrap/>
        <w:overflowPunct/>
        <w:topLinePunct w:val="0"/>
        <w:bidi w:val="0"/>
        <w:adjustRightInd w:val="0"/>
        <w:snapToGrid w:val="0"/>
        <w:spacing w:line="360" w:lineRule="auto"/>
        <w:ind w:left="964" w:hanging="964" w:hangingChars="300"/>
        <w:jc w:val="center"/>
        <w:outlineLvl w:val="9"/>
        <w:rPr>
          <w:rFonts w:ascii="宋体" w:hAnsi="宋体"/>
          <w:b/>
          <w:sz w:val="32"/>
          <w:szCs w:val="32"/>
        </w:rPr>
        <w:sectPr>
          <w:pgSz w:w="11906" w:h="16838"/>
          <w:pgMar w:top="1440" w:right="1797" w:bottom="1440" w:left="1797" w:header="851" w:footer="851" w:gutter="0"/>
          <w:pgNumType w:fmt="decimal"/>
          <w:cols w:space="720" w:num="1"/>
          <w:docGrid w:linePitch="312" w:charSpace="0"/>
        </w:sectPr>
      </w:pPr>
    </w:p>
    <w:p>
      <w:pPr>
        <w:keepNext w:val="0"/>
        <w:keepLines w:val="0"/>
        <w:pageBreakBefore w:val="0"/>
        <w:kinsoku/>
        <w:wordWrap/>
        <w:overflowPunct/>
        <w:topLinePunct w:val="0"/>
        <w:bidi w:val="0"/>
        <w:adjustRightInd w:val="0"/>
        <w:snapToGrid w:val="0"/>
        <w:spacing w:line="360" w:lineRule="auto"/>
        <w:outlineLvl w:val="9"/>
        <w:rPr>
          <w:rFonts w:ascii="宋体" w:hAnsi="宋体"/>
        </w:rPr>
      </w:pPr>
      <w:r>
        <w:rPr>
          <w:rFonts w:hint="eastAsia" w:ascii="宋体" w:hAnsi="宋体" w:cs="宋体"/>
          <w:b/>
          <w:bCs/>
          <w:szCs w:val="21"/>
        </w:rPr>
        <w:t>附件：采购代理服务费收费标准</w:t>
      </w:r>
    </w:p>
    <w:p>
      <w:pPr>
        <w:pStyle w:val="2"/>
      </w:pPr>
    </w:p>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采购代理服务收费参照汇率表</w:t>
      </w:r>
    </w:p>
    <w:tbl>
      <w:tblPr>
        <w:tblStyle w:val="47"/>
        <w:tblpPr w:leftFromText="180" w:rightFromText="180" w:vertAnchor="text" w:horzAnchor="page" w:tblpXSpec="center" w:tblpY="236"/>
        <w:tblOverlap w:val="never"/>
        <w:tblW w:w="8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keepNext w:val="0"/>
              <w:keepLines w:val="0"/>
              <w:pageBreakBefore w:val="0"/>
              <w:kinsoku/>
              <w:wordWrap/>
              <w:overflowPunct/>
              <w:topLinePunct w:val="0"/>
              <w:bidi w:val="0"/>
              <w:adjustRightInd w:val="0"/>
              <w:snapToGrid w:val="0"/>
              <w:jc w:val="right"/>
              <w:outlineLvl w:val="9"/>
              <w:rPr>
                <w:rFonts w:ascii="宋体" w:hAnsi="宋体"/>
                <w:szCs w:val="21"/>
              </w:rPr>
            </w:pPr>
            <w:r>
              <w:rPr>
                <w:rFonts w:hint="eastAsia" w:ascii="宋体" w:hAnsi="宋体"/>
                <w:szCs w:val="21"/>
              </w:rPr>
              <w:t>汇率</w:t>
            </w:r>
          </w:p>
          <w:p>
            <w:pPr>
              <w:keepNext w:val="0"/>
              <w:keepLines w:val="0"/>
              <w:pageBreakBefore w:val="0"/>
              <w:kinsoku/>
              <w:wordWrap/>
              <w:overflowPunct/>
              <w:topLinePunct w:val="0"/>
              <w:bidi w:val="0"/>
              <w:adjustRightInd w:val="0"/>
              <w:snapToGrid w:val="0"/>
              <w:outlineLvl w:val="9"/>
              <w:rPr>
                <w:rFonts w:ascii="宋体" w:hAnsi="宋体"/>
                <w:szCs w:val="21"/>
              </w:rPr>
            </w:pPr>
            <w:r>
              <w:rPr>
                <w:rFonts w:hint="eastAsia" w:ascii="宋体" w:hAnsi="宋体"/>
                <w:szCs w:val="21"/>
              </w:rPr>
              <w:t>中</w:t>
            </w:r>
            <w:r>
              <w:rPr>
                <w:rFonts w:ascii="宋体" w:hAnsi="宋体"/>
                <w:szCs w:val="21"/>
              </w:rPr>
              <w:t>选金额</w:t>
            </w:r>
          </w:p>
        </w:tc>
        <w:tc>
          <w:tcPr>
            <w:tcW w:w="1957" w:type="dxa"/>
            <w:tcBorders>
              <w:top w:val="single" w:color="auto" w:sz="12"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货物</w:t>
            </w:r>
            <w:r>
              <w:rPr>
                <w:rFonts w:ascii="宋体" w:hAnsi="宋体"/>
                <w:szCs w:val="21"/>
              </w:rPr>
              <w:t>采购</w:t>
            </w:r>
          </w:p>
        </w:tc>
        <w:tc>
          <w:tcPr>
            <w:tcW w:w="2325" w:type="dxa"/>
            <w:tcBorders>
              <w:top w:val="single" w:color="auto" w:sz="12"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服务</w:t>
            </w:r>
            <w:r>
              <w:rPr>
                <w:rFonts w:ascii="宋体" w:hAnsi="宋体"/>
                <w:szCs w:val="21"/>
              </w:rPr>
              <w:t>采购</w:t>
            </w:r>
          </w:p>
        </w:tc>
        <w:tc>
          <w:tcPr>
            <w:tcW w:w="2100" w:type="dxa"/>
            <w:tcBorders>
              <w:top w:val="single" w:color="auto" w:sz="12" w:space="0"/>
              <w:right w:val="single" w:color="auto" w:sz="12"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工程</w:t>
            </w:r>
            <w:r>
              <w:rPr>
                <w:rFonts w:ascii="宋体" w:hAnsi="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100万</w:t>
            </w:r>
            <w:r>
              <w:rPr>
                <w:rFonts w:ascii="宋体" w:hAnsi="宋体"/>
                <w:szCs w:val="21"/>
              </w:rPr>
              <w:t>元以下</w:t>
            </w:r>
          </w:p>
        </w:tc>
        <w:tc>
          <w:tcPr>
            <w:tcW w:w="1957" w:type="dxa"/>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1.5%</w:t>
            </w:r>
          </w:p>
        </w:tc>
        <w:tc>
          <w:tcPr>
            <w:tcW w:w="2325" w:type="dxa"/>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1.5%</w:t>
            </w:r>
          </w:p>
        </w:tc>
        <w:tc>
          <w:tcPr>
            <w:tcW w:w="2100" w:type="dxa"/>
            <w:tcBorders>
              <w:right w:val="single" w:color="auto" w:sz="12"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1.0</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100～400万</w:t>
            </w:r>
            <w:r>
              <w:rPr>
                <w:rFonts w:ascii="宋体" w:hAnsi="宋体"/>
                <w:szCs w:val="21"/>
              </w:rPr>
              <w:t>元</w:t>
            </w:r>
          </w:p>
        </w:tc>
        <w:tc>
          <w:tcPr>
            <w:tcW w:w="1957" w:type="dxa"/>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1.1%</w:t>
            </w:r>
          </w:p>
        </w:tc>
        <w:tc>
          <w:tcPr>
            <w:tcW w:w="2325" w:type="dxa"/>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0.8%</w:t>
            </w:r>
          </w:p>
        </w:tc>
        <w:tc>
          <w:tcPr>
            <w:tcW w:w="2100" w:type="dxa"/>
            <w:tcBorders>
              <w:right w:val="single" w:color="auto" w:sz="12"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备注</w:t>
            </w:r>
          </w:p>
        </w:tc>
        <w:tc>
          <w:tcPr>
            <w:tcW w:w="6382" w:type="dxa"/>
            <w:gridSpan w:val="3"/>
            <w:tcBorders>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szCs w:val="21"/>
              </w:rPr>
            </w:pPr>
            <w:r>
              <w:rPr>
                <w:rFonts w:hint="eastAsia" w:ascii="宋体" w:hAnsi="宋体"/>
                <w:szCs w:val="21"/>
              </w:rPr>
              <w:t>采购代理</w:t>
            </w:r>
            <w:r>
              <w:rPr>
                <w:rFonts w:ascii="宋体" w:hAnsi="宋体"/>
                <w:szCs w:val="21"/>
              </w:rPr>
              <w:t>服务费的收费标准为：以中选价为基数，按《</w:t>
            </w:r>
            <w:r>
              <w:rPr>
                <w:rFonts w:hint="eastAsia" w:ascii="宋体" w:hAnsi="宋体"/>
                <w:szCs w:val="21"/>
              </w:rPr>
              <w:t>采购</w:t>
            </w:r>
            <w:r>
              <w:rPr>
                <w:rFonts w:ascii="宋体" w:hAnsi="宋体"/>
                <w:szCs w:val="21"/>
              </w:rPr>
              <w:t>代理服务收费参照汇率表》</w:t>
            </w:r>
            <w:r>
              <w:rPr>
                <w:rFonts w:hint="eastAsia" w:ascii="宋体" w:hAnsi="宋体"/>
                <w:szCs w:val="21"/>
              </w:rPr>
              <w:t>进行</w:t>
            </w:r>
            <w:r>
              <w:rPr>
                <w:rFonts w:ascii="宋体" w:hAnsi="宋体"/>
                <w:szCs w:val="21"/>
              </w:rPr>
              <w:t>计算后，向中选单位收取。服务</w:t>
            </w:r>
            <w:r>
              <w:rPr>
                <w:rFonts w:hint="eastAsia" w:ascii="宋体" w:hAnsi="宋体"/>
                <w:szCs w:val="21"/>
              </w:rPr>
              <w:t>费</w:t>
            </w:r>
            <w:r>
              <w:rPr>
                <w:rFonts w:ascii="宋体" w:hAnsi="宋体"/>
                <w:szCs w:val="21"/>
              </w:rPr>
              <w:t>超过</w:t>
            </w:r>
            <w:r>
              <w:rPr>
                <w:rFonts w:hint="eastAsia" w:ascii="宋体" w:hAnsi="宋体"/>
                <w:szCs w:val="21"/>
              </w:rPr>
              <w:t>2万</w:t>
            </w:r>
            <w:r>
              <w:rPr>
                <w:rFonts w:ascii="宋体" w:hAnsi="宋体"/>
                <w:szCs w:val="21"/>
              </w:rPr>
              <w:t>元的，按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keepNext w:val="0"/>
        <w:keepLines w:val="0"/>
        <w:pageBreakBefore w:val="0"/>
        <w:kinsoku/>
        <w:wordWrap/>
        <w:overflowPunct/>
        <w:topLinePunct w:val="0"/>
        <w:bidi w:val="0"/>
        <w:adjustRightInd w:val="0"/>
        <w:snapToGrid w:val="0"/>
        <w:spacing w:line="360" w:lineRule="auto"/>
        <w:ind w:firstLine="420" w:firstLineChars="200"/>
        <w:jc w:val="left"/>
        <w:outlineLvl w:val="9"/>
        <w:rPr>
          <w:rFonts w:ascii="宋体" w:hAnsi="宋体" w:cs="宋体"/>
          <w:szCs w:val="21"/>
        </w:rPr>
      </w:pPr>
      <w:r>
        <w:rPr>
          <w:rFonts w:hint="eastAsia" w:ascii="宋体" w:hAnsi="宋体" w:cs="宋体"/>
          <w:szCs w:val="21"/>
        </w:rPr>
        <w:t>100万元×1.0%＝1万元</w:t>
      </w:r>
    </w:p>
    <w:p>
      <w:pPr>
        <w:keepNext w:val="0"/>
        <w:keepLines w:val="0"/>
        <w:pageBreakBefore w:val="0"/>
        <w:kinsoku/>
        <w:wordWrap/>
        <w:overflowPunct/>
        <w:topLinePunct w:val="0"/>
        <w:bidi w:val="0"/>
        <w:adjustRightInd w:val="0"/>
        <w:snapToGrid w:val="0"/>
        <w:spacing w:line="360" w:lineRule="auto"/>
        <w:ind w:firstLine="420" w:firstLineChars="200"/>
        <w:jc w:val="left"/>
        <w:outlineLvl w:val="9"/>
        <w:rPr>
          <w:rFonts w:ascii="宋体" w:hAnsi="宋体" w:cs="宋体"/>
          <w:szCs w:val="21"/>
        </w:rPr>
      </w:pPr>
      <w:r>
        <w:rPr>
          <w:rFonts w:hint="eastAsia" w:ascii="宋体" w:hAnsi="宋体" w:cs="宋体"/>
          <w:szCs w:val="21"/>
        </w:rPr>
        <w:t>（300-100）万元×0.7%＝1.4万元</w:t>
      </w:r>
    </w:p>
    <w:p>
      <w:pPr>
        <w:keepNext w:val="0"/>
        <w:keepLines w:val="0"/>
        <w:pageBreakBefore w:val="0"/>
        <w:kinsoku/>
        <w:wordWrap/>
        <w:overflowPunct/>
        <w:topLinePunct w:val="0"/>
        <w:bidi w:val="0"/>
        <w:adjustRightInd w:val="0"/>
        <w:snapToGrid w:val="0"/>
        <w:spacing w:line="360" w:lineRule="auto"/>
        <w:ind w:firstLine="420" w:firstLineChars="200"/>
        <w:jc w:val="left"/>
        <w:outlineLvl w:val="9"/>
        <w:rPr>
          <w:rFonts w:ascii="宋体" w:hAnsi="宋体" w:cs="宋体"/>
          <w:szCs w:val="21"/>
        </w:rPr>
      </w:pPr>
      <w:r>
        <w:rPr>
          <w:rFonts w:hint="eastAsia" w:ascii="宋体" w:hAnsi="宋体" w:cs="宋体"/>
          <w:szCs w:val="21"/>
        </w:rPr>
        <w:t>合计收费＝1+1.4＝2.4（万元）</w:t>
      </w:r>
    </w:p>
    <w:p>
      <w:pPr>
        <w:keepNext w:val="0"/>
        <w:keepLines w:val="0"/>
        <w:pageBreakBefore w:val="0"/>
        <w:kinsoku/>
        <w:wordWrap/>
        <w:overflowPunct/>
        <w:topLinePunct w:val="0"/>
        <w:bidi w:val="0"/>
        <w:adjustRightInd w:val="0"/>
        <w:snapToGrid w:val="0"/>
        <w:spacing w:line="360" w:lineRule="auto"/>
        <w:ind w:firstLine="420" w:firstLineChars="200"/>
        <w:jc w:val="left"/>
        <w:outlineLvl w:val="9"/>
        <w:rPr>
          <w:rFonts w:ascii="宋体" w:hAnsi="宋体" w:cs="宋体"/>
          <w:b/>
          <w:szCs w:val="21"/>
        </w:rPr>
        <w:sectPr>
          <w:footerReference r:id="rId5" w:type="default"/>
          <w:pgSz w:w="11906" w:h="16838"/>
          <w:pgMar w:top="1440" w:right="1797" w:bottom="1440" w:left="1797" w:header="851" w:footer="851" w:gutter="0"/>
          <w:pgNumType w:fmt="decimal"/>
          <w:cols w:space="720" w:num="1"/>
          <w:docGrid w:linePitch="312" w:charSpace="0"/>
        </w:sectPr>
      </w:pPr>
      <w:r>
        <w:rPr>
          <w:rFonts w:hint="eastAsia" w:ascii="宋体" w:hAnsi="宋体" w:cs="宋体"/>
          <w:szCs w:val="21"/>
        </w:rPr>
        <w:t>本项目采购代理服务费为2万元</w:t>
      </w:r>
    </w:p>
    <w:p>
      <w:pPr>
        <w:keepNext w:val="0"/>
        <w:keepLines w:val="0"/>
        <w:pageBreakBefore w:val="0"/>
        <w:kinsoku/>
        <w:wordWrap/>
        <w:overflowPunct/>
        <w:topLinePunct w:val="0"/>
        <w:bidi w:val="0"/>
        <w:spacing w:after="240"/>
        <w:jc w:val="center"/>
        <w:outlineLvl w:val="9"/>
        <w:rPr>
          <w:rFonts w:hint="eastAsia" w:ascii="宋体" w:hAnsi="宋体" w:eastAsia="宋体" w:cs="宋体"/>
          <w:b/>
          <w:bCs/>
          <w:sz w:val="32"/>
          <w:szCs w:val="32"/>
        </w:rPr>
      </w:pPr>
      <w:bookmarkStart w:id="37" w:name="_Toc5567"/>
      <w:bookmarkStart w:id="38" w:name="_Toc28427"/>
      <w:bookmarkStart w:id="39" w:name="_Toc4275"/>
      <w:bookmarkStart w:id="40" w:name="_Toc25542"/>
      <w:r>
        <w:rPr>
          <w:rFonts w:hint="eastAsia" w:ascii="宋体" w:hAnsi="宋体" w:eastAsia="宋体" w:cs="宋体"/>
          <w:b/>
          <w:bCs/>
          <w:sz w:val="32"/>
          <w:szCs w:val="32"/>
        </w:rPr>
        <w:t>第三章  评审办法及标准</w:t>
      </w:r>
      <w:bookmarkEnd w:id="37"/>
      <w:bookmarkEnd w:id="38"/>
      <w:bookmarkEnd w:id="39"/>
      <w:bookmarkEnd w:id="40"/>
    </w:p>
    <w:p>
      <w:pPr>
        <w:keepNext w:val="0"/>
        <w:keepLines w:val="0"/>
        <w:pageBreakBefore w:val="0"/>
        <w:kinsoku/>
        <w:wordWrap/>
        <w:overflowPunct/>
        <w:topLinePunct w:val="0"/>
        <w:bidi w:val="0"/>
        <w:adjustRightInd w:val="0"/>
        <w:snapToGrid w:val="0"/>
        <w:spacing w:line="360" w:lineRule="auto"/>
        <w:ind w:left="632" w:hanging="632" w:hangingChars="300"/>
        <w:outlineLvl w:val="9"/>
        <w:rPr>
          <w:rFonts w:ascii="宋体" w:hAnsi="宋体" w:cs="宋体"/>
          <w:b/>
          <w:szCs w:val="21"/>
        </w:rPr>
      </w:pPr>
    </w:p>
    <w:p>
      <w:pPr>
        <w:keepNext w:val="0"/>
        <w:keepLines w:val="0"/>
        <w:pageBreakBefore w:val="0"/>
        <w:kinsoku/>
        <w:wordWrap/>
        <w:overflowPunct/>
        <w:topLinePunct w:val="0"/>
        <w:bidi w:val="0"/>
        <w:adjustRightInd w:val="0"/>
        <w:snapToGrid w:val="0"/>
        <w:spacing w:line="360" w:lineRule="auto"/>
        <w:outlineLvl w:val="9"/>
        <w:rPr>
          <w:rFonts w:ascii="宋体" w:hAnsi="宋体" w:cs="宋体"/>
          <w:b/>
          <w:szCs w:val="21"/>
        </w:rPr>
      </w:pPr>
      <w:r>
        <w:rPr>
          <w:rFonts w:hint="eastAsia" w:ascii="宋体" w:hAnsi="宋体" w:cs="宋体"/>
          <w:b/>
          <w:szCs w:val="21"/>
        </w:rPr>
        <w:t>一、评审办法</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szCs w:val="21"/>
        </w:rPr>
        <w:t>。</w:t>
      </w:r>
    </w:p>
    <w:p>
      <w:pPr>
        <w:keepNext w:val="0"/>
        <w:keepLines w:val="0"/>
        <w:pageBreakBefore w:val="0"/>
        <w:kinsoku/>
        <w:wordWrap/>
        <w:overflowPunct/>
        <w:topLinePunct w:val="0"/>
        <w:bidi w:val="0"/>
        <w:adjustRightInd w:val="0"/>
        <w:snapToGrid w:val="0"/>
        <w:spacing w:line="360" w:lineRule="auto"/>
        <w:ind w:left="632" w:hanging="632" w:hangingChars="300"/>
        <w:outlineLvl w:val="9"/>
        <w:rPr>
          <w:rFonts w:ascii="宋体" w:hAnsi="宋体" w:cs="宋体"/>
          <w:b/>
          <w:szCs w:val="21"/>
        </w:rPr>
      </w:pPr>
      <w:r>
        <w:rPr>
          <w:rFonts w:hint="eastAsia" w:ascii="宋体" w:hAnsi="宋体" w:cs="宋体"/>
          <w:b/>
          <w:szCs w:val="21"/>
        </w:rPr>
        <w:t>二、谈判程序</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2.采购单位在前附表内规定的谈判时间及地点组织谈判活动。谈判活动由采购单位、谈判单位代表参与。</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b/>
          <w:szCs w:val="21"/>
        </w:rPr>
      </w:pPr>
      <w:r>
        <w:rPr>
          <w:rFonts w:hint="eastAsia" w:ascii="宋体" w:hAnsi="宋体" w:cs="宋体"/>
          <w:bCs/>
          <w:szCs w:val="21"/>
        </w:rPr>
        <w:t>3．谈判程序分为：</w:t>
      </w:r>
      <w:r>
        <w:rPr>
          <w:rFonts w:hint="eastAsia" w:ascii="宋体" w:hAnsi="宋体" w:cs="宋体"/>
          <w:b/>
          <w:szCs w:val="21"/>
        </w:rPr>
        <w:t>谈判验证阶段及谈判评审阶段。</w:t>
      </w:r>
    </w:p>
    <w:p>
      <w:pPr>
        <w:keepNext w:val="0"/>
        <w:keepLines w:val="0"/>
        <w:pageBreakBefore w:val="0"/>
        <w:kinsoku/>
        <w:wordWrap/>
        <w:overflowPunct/>
        <w:topLinePunct w:val="0"/>
        <w:bidi w:val="0"/>
        <w:adjustRightInd w:val="0"/>
        <w:snapToGrid w:val="0"/>
        <w:spacing w:line="360" w:lineRule="auto"/>
        <w:ind w:left="632" w:hanging="632" w:hangingChars="300"/>
        <w:outlineLvl w:val="9"/>
        <w:rPr>
          <w:rFonts w:ascii="宋体" w:hAnsi="宋体" w:cs="宋体"/>
          <w:b/>
          <w:szCs w:val="21"/>
        </w:rPr>
      </w:pPr>
      <w:r>
        <w:rPr>
          <w:rFonts w:hint="eastAsia" w:ascii="宋体" w:hAnsi="宋体" w:cs="宋体"/>
          <w:b/>
          <w:szCs w:val="21"/>
        </w:rPr>
        <w:t>三、谈判验证阶段</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谈判验证阶段分为身份验证和唱价。</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4.身份验证阶段</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4.1采购单位按本文件前附表内规定的响应文件的谈判现场验证要求，对参与谈判的单位代表身份进行验证。</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bCs/>
          <w:szCs w:val="21"/>
        </w:rPr>
        <w:t>4.2参与谈判的代表身份经验证不合格的，视为无效响应，</w:t>
      </w:r>
      <w:r>
        <w:rPr>
          <w:rFonts w:hint="eastAsia" w:ascii="宋体" w:hAnsi="宋体" w:cs="宋体"/>
          <w:szCs w:val="21"/>
        </w:rPr>
        <w:t>不得进入下一阶段。</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5.唱价阶段</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5.1身份验证结束后，由采购单位当众拆封经身份验证合格的谈判单位的谈判响应文件，宣读响应文件中《报价一览表》内容，并记录在案。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5.2谈判单位法定代表人或授权委托人、现场监委、记录人等有关人员在唱价记录表上签字确认，谈判单位对本阶段有异议的应当场提出，采购人当场作出答复，并记录在案，未提出的，视为无异议。</w:t>
      </w:r>
    </w:p>
    <w:p>
      <w:pPr>
        <w:keepNext w:val="0"/>
        <w:keepLines w:val="0"/>
        <w:pageBreakBefore w:val="0"/>
        <w:kinsoku/>
        <w:wordWrap/>
        <w:overflowPunct/>
        <w:topLinePunct w:val="0"/>
        <w:bidi w:val="0"/>
        <w:adjustRightInd w:val="0"/>
        <w:snapToGrid w:val="0"/>
        <w:spacing w:line="360" w:lineRule="auto"/>
        <w:ind w:left="632" w:hanging="632" w:hangingChars="300"/>
        <w:outlineLvl w:val="9"/>
        <w:rPr>
          <w:rFonts w:ascii="宋体" w:hAnsi="宋体" w:cs="宋体"/>
          <w:b/>
          <w:szCs w:val="21"/>
        </w:rPr>
      </w:pPr>
      <w:r>
        <w:rPr>
          <w:rFonts w:hint="eastAsia" w:ascii="宋体" w:hAnsi="宋体" w:cs="宋体"/>
          <w:b/>
          <w:szCs w:val="21"/>
        </w:rPr>
        <w:t>四、谈判评审阶段</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谈判评审阶段分为符合性审查、详细评审及推荐中选单位。</w:t>
      </w:r>
    </w:p>
    <w:p>
      <w:pPr>
        <w:keepNext w:val="0"/>
        <w:keepLines w:val="0"/>
        <w:pageBreakBefore w:val="0"/>
        <w:kinsoku/>
        <w:wordWrap/>
        <w:overflowPunct/>
        <w:topLinePunct w:val="0"/>
        <w:bidi w:val="0"/>
        <w:adjustRightInd w:val="0"/>
        <w:snapToGrid w:val="0"/>
        <w:spacing w:line="360" w:lineRule="auto"/>
        <w:ind w:firstLine="422" w:firstLineChars="200"/>
        <w:outlineLvl w:val="9"/>
        <w:rPr>
          <w:rFonts w:ascii="宋体" w:hAnsi="宋体" w:cs="宋体"/>
          <w:b/>
          <w:szCs w:val="21"/>
        </w:rPr>
      </w:pPr>
      <w:r>
        <w:rPr>
          <w:rFonts w:hint="eastAsia" w:ascii="宋体" w:hAnsi="宋体" w:cs="宋体"/>
          <w:b/>
          <w:szCs w:val="21"/>
        </w:rPr>
        <w:t>6.符合性审查阶段</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符合性审查分为对谈判单位资格的符合性审查及报价的符合性审查。</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6.1资格的符合性审查</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内规定的谈判单位资格要求，对谈判单位进行符合性审查，资格审查以谈判单位递交的原件资料为准。</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6.2报价的符合性审查</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6.3有下列情形之一的，为符合性审查不合格，视为无效响应，不进入下一阶段：</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（1）未按照谈判文件规定要求签署盖章的；</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（2）响应</w:t>
      </w:r>
      <w:r>
        <w:rPr>
          <w:rFonts w:hint="eastAsia" w:ascii="宋体" w:hAnsi="宋体" w:cs="宋体"/>
          <w:kern w:val="0"/>
          <w:szCs w:val="21"/>
        </w:rPr>
        <w:t>文件有效期不满足谈判文件规定的；</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（3）不满足资格条件要求的；</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（4）不满足用户需求书要求书的；</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（5）超过谈判控制价的；</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b/>
          <w:szCs w:val="21"/>
        </w:rPr>
      </w:pPr>
      <w:r>
        <w:rPr>
          <w:rFonts w:hint="eastAsia" w:ascii="宋体" w:hAnsi="宋体" w:cs="宋体"/>
          <w:szCs w:val="21"/>
        </w:rPr>
        <w:t>（6）递交两份或多份内容不同的报价文件，或在一份报价文件中对同一项目报有两个或多个报价，且未声明哪一个有效的。</w:t>
      </w:r>
    </w:p>
    <w:p>
      <w:pPr>
        <w:keepNext w:val="0"/>
        <w:keepLines w:val="0"/>
        <w:pageBreakBefore w:val="0"/>
        <w:kinsoku/>
        <w:wordWrap/>
        <w:overflowPunct/>
        <w:topLinePunct w:val="0"/>
        <w:bidi w:val="0"/>
        <w:adjustRightInd w:val="0"/>
        <w:snapToGrid w:val="0"/>
        <w:spacing w:line="360" w:lineRule="auto"/>
        <w:ind w:firstLine="422" w:firstLineChars="200"/>
        <w:outlineLvl w:val="9"/>
        <w:rPr>
          <w:rFonts w:ascii="宋体" w:hAnsi="宋体" w:cs="宋体"/>
          <w:b/>
          <w:bCs/>
          <w:szCs w:val="21"/>
        </w:rPr>
      </w:pPr>
      <w:r>
        <w:rPr>
          <w:rFonts w:hint="eastAsia" w:ascii="宋体" w:hAnsi="宋体" w:cs="宋体"/>
          <w:b/>
          <w:szCs w:val="21"/>
        </w:rPr>
        <w:t>7.</w:t>
      </w:r>
      <w:r>
        <w:rPr>
          <w:rFonts w:hint="eastAsia" w:ascii="宋体" w:hAnsi="宋体" w:cs="宋体"/>
          <w:b/>
          <w:bCs/>
          <w:szCs w:val="21"/>
        </w:rPr>
        <w:t>详细评审阶段</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kern w:val="0"/>
          <w:szCs w:val="21"/>
        </w:rPr>
      </w:pPr>
      <w:r>
        <w:rPr>
          <w:rFonts w:hint="eastAsia" w:ascii="宋体" w:hAnsi="宋体" w:cs="宋体"/>
          <w:kern w:val="0"/>
          <w:szCs w:val="21"/>
        </w:rPr>
        <w:t>7.1谈判评审小组应按以下要求对经符合性审查合格的谈判单位进行详细评审：</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w:t>
      </w:r>
      <w:r>
        <w:rPr>
          <w:rFonts w:hint="eastAsia" w:ascii="宋体" w:hAnsi="宋体" w:cs="宋体"/>
          <w:kern w:val="0"/>
          <w:szCs w:val="21"/>
          <w:lang w:eastAsia="zh-CN"/>
        </w:rPr>
        <w:t>（</w:t>
      </w:r>
      <w:r>
        <w:rPr>
          <w:rFonts w:hint="eastAsia" w:ascii="宋体" w:hAnsi="宋体" w:cs="宋体"/>
          <w:kern w:val="0"/>
          <w:szCs w:val="21"/>
        </w:rPr>
        <w:t>基准价／谈判总报价</w:t>
      </w:r>
      <w:r>
        <w:rPr>
          <w:rFonts w:hint="eastAsia" w:ascii="宋体" w:hAnsi="宋体" w:cs="宋体"/>
          <w:kern w:val="0"/>
          <w:szCs w:val="21"/>
          <w:lang w:eastAsia="zh-CN"/>
        </w:rPr>
        <w:t>）</w:t>
      </w:r>
      <w:r>
        <w:rPr>
          <w:rFonts w:hint="eastAsia" w:ascii="宋体" w:hAnsi="宋体" w:cs="宋体"/>
          <w:kern w:val="0"/>
          <w:szCs w:val="21"/>
        </w:rPr>
        <w:t>×100</w:t>
      </w:r>
    </w:p>
    <w:p>
      <w:pPr>
        <w:keepNext w:val="0"/>
        <w:keepLines w:val="0"/>
        <w:pageBreakBefore w:val="0"/>
        <w:kinsoku/>
        <w:wordWrap/>
        <w:overflowPunct/>
        <w:topLinePunct w:val="0"/>
        <w:bidi w:val="0"/>
        <w:adjustRightInd w:val="0"/>
        <w:snapToGrid w:val="0"/>
        <w:spacing w:line="360" w:lineRule="auto"/>
        <w:ind w:firstLine="413" w:firstLineChars="196"/>
        <w:outlineLvl w:val="9"/>
        <w:rPr>
          <w:rFonts w:ascii="宋体" w:hAnsi="宋体" w:cs="宋体"/>
          <w:b/>
          <w:bCs/>
          <w:szCs w:val="21"/>
        </w:rPr>
      </w:pPr>
      <w:r>
        <w:rPr>
          <w:rFonts w:hint="eastAsia" w:ascii="宋体" w:hAnsi="宋体" w:cs="宋体"/>
          <w:b/>
          <w:bCs/>
          <w:szCs w:val="21"/>
        </w:rPr>
        <w:t>8.推荐中选单位</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kern w:val="0"/>
          <w:szCs w:val="21"/>
        </w:rPr>
      </w:pPr>
      <w:r>
        <w:rPr>
          <w:rFonts w:hint="eastAsia" w:ascii="宋体" w:hAnsi="宋体" w:cs="宋体"/>
          <w:bCs/>
          <w:szCs w:val="21"/>
        </w:rPr>
        <w:t>8.1</w:t>
      </w:r>
      <w:r>
        <w:rPr>
          <w:rFonts w:hint="eastAsia" w:ascii="宋体" w:hAnsi="宋体" w:cs="宋体"/>
          <w:kern w:val="0"/>
          <w:szCs w:val="21"/>
        </w:rPr>
        <w:t>谈判评审小组应当在全部评审结束后，按照得分由高到低顺序推荐1名中选单位，并填写评审报告。</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kern w:val="0"/>
          <w:szCs w:val="21"/>
        </w:rPr>
      </w:pPr>
      <w:r>
        <w:rPr>
          <w:rFonts w:hint="eastAsia" w:ascii="宋体" w:hAnsi="宋体" w:cs="宋体"/>
          <w:kern w:val="0"/>
          <w:szCs w:val="21"/>
        </w:rPr>
        <w:t>8.2全部评审结束后，若出现报价得分相同的情形，则采用现场抽签方式确定中选单位。</w:t>
      </w:r>
    </w:p>
    <w:p>
      <w:pPr>
        <w:keepNext w:val="0"/>
        <w:keepLines w:val="0"/>
        <w:pageBreakBefore w:val="0"/>
        <w:kinsoku/>
        <w:wordWrap/>
        <w:overflowPunct/>
        <w:topLinePunct w:val="0"/>
        <w:bidi w:val="0"/>
        <w:outlineLvl w:val="9"/>
        <w:rPr>
          <w:rFonts w:ascii="宋体" w:hAnsi="宋体"/>
          <w:bCs/>
          <w:szCs w:val="21"/>
        </w:rPr>
        <w:sectPr>
          <w:pgSz w:w="11906" w:h="16838"/>
          <w:pgMar w:top="1440" w:right="1797" w:bottom="1440" w:left="1797" w:header="851" w:footer="851" w:gutter="0"/>
          <w:pgNumType w:fmt="decimal"/>
          <w:cols w:space="720" w:num="1"/>
          <w:docGrid w:linePitch="312" w:charSpace="0"/>
        </w:sectPr>
      </w:pPr>
      <w:r>
        <w:rPr>
          <w:rFonts w:hint="eastAsia" w:ascii="宋体" w:hAnsi="宋体" w:cs="宋体"/>
          <w:kern w:val="0"/>
          <w:szCs w:val="21"/>
        </w:rPr>
        <w:br w:type="page"/>
      </w:r>
    </w:p>
    <w:p>
      <w:pPr>
        <w:keepNext w:val="0"/>
        <w:keepLines w:val="0"/>
        <w:pageBreakBefore w:val="0"/>
        <w:kinsoku/>
        <w:wordWrap/>
        <w:overflowPunct/>
        <w:topLinePunct w:val="0"/>
        <w:bidi w:val="0"/>
        <w:spacing w:after="240"/>
        <w:jc w:val="center"/>
        <w:outlineLvl w:val="9"/>
        <w:rPr>
          <w:rFonts w:hint="eastAsia" w:ascii="宋体" w:hAnsi="宋体" w:eastAsia="宋体" w:cs="宋体"/>
          <w:b/>
          <w:bCs/>
          <w:sz w:val="32"/>
          <w:szCs w:val="32"/>
        </w:rPr>
      </w:pPr>
      <w:bookmarkStart w:id="41" w:name="_Toc14891077"/>
      <w:bookmarkStart w:id="42" w:name="_Toc23442"/>
      <w:bookmarkStart w:id="43" w:name="_Toc17997"/>
      <w:bookmarkStart w:id="44" w:name="_Toc17562"/>
      <w:bookmarkStart w:id="45" w:name="_Toc18407"/>
      <w:r>
        <w:rPr>
          <w:rFonts w:hint="eastAsia" w:ascii="宋体" w:hAnsi="宋体" w:eastAsia="宋体" w:cs="宋体"/>
          <w:b/>
          <w:bCs/>
          <w:sz w:val="32"/>
          <w:szCs w:val="32"/>
        </w:rPr>
        <w:t>第四章  用户需求书</w:t>
      </w:r>
      <w:bookmarkEnd w:id="41"/>
      <w:bookmarkEnd w:id="42"/>
      <w:bookmarkEnd w:id="43"/>
      <w:bookmarkEnd w:id="44"/>
      <w:bookmarkEnd w:id="45"/>
    </w:p>
    <w:p>
      <w:pPr>
        <w:pStyle w:val="291"/>
        <w:keepNext w:val="0"/>
        <w:keepLines w:val="0"/>
        <w:pageBreakBefore w:val="0"/>
        <w:kinsoku/>
        <w:wordWrap/>
        <w:overflowPunct/>
        <w:topLinePunct w:val="0"/>
        <w:bidi w:val="0"/>
        <w:spacing w:line="360" w:lineRule="auto"/>
        <w:jc w:val="left"/>
        <w:outlineLvl w:val="9"/>
        <w:rPr>
          <w:rFonts w:hint="default" w:cs="仿宋"/>
          <w:b/>
          <w:snapToGrid/>
          <w:color w:val="000000"/>
          <w:kern w:val="2"/>
          <w:sz w:val="21"/>
          <w:szCs w:val="21"/>
        </w:rPr>
      </w:pPr>
      <w:bookmarkStart w:id="46" w:name="_Toc17793779"/>
      <w:r>
        <w:rPr>
          <w:rFonts w:cs="仿宋"/>
          <w:b/>
          <w:snapToGrid/>
          <w:color w:val="000000"/>
          <w:kern w:val="2"/>
          <w:sz w:val="21"/>
          <w:szCs w:val="21"/>
        </w:rPr>
        <w:t>1需求清单</w:t>
      </w:r>
      <w:bookmarkEnd w:id="46"/>
    </w:p>
    <w:p>
      <w:pPr>
        <w:keepNext w:val="0"/>
        <w:keepLines w:val="0"/>
        <w:pageBreakBefore w:val="0"/>
        <w:kinsoku/>
        <w:wordWrap/>
        <w:overflowPunct/>
        <w:topLinePunct w:val="0"/>
        <w:bidi w:val="0"/>
        <w:jc w:val="center"/>
        <w:outlineLvl w:val="9"/>
        <w:rPr>
          <w:rFonts w:ascii="宋体" w:hAnsi="宋体" w:cs="仿宋"/>
          <w:b/>
          <w:bCs/>
          <w:color w:val="000000"/>
          <w:sz w:val="21"/>
          <w:szCs w:val="21"/>
        </w:rPr>
      </w:pPr>
      <w:r>
        <w:rPr>
          <w:rFonts w:hint="eastAsia" w:ascii="宋体" w:hAnsi="宋体" w:cs="仿宋"/>
          <w:b/>
          <w:bCs/>
          <w:color w:val="000000"/>
          <w:sz w:val="21"/>
          <w:szCs w:val="21"/>
        </w:rPr>
        <w:t>1号线清单</w:t>
      </w:r>
    </w:p>
    <w:tbl>
      <w:tblPr>
        <w:tblStyle w:val="46"/>
        <w:tblW w:w="9699" w:type="dxa"/>
        <w:jc w:val="center"/>
        <w:tblInd w:w="0" w:type="dxa"/>
        <w:tblLayout w:type="fixed"/>
        <w:tblCellMar>
          <w:top w:w="15" w:type="dxa"/>
          <w:left w:w="15" w:type="dxa"/>
          <w:bottom w:w="15" w:type="dxa"/>
          <w:right w:w="15" w:type="dxa"/>
        </w:tblCellMar>
      </w:tblPr>
      <w:tblGrid>
        <w:gridCol w:w="567"/>
        <w:gridCol w:w="567"/>
        <w:gridCol w:w="567"/>
        <w:gridCol w:w="567"/>
        <w:gridCol w:w="567"/>
        <w:gridCol w:w="5163"/>
        <w:gridCol w:w="567"/>
        <w:gridCol w:w="567"/>
        <w:gridCol w:w="567"/>
      </w:tblGrid>
      <w:tr>
        <w:tblPrEx>
          <w:tblLayout w:type="fixed"/>
          <w:tblCellMar>
            <w:top w:w="15" w:type="dxa"/>
            <w:left w:w="15" w:type="dxa"/>
            <w:bottom w:w="15" w:type="dxa"/>
            <w:right w:w="15"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序号</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物资名称</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规格</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参考品牌</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型号/货号</w:t>
            </w:r>
          </w:p>
        </w:tc>
        <w:tc>
          <w:tcPr>
            <w:tcW w:w="5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详细参数</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单位</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采购数量</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备注</w:t>
            </w:r>
          </w:p>
        </w:tc>
      </w:tr>
      <w:tr>
        <w:tblPrEx>
          <w:tblLayout w:type="fixed"/>
          <w:tblCellMar>
            <w:top w:w="15" w:type="dxa"/>
            <w:left w:w="15" w:type="dxa"/>
            <w:bottom w:w="15" w:type="dxa"/>
            <w:right w:w="15" w:type="dxa"/>
          </w:tblCellMar>
        </w:tblPrEx>
        <w:trPr>
          <w:trHeight w:val="555"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17座公务车</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上汽大通</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2019款V80 Plus商旅版加长轴高顶版</w:t>
            </w:r>
          </w:p>
        </w:tc>
        <w:tc>
          <w:tcPr>
            <w:tcW w:w="5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1.发动机形式：四缸16气门、双顶置凸轮轴、增压中冷、TDCI涡轮增压</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2.发动机排量：1.996L</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3.排放标准：国六标准</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4.燃油种类：柴油</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5.座位数:17座</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6.额定功率（ps/rpm</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：139/3500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7.最大扭矩（N</w:t>
            </w:r>
            <w:r>
              <w:rPr>
                <w:rFonts w:hint="eastAsia" w:ascii="宋体" w:hAnsi="宋体" w:cs="宋体"/>
                <w:color w:val="000000"/>
                <w:kern w:val="0"/>
                <w:sz w:val="21"/>
                <w:szCs w:val="21"/>
              </w:rPr>
              <w:t>•</w:t>
            </w:r>
            <w:r>
              <w:rPr>
                <w:rFonts w:hint="eastAsia" w:ascii="宋体" w:hAnsi="宋体" w:cs="仿宋"/>
                <w:color w:val="000000"/>
                <w:kern w:val="0"/>
                <w:sz w:val="21"/>
                <w:szCs w:val="21"/>
              </w:rPr>
              <w:t>m/rpm）：330/1400~2800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8.变速箱形式：6AMT（自动挡6速）</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9.车型尺寸</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mm</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：5995x1998x2577</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10.轴距</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mm</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：4175</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11.最高车速（Km/h）：150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12.制动系统：前/后盘式制动</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13.悬架系统：前麦弗逊式悬架/后非独立悬架</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14.燃油箱容积（L）：80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宋体"/>
                <w:color w:val="000000"/>
                <w:kern w:val="0"/>
                <w:sz w:val="21"/>
                <w:szCs w:val="21"/>
              </w:rPr>
            </w:pPr>
            <w:r>
              <w:rPr>
                <w:rFonts w:hint="eastAsia" w:ascii="宋体" w:hAnsi="宋体" w:cs="仿宋"/>
                <w:color w:val="000000"/>
                <w:kern w:val="0"/>
                <w:sz w:val="21"/>
                <w:szCs w:val="21"/>
              </w:rPr>
              <w:t>15.其他配置：ABS+EBD+BAS、驾驶座安全气囊、驾驶员安全带未系报警、全车座椅三点式安全带、LED行车灯+前/后雾灯、耐脏顶内饰、多功能方向盘、蓝牙、巡航系统、大功率冷暖空调、多功能影音系统（MP3+收音机）、电动调节电加热后视镜集成转向灯、前排电动窗、同平面推拉窗（BC柱之间）、人性化飘窗（C、D柱之间）、自动关闭前照灯、熄火自动开锁、感速型自动落锁（20Km/h）、中控锁、GPS&amp;BD双模行驶记录仪、一体式航空座椅。</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辆</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仿宋"/>
                <w:color w:val="000000"/>
                <w:kern w:val="0"/>
                <w:sz w:val="21"/>
                <w:szCs w:val="21"/>
              </w:rPr>
              <w:t>免费加装：行车记录仪、可视倒车雷达、全车膜、整车地垫</w:t>
            </w:r>
          </w:p>
        </w:tc>
      </w:tr>
    </w:tbl>
    <w:p>
      <w:pPr>
        <w:keepNext w:val="0"/>
        <w:keepLines w:val="0"/>
        <w:pageBreakBefore w:val="0"/>
        <w:kinsoku/>
        <w:wordWrap/>
        <w:overflowPunct/>
        <w:topLinePunct w:val="0"/>
        <w:bidi w:val="0"/>
        <w:jc w:val="center"/>
        <w:outlineLvl w:val="9"/>
        <w:rPr>
          <w:rFonts w:hint="eastAsia" w:ascii="宋体" w:hAnsi="宋体" w:cs="仿宋"/>
          <w:b/>
          <w:bCs/>
          <w:color w:val="000000"/>
          <w:sz w:val="21"/>
          <w:szCs w:val="21"/>
        </w:rPr>
        <w:sectPr>
          <w:headerReference r:id="rId6" w:type="default"/>
          <w:footerReference r:id="rId7" w:type="default"/>
          <w:pgSz w:w="11906" w:h="16838"/>
          <w:pgMar w:top="1440" w:right="1797" w:bottom="1440" w:left="1797" w:header="851" w:footer="851" w:gutter="0"/>
          <w:pgNumType w:fmt="decimal"/>
          <w:cols w:space="720" w:num="1"/>
          <w:docGrid w:linePitch="312" w:charSpace="0"/>
        </w:sectPr>
      </w:pPr>
    </w:p>
    <w:p>
      <w:pPr>
        <w:keepNext w:val="0"/>
        <w:keepLines w:val="0"/>
        <w:pageBreakBefore w:val="0"/>
        <w:kinsoku/>
        <w:wordWrap/>
        <w:overflowPunct/>
        <w:topLinePunct w:val="0"/>
        <w:bidi w:val="0"/>
        <w:jc w:val="center"/>
        <w:outlineLvl w:val="9"/>
        <w:rPr>
          <w:rFonts w:ascii="宋体" w:hAnsi="宋体" w:cs="仿宋"/>
          <w:b/>
          <w:bCs/>
          <w:color w:val="000000"/>
          <w:sz w:val="21"/>
          <w:szCs w:val="21"/>
        </w:rPr>
      </w:pPr>
      <w:r>
        <w:rPr>
          <w:rFonts w:hint="eastAsia" w:ascii="宋体" w:hAnsi="宋体" w:cs="仿宋"/>
          <w:b/>
          <w:bCs/>
          <w:color w:val="000000"/>
          <w:sz w:val="21"/>
          <w:szCs w:val="21"/>
        </w:rPr>
        <w:t>2号线清单</w:t>
      </w:r>
    </w:p>
    <w:tbl>
      <w:tblPr>
        <w:tblStyle w:val="46"/>
        <w:tblW w:w="9658" w:type="dxa"/>
        <w:jc w:val="center"/>
        <w:tblInd w:w="0" w:type="dxa"/>
        <w:tblLayout w:type="fixed"/>
        <w:tblCellMar>
          <w:top w:w="15" w:type="dxa"/>
          <w:left w:w="15" w:type="dxa"/>
          <w:bottom w:w="15" w:type="dxa"/>
          <w:right w:w="15" w:type="dxa"/>
        </w:tblCellMar>
      </w:tblPr>
      <w:tblGrid>
        <w:gridCol w:w="567"/>
        <w:gridCol w:w="567"/>
        <w:gridCol w:w="567"/>
        <w:gridCol w:w="567"/>
        <w:gridCol w:w="567"/>
        <w:gridCol w:w="5122"/>
        <w:gridCol w:w="567"/>
        <w:gridCol w:w="567"/>
        <w:gridCol w:w="567"/>
      </w:tblGrid>
      <w:tr>
        <w:tblPrEx>
          <w:tblLayout w:type="fixed"/>
          <w:tblCellMar>
            <w:top w:w="15" w:type="dxa"/>
            <w:left w:w="15" w:type="dxa"/>
            <w:bottom w:w="15" w:type="dxa"/>
            <w:right w:w="15" w:type="dxa"/>
          </w:tblCellMar>
        </w:tblPrEx>
        <w:trPr>
          <w:trHeight w:val="556"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序号</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物资名称</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规格</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参考品牌</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型号/货号</w:t>
            </w:r>
          </w:p>
        </w:tc>
        <w:tc>
          <w:tcPr>
            <w:tcW w:w="51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详细参数</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单位</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采购             数量</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 xml:space="preserve">备注                        </w:t>
            </w:r>
          </w:p>
        </w:tc>
      </w:tr>
      <w:tr>
        <w:tblPrEx>
          <w:tblLayout w:type="fixed"/>
          <w:tblCellMar>
            <w:top w:w="15" w:type="dxa"/>
            <w:left w:w="15" w:type="dxa"/>
            <w:bottom w:w="15" w:type="dxa"/>
            <w:right w:w="15" w:type="dxa"/>
          </w:tblCellMar>
        </w:tblPrEx>
        <w:trPr>
          <w:trHeight w:val="555"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17座公务车</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上汽大通</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2019款V80 Plus商旅版加长轴高顶版</w:t>
            </w:r>
          </w:p>
        </w:tc>
        <w:tc>
          <w:tcPr>
            <w:tcW w:w="51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1.发动机形式：四缸16气门、双顶置凸轮轴、增压中冷、TDCI涡轮增压</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2.发动机排量：1.996L</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3.排放标准：国六标准</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4.燃油种类：柴油</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5.座位数:17座</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6.额定功率（ps/rpm</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：139/3500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7.最大扭矩（N</w:t>
            </w:r>
            <w:r>
              <w:rPr>
                <w:rFonts w:hint="eastAsia" w:ascii="宋体" w:hAnsi="宋体" w:cs="宋体"/>
                <w:color w:val="000000"/>
                <w:kern w:val="0"/>
                <w:sz w:val="21"/>
                <w:szCs w:val="21"/>
              </w:rPr>
              <w:t>•</w:t>
            </w:r>
            <w:r>
              <w:rPr>
                <w:rFonts w:hint="eastAsia" w:ascii="宋体" w:hAnsi="宋体" w:cs="仿宋"/>
                <w:color w:val="000000"/>
                <w:kern w:val="0"/>
                <w:sz w:val="21"/>
                <w:szCs w:val="21"/>
              </w:rPr>
              <w:t>m/rpm）：330/1400~2800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8.变速箱形式：6AMT（自动挡6速）</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9.车型尺寸</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mm</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：5995x1998x2577</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10.轴距</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mm</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：4175</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11.最高车速（Km/h）：150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12.制动系统：前/后盘式制动</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13.悬架系统：前麦弗逊式悬架/后非独立悬架</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14.燃油箱容积（L）：80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宋体"/>
                <w:color w:val="000000"/>
                <w:kern w:val="0"/>
                <w:sz w:val="21"/>
                <w:szCs w:val="21"/>
              </w:rPr>
            </w:pPr>
            <w:r>
              <w:rPr>
                <w:rFonts w:hint="eastAsia" w:ascii="宋体" w:hAnsi="宋体" w:cs="仿宋"/>
                <w:color w:val="000000"/>
                <w:kern w:val="0"/>
                <w:sz w:val="21"/>
                <w:szCs w:val="21"/>
              </w:rPr>
              <w:t>15.其他配置：ABS+EBD+BAS、驾驶座安全气囊、驾驶员安全带未系报警、全车座椅三点式安全带、LED行车灯+前/后雾灯、耐脏顶内饰、多功能方向盘、蓝牙、巡航系统、大功率冷暖空调、多功能影音系统（MP3+收音机）、电动调节电加热后视镜集成转向灯、前排电动窗、同平面推拉窗（BC柱之间）、人性化飘窗（C、D柱之间）、自动关闭前照灯、熄火自动开锁、感速型自动落锁（20Km/h）、中控锁、GPS&amp;BD双模行驶记录仪、一体式航空座椅。</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辆</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仿宋"/>
                <w:color w:val="000000"/>
                <w:kern w:val="0"/>
                <w:sz w:val="21"/>
                <w:szCs w:val="21"/>
              </w:rPr>
              <w:t>免费加装：行车记录仪、可视倒车雷达、全车膜、整车地垫</w:t>
            </w:r>
          </w:p>
        </w:tc>
      </w:tr>
    </w:tbl>
    <w:p>
      <w:pPr>
        <w:keepNext w:val="0"/>
        <w:keepLines w:val="0"/>
        <w:pageBreakBefore w:val="0"/>
        <w:widowControl w:val="0"/>
        <w:kinsoku/>
        <w:wordWrap/>
        <w:overflowPunct/>
        <w:topLinePunct w:val="0"/>
        <w:bidi w:val="0"/>
        <w:adjustRightInd/>
        <w:spacing w:line="360" w:lineRule="auto"/>
        <w:ind w:firstLine="422" w:firstLineChars="200"/>
        <w:outlineLvl w:val="9"/>
        <w:rPr>
          <w:rFonts w:ascii="宋体" w:hAnsi="宋体" w:cs="仿宋"/>
          <w:b/>
          <w:color w:val="000000"/>
          <w:sz w:val="21"/>
          <w:szCs w:val="21"/>
        </w:rPr>
      </w:pPr>
      <w:bookmarkStart w:id="47" w:name="_Toc17793780"/>
      <w:bookmarkStart w:id="48" w:name="_Toc31528_WPSOffice_Level1"/>
      <w:bookmarkStart w:id="49" w:name="_Toc18774_WPSOffice_Level1"/>
      <w:bookmarkStart w:id="50" w:name="_Toc25721_WPSOffice_Level1"/>
      <w:r>
        <w:rPr>
          <w:rFonts w:hint="eastAsia" w:ascii="宋体" w:hAnsi="宋体" w:cs="仿宋"/>
          <w:b/>
          <w:color w:val="000000"/>
          <w:sz w:val="21"/>
          <w:szCs w:val="21"/>
        </w:rPr>
        <w:t>2交货时间和地点要求</w:t>
      </w:r>
      <w:bookmarkEnd w:id="47"/>
      <w:bookmarkEnd w:id="48"/>
      <w:bookmarkEnd w:id="49"/>
      <w:bookmarkEnd w:id="50"/>
    </w:p>
    <w:p>
      <w:pPr>
        <w:keepNext w:val="0"/>
        <w:keepLines w:val="0"/>
        <w:pageBreakBefore w:val="0"/>
        <w:widowControl w:val="0"/>
        <w:kinsoku/>
        <w:wordWrap/>
        <w:overflowPunct/>
        <w:topLinePunct w:val="0"/>
        <w:bidi w:val="0"/>
        <w:adjustRightInd/>
        <w:spacing w:line="360" w:lineRule="auto"/>
        <w:ind w:firstLine="422" w:firstLineChars="200"/>
        <w:outlineLvl w:val="9"/>
        <w:rPr>
          <w:rFonts w:ascii="宋体" w:hAnsi="宋体" w:cs="仿宋"/>
          <w:b/>
          <w:color w:val="000000"/>
          <w:sz w:val="21"/>
          <w:szCs w:val="21"/>
        </w:rPr>
      </w:pPr>
      <w:bookmarkStart w:id="51" w:name="_Toc17793781"/>
      <w:r>
        <w:rPr>
          <w:rFonts w:hint="eastAsia" w:ascii="宋体" w:hAnsi="宋体" w:cs="仿宋"/>
          <w:b/>
          <w:color w:val="000000"/>
          <w:sz w:val="21"/>
          <w:szCs w:val="21"/>
        </w:rPr>
        <w:t>2.1交货时间</w:t>
      </w:r>
      <w:bookmarkEnd w:id="51"/>
    </w:p>
    <w:p>
      <w:pPr>
        <w:keepNext w:val="0"/>
        <w:keepLines w:val="0"/>
        <w:pageBreakBefore w:val="0"/>
        <w:widowControl w:val="0"/>
        <w:kinsoku/>
        <w:wordWrap/>
        <w:overflowPunct/>
        <w:topLinePunct w:val="0"/>
        <w:bidi w:val="0"/>
        <w:adjustRightInd/>
        <w:spacing w:line="360" w:lineRule="auto"/>
        <w:ind w:firstLine="420" w:firstLineChars="200"/>
        <w:outlineLvl w:val="9"/>
        <w:rPr>
          <w:rFonts w:ascii="宋体" w:hAnsi="宋体"/>
          <w:sz w:val="21"/>
          <w:szCs w:val="21"/>
        </w:rPr>
      </w:pPr>
      <w:r>
        <w:rPr>
          <w:rFonts w:hint="eastAsia" w:ascii="宋体" w:hAnsi="宋体"/>
          <w:sz w:val="21"/>
          <w:szCs w:val="21"/>
        </w:rPr>
        <w:t>自招标人发出书面供货通知之日起35个工作日内完成供货。</w:t>
      </w:r>
    </w:p>
    <w:p>
      <w:pPr>
        <w:keepNext w:val="0"/>
        <w:keepLines w:val="0"/>
        <w:pageBreakBefore w:val="0"/>
        <w:widowControl w:val="0"/>
        <w:kinsoku/>
        <w:wordWrap/>
        <w:overflowPunct/>
        <w:topLinePunct w:val="0"/>
        <w:bidi w:val="0"/>
        <w:adjustRightInd/>
        <w:spacing w:line="360" w:lineRule="auto"/>
        <w:ind w:firstLine="422" w:firstLineChars="200"/>
        <w:outlineLvl w:val="9"/>
        <w:rPr>
          <w:rFonts w:ascii="宋体" w:hAnsi="宋体" w:cs="仿宋"/>
          <w:b/>
          <w:color w:val="000000"/>
          <w:sz w:val="21"/>
          <w:szCs w:val="21"/>
        </w:rPr>
      </w:pPr>
      <w:bookmarkStart w:id="52" w:name="_Toc17793782"/>
      <w:r>
        <w:rPr>
          <w:rFonts w:hint="eastAsia" w:ascii="宋体" w:hAnsi="宋体" w:cs="仿宋"/>
          <w:b/>
          <w:color w:val="000000"/>
          <w:sz w:val="21"/>
          <w:szCs w:val="21"/>
        </w:rPr>
        <w:t>2.2交货地点</w:t>
      </w:r>
      <w:bookmarkEnd w:id="52"/>
    </w:p>
    <w:p>
      <w:pPr>
        <w:pStyle w:val="224"/>
        <w:keepNext w:val="0"/>
        <w:keepLines w:val="0"/>
        <w:pageBreakBefore w:val="0"/>
        <w:widowControl w:val="0"/>
        <w:kinsoku/>
        <w:wordWrap/>
        <w:overflowPunct/>
        <w:topLinePunct w:val="0"/>
        <w:bidi w:val="0"/>
        <w:adjustRightInd/>
        <w:spacing w:line="360" w:lineRule="auto"/>
        <w:ind w:left="0" w:firstLine="420" w:firstLineChars="200"/>
        <w:jc w:val="left"/>
        <w:outlineLvl w:val="9"/>
        <w:rPr>
          <w:rFonts w:hint="default" w:hAnsi="宋体" w:cs="仿宋"/>
          <w:color w:val="000000"/>
          <w:sz w:val="21"/>
          <w:szCs w:val="21"/>
        </w:rPr>
      </w:pPr>
      <w:r>
        <w:rPr>
          <w:rFonts w:hAnsi="宋体" w:cs="仿宋"/>
          <w:color w:val="000000"/>
          <w:sz w:val="21"/>
          <w:szCs w:val="21"/>
        </w:rPr>
        <w:t>需求清单的备注中明确了送货地点的，按备注执行，未明确送货地点的，1、2号线清单</w:t>
      </w:r>
      <w:r>
        <w:rPr>
          <w:rFonts w:hAnsi="宋体" w:cs="仿宋"/>
          <w:sz w:val="21"/>
          <w:szCs w:val="21"/>
        </w:rPr>
        <w:t>送货至长沙市轨道交通运营有限公司黄兴车辆段；或送货至招标方指定的长沙市任意地点</w:t>
      </w:r>
      <w:r>
        <w:rPr>
          <w:rFonts w:hAnsi="宋体" w:cs="仿宋"/>
          <w:color w:val="000000"/>
          <w:sz w:val="21"/>
          <w:szCs w:val="21"/>
        </w:rPr>
        <w:t>。</w:t>
      </w:r>
    </w:p>
    <w:p>
      <w:pPr>
        <w:pStyle w:val="246"/>
        <w:keepNext w:val="0"/>
        <w:keepLines w:val="0"/>
        <w:pageBreakBefore w:val="0"/>
        <w:widowControl w:val="0"/>
        <w:numPr>
          <w:ilvl w:val="0"/>
          <w:numId w:val="0"/>
        </w:numPr>
        <w:kinsoku/>
        <w:wordWrap/>
        <w:overflowPunct/>
        <w:topLinePunct w:val="0"/>
        <w:bidi w:val="0"/>
        <w:adjustRightInd/>
        <w:spacing w:line="360" w:lineRule="auto"/>
        <w:ind w:firstLine="422" w:firstLineChars="200"/>
        <w:jc w:val="left"/>
        <w:outlineLvl w:val="9"/>
        <w:rPr>
          <w:rFonts w:ascii="宋体" w:hAnsi="宋体" w:cs="仿宋"/>
          <w:color w:val="000000"/>
          <w:sz w:val="21"/>
          <w:szCs w:val="21"/>
        </w:rPr>
      </w:pPr>
      <w:bookmarkStart w:id="53" w:name="_Toc24886_WPSOffice_Level1"/>
      <w:bookmarkStart w:id="54" w:name="_Toc4828_WPSOffice_Level1"/>
      <w:bookmarkStart w:id="55" w:name="_Toc1460_WPSOffice_Level1"/>
      <w:bookmarkStart w:id="56" w:name="_Toc17711500"/>
      <w:bookmarkStart w:id="57" w:name="_Toc22775"/>
      <w:bookmarkStart w:id="58" w:name="_Toc17711319"/>
      <w:bookmarkStart w:id="59" w:name="_Toc474766747"/>
      <w:bookmarkStart w:id="60" w:name="_Toc5348_WPSOffice_Level1"/>
      <w:bookmarkStart w:id="61" w:name="_Toc6939"/>
      <w:bookmarkStart w:id="62" w:name="_Toc22248_WPSOffice_Level1"/>
      <w:bookmarkStart w:id="63" w:name="_Toc11465_WPSOffice_Level1"/>
      <w:bookmarkStart w:id="64" w:name="_Toc22015_WPSOffice_Level1"/>
      <w:bookmarkStart w:id="65" w:name="_Toc17793783"/>
      <w:r>
        <w:rPr>
          <w:rFonts w:hint="eastAsia" w:ascii="宋体" w:hAnsi="宋体" w:cs="仿宋"/>
          <w:color w:val="000000"/>
          <w:sz w:val="21"/>
          <w:szCs w:val="21"/>
        </w:rPr>
        <w:t>3技术要求</w:t>
      </w:r>
      <w:bookmarkEnd w:id="53"/>
      <w:bookmarkEnd w:id="54"/>
      <w:bookmarkEnd w:id="55"/>
      <w:bookmarkEnd w:id="56"/>
      <w:bookmarkEnd w:id="57"/>
      <w:bookmarkEnd w:id="58"/>
      <w:bookmarkEnd w:id="59"/>
      <w:bookmarkEnd w:id="60"/>
      <w:bookmarkEnd w:id="61"/>
      <w:bookmarkEnd w:id="62"/>
      <w:bookmarkEnd w:id="63"/>
      <w:bookmarkEnd w:id="64"/>
      <w:bookmarkEnd w:id="65"/>
    </w:p>
    <w:p>
      <w:pPr>
        <w:keepNext w:val="0"/>
        <w:keepLines w:val="0"/>
        <w:pageBreakBefore w:val="0"/>
        <w:widowControl w:val="0"/>
        <w:kinsoku/>
        <w:wordWrap/>
        <w:overflowPunct/>
        <w:topLinePunct w:val="0"/>
        <w:bidi w:val="0"/>
        <w:adjustRightInd/>
        <w:spacing w:line="360" w:lineRule="auto"/>
        <w:ind w:firstLine="422" w:firstLineChars="200"/>
        <w:jc w:val="left"/>
        <w:outlineLvl w:val="9"/>
        <w:rPr>
          <w:rFonts w:ascii="宋体" w:hAnsi="宋体" w:cs="仿宋"/>
          <w:b/>
          <w:color w:val="000000"/>
          <w:sz w:val="21"/>
          <w:szCs w:val="21"/>
        </w:rPr>
      </w:pPr>
      <w:bookmarkStart w:id="66" w:name="_Toc18262_WPSOffice_Level1"/>
      <w:bookmarkStart w:id="67" w:name="_Toc3205_WPSOffice_Level1"/>
      <w:bookmarkStart w:id="68" w:name="_Toc28264_WPSOffice_Level1"/>
      <w:bookmarkStart w:id="69" w:name="_Toc13804_WPSOffice_Level1"/>
      <w:bookmarkStart w:id="70" w:name="_Toc25298_WPSOffice_Level1"/>
      <w:bookmarkStart w:id="71" w:name="_Toc22973"/>
      <w:bookmarkStart w:id="72" w:name="_Toc9585"/>
      <w:bookmarkStart w:id="73" w:name="_Toc4274_WPSOffice_Level1"/>
      <w:bookmarkStart w:id="74" w:name="_Toc1075_WPSOffice_Level1"/>
      <w:bookmarkStart w:id="75" w:name="_Toc993"/>
      <w:bookmarkStart w:id="76" w:name="_Toc17711501"/>
      <w:bookmarkStart w:id="77" w:name="_Toc6338_WPSOffice_Level1"/>
      <w:bookmarkStart w:id="78" w:name="_Toc17793784"/>
      <w:bookmarkStart w:id="79" w:name="_Toc29693_WPSOffice_Level1"/>
      <w:bookmarkStart w:id="80" w:name="_Toc12217_WPSOffice_Level1"/>
      <w:r>
        <w:rPr>
          <w:rFonts w:hint="eastAsia" w:ascii="宋体" w:hAnsi="宋体" w:cs="仿宋"/>
          <w:b/>
          <w:color w:val="000000"/>
          <w:sz w:val="21"/>
          <w:szCs w:val="21"/>
        </w:rPr>
        <w:t>3</w:t>
      </w:r>
      <w:r>
        <w:rPr>
          <w:rFonts w:ascii="宋体" w:hAnsi="宋体" w:cs="仿宋"/>
          <w:b/>
          <w:color w:val="000000"/>
          <w:sz w:val="21"/>
          <w:szCs w:val="21"/>
        </w:rPr>
        <w:t>.1采用规范和适用标准</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207"/>
        <w:keepNext w:val="0"/>
        <w:keepLines w:val="0"/>
        <w:pageBreakBefore w:val="0"/>
        <w:widowControl w:val="0"/>
        <w:kinsoku/>
        <w:wordWrap/>
        <w:overflowPunct/>
        <w:topLinePunct w:val="0"/>
        <w:bidi w:val="0"/>
        <w:adjustRightInd/>
        <w:spacing w:line="360" w:lineRule="auto"/>
        <w:ind w:firstLine="420" w:firstLineChars="200"/>
        <w:jc w:val="left"/>
        <w:outlineLvl w:val="9"/>
        <w:rPr>
          <w:rFonts w:cs="仿宋"/>
          <w:snapToGrid/>
          <w:kern w:val="2"/>
          <w:sz w:val="21"/>
          <w:szCs w:val="21"/>
        </w:rPr>
      </w:pPr>
      <w:bookmarkStart w:id="81" w:name="_Toc29531"/>
      <w:r>
        <w:rPr>
          <w:rFonts w:hint="eastAsia" w:cs="仿宋"/>
          <w:snapToGrid/>
          <w:color w:val="000000"/>
          <w:kern w:val="2"/>
          <w:sz w:val="21"/>
          <w:szCs w:val="21"/>
        </w:rPr>
        <w:t>3</w:t>
      </w:r>
      <w:r>
        <w:rPr>
          <w:rFonts w:cs="仿宋"/>
          <w:snapToGrid/>
          <w:color w:val="000000"/>
          <w:kern w:val="2"/>
          <w:sz w:val="21"/>
          <w:szCs w:val="21"/>
        </w:rPr>
        <w:t>.1</w:t>
      </w:r>
      <w:r>
        <w:rPr>
          <w:rFonts w:hint="eastAsia" w:cs="仿宋"/>
          <w:snapToGrid/>
          <w:kern w:val="2"/>
          <w:sz w:val="21"/>
          <w:szCs w:val="21"/>
        </w:rPr>
        <w:t>.1本需求书中招标人主要采用的规范及标准</w:t>
      </w:r>
      <w:bookmarkEnd w:id="81"/>
    </w:p>
    <w:p>
      <w:pPr>
        <w:pStyle w:val="224"/>
        <w:keepNext w:val="0"/>
        <w:keepLines w:val="0"/>
        <w:pageBreakBefore w:val="0"/>
        <w:widowControl w:val="0"/>
        <w:kinsoku/>
        <w:wordWrap/>
        <w:overflowPunct/>
        <w:topLinePunct w:val="0"/>
        <w:bidi w:val="0"/>
        <w:adjustRightInd/>
        <w:spacing w:line="360" w:lineRule="auto"/>
        <w:ind w:left="0" w:firstLine="420" w:firstLineChars="200"/>
        <w:jc w:val="left"/>
        <w:outlineLvl w:val="9"/>
        <w:rPr>
          <w:rFonts w:hint="default" w:hAnsi="宋体" w:cs="仿宋"/>
          <w:color w:val="000000"/>
          <w:sz w:val="21"/>
          <w:szCs w:val="21"/>
        </w:rPr>
      </w:pPr>
      <w:r>
        <w:rPr>
          <w:rFonts w:hAnsi="宋体" w:cs="仿宋"/>
          <w:color w:val="000000"/>
          <w:sz w:val="21"/>
          <w:szCs w:val="21"/>
        </w:rPr>
        <w:t>物资的设计制造还需满足国际标准IEC、ISO、UIC的要求，以及其他的国家标准GB、行业标准、地方标准及规定的要求。以上各项标准以最新版本为准。</w:t>
      </w:r>
    </w:p>
    <w:p>
      <w:pPr>
        <w:keepNext w:val="0"/>
        <w:keepLines w:val="0"/>
        <w:pageBreakBefore w:val="0"/>
        <w:widowControl w:val="0"/>
        <w:kinsoku/>
        <w:wordWrap/>
        <w:overflowPunct/>
        <w:topLinePunct w:val="0"/>
        <w:bidi w:val="0"/>
        <w:adjustRightInd/>
        <w:spacing w:line="360" w:lineRule="auto"/>
        <w:ind w:firstLine="422" w:firstLineChars="200"/>
        <w:jc w:val="left"/>
        <w:outlineLvl w:val="9"/>
        <w:rPr>
          <w:rFonts w:ascii="宋体" w:hAnsi="宋体" w:cs="仿宋_GB2312"/>
          <w:b/>
          <w:sz w:val="21"/>
          <w:szCs w:val="21"/>
        </w:rPr>
      </w:pPr>
      <w:bookmarkStart w:id="82" w:name="_Toc6943_WPSOffice_Level1"/>
      <w:bookmarkStart w:id="83" w:name="_Toc26122_WPSOffice_Level1"/>
      <w:bookmarkStart w:id="84" w:name="_Toc19053_WPSOffice_Level1"/>
      <w:bookmarkStart w:id="85" w:name="_Toc13693_WPSOffice_Level1"/>
      <w:bookmarkStart w:id="86" w:name="_Toc14938_WPSOffice_Level1"/>
      <w:bookmarkStart w:id="87" w:name="_Toc23983_WPSOffice_Level1"/>
      <w:bookmarkStart w:id="88" w:name="_Toc24841_WPSOffice_Level1"/>
      <w:bookmarkStart w:id="89" w:name="_Toc4546_WPSOffice_Level1"/>
      <w:bookmarkStart w:id="90" w:name="_Toc29511_WPSOffice_Level1"/>
      <w:r>
        <w:rPr>
          <w:rFonts w:hint="eastAsia" w:ascii="宋体" w:hAnsi="宋体" w:cs="仿宋_GB2312"/>
          <w:b/>
          <w:sz w:val="21"/>
          <w:szCs w:val="21"/>
        </w:rPr>
        <w:t>3.2</w:t>
      </w:r>
      <w:r>
        <w:rPr>
          <w:rFonts w:ascii="宋体" w:hAnsi="宋体" w:cs="仿宋_GB2312"/>
          <w:b/>
          <w:sz w:val="21"/>
          <w:szCs w:val="21"/>
        </w:rPr>
        <w:t>主要物资技术参数</w:t>
      </w:r>
      <w:bookmarkEnd w:id="82"/>
      <w:bookmarkEnd w:id="83"/>
      <w:bookmarkEnd w:id="84"/>
      <w:bookmarkEnd w:id="85"/>
      <w:bookmarkEnd w:id="86"/>
      <w:bookmarkEnd w:id="87"/>
      <w:bookmarkEnd w:id="88"/>
      <w:bookmarkEnd w:id="89"/>
      <w:bookmarkEnd w:id="90"/>
    </w:p>
    <w:p>
      <w:pPr>
        <w:keepNext w:val="0"/>
        <w:keepLines w:val="0"/>
        <w:pageBreakBefore w:val="0"/>
        <w:widowControl w:val="0"/>
        <w:kinsoku/>
        <w:wordWrap/>
        <w:overflowPunct/>
        <w:topLinePunct w:val="0"/>
        <w:bidi w:val="0"/>
        <w:adjustRightInd/>
        <w:spacing w:line="360" w:lineRule="auto"/>
        <w:ind w:firstLine="420" w:firstLineChars="200"/>
        <w:jc w:val="left"/>
        <w:outlineLvl w:val="9"/>
        <w:rPr>
          <w:rFonts w:ascii="宋体" w:hAnsi="宋体" w:cs="仿宋_GB2312"/>
          <w:sz w:val="21"/>
          <w:szCs w:val="21"/>
        </w:rPr>
      </w:pPr>
      <w:r>
        <w:rPr>
          <w:rFonts w:hint="eastAsia" w:ascii="宋体" w:hAnsi="宋体" w:cs="仿宋_GB2312"/>
          <w:sz w:val="21"/>
          <w:szCs w:val="21"/>
        </w:rPr>
        <w:t>无</w:t>
      </w:r>
    </w:p>
    <w:p>
      <w:pPr>
        <w:pStyle w:val="24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ascii="宋体" w:hAnsi="宋体" w:cs="仿宋"/>
          <w:color w:val="000000"/>
          <w:sz w:val="21"/>
          <w:szCs w:val="21"/>
        </w:rPr>
      </w:pPr>
      <w:bookmarkStart w:id="91" w:name="_Toc17711320"/>
      <w:bookmarkStart w:id="92" w:name="_Toc17711502"/>
      <w:bookmarkStart w:id="93" w:name="_Toc17793785"/>
      <w:bookmarkStart w:id="94" w:name="_Toc20236_WPSOffice_Level1"/>
      <w:bookmarkStart w:id="95" w:name="_Toc24361_WPSOffice_Level1"/>
      <w:bookmarkStart w:id="96" w:name="_Toc22044_WPSOffice_Level1"/>
      <w:r>
        <w:rPr>
          <w:rFonts w:hint="eastAsia" w:ascii="宋体" w:hAnsi="宋体" w:cs="仿宋"/>
          <w:snapToGrid w:val="0"/>
          <w:color w:val="000000"/>
          <w:kern w:val="0"/>
          <w:sz w:val="21"/>
          <w:szCs w:val="21"/>
        </w:rPr>
        <w:t>4</w:t>
      </w:r>
      <w:r>
        <w:rPr>
          <w:rFonts w:hint="eastAsia" w:ascii="宋体" w:hAnsi="宋体" w:cs="仿宋"/>
          <w:color w:val="000000"/>
          <w:sz w:val="21"/>
          <w:szCs w:val="21"/>
        </w:rPr>
        <w:t>项目管理</w:t>
      </w:r>
      <w:bookmarkEnd w:id="91"/>
      <w:bookmarkEnd w:id="92"/>
      <w:bookmarkEnd w:id="93"/>
    </w:p>
    <w:p>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jc w:val="left"/>
        <w:outlineLvl w:val="9"/>
        <w:rPr>
          <w:rFonts w:ascii="宋体" w:hAnsi="宋体" w:cs="仿宋"/>
          <w:color w:val="000000"/>
          <w:sz w:val="21"/>
          <w:szCs w:val="21"/>
        </w:rPr>
      </w:pPr>
      <w:r>
        <w:rPr>
          <w:rFonts w:ascii="宋体" w:hAnsi="宋体" w:cs="仿宋"/>
          <w:color w:val="000000"/>
          <w:sz w:val="21"/>
          <w:szCs w:val="21"/>
        </w:rPr>
        <w:t>投标人应指定专人负责跟进项目的执行。</w:t>
      </w:r>
    </w:p>
    <w:p>
      <w:pPr>
        <w:pStyle w:val="246"/>
        <w:keepNext w:val="0"/>
        <w:keepLines w:val="0"/>
        <w:pageBreakBefore w:val="0"/>
        <w:widowControl w:val="0"/>
        <w:numPr>
          <w:ilvl w:val="0"/>
          <w:numId w:val="0"/>
        </w:numPr>
        <w:tabs>
          <w:tab w:val="left" w:pos="465"/>
          <w:tab w:val="clear" w:pos="470"/>
        </w:tabs>
        <w:kinsoku/>
        <w:wordWrap/>
        <w:overflowPunct/>
        <w:topLinePunct w:val="0"/>
        <w:bidi w:val="0"/>
        <w:adjustRightInd/>
        <w:spacing w:line="360" w:lineRule="auto"/>
        <w:ind w:firstLine="422" w:firstLineChars="200"/>
        <w:jc w:val="left"/>
        <w:outlineLvl w:val="9"/>
        <w:rPr>
          <w:rFonts w:ascii="宋体" w:hAnsi="宋体" w:cs="仿宋"/>
          <w:color w:val="000000"/>
          <w:sz w:val="21"/>
          <w:szCs w:val="21"/>
        </w:rPr>
      </w:pPr>
      <w:bookmarkStart w:id="97" w:name="_Toc17711503"/>
      <w:bookmarkStart w:id="98" w:name="_Toc17793786"/>
      <w:bookmarkStart w:id="99" w:name="_Toc17711321"/>
      <w:bookmarkStart w:id="100" w:name="_Toc18658_WPSOffice_Level1"/>
      <w:bookmarkStart w:id="101" w:name="_Toc21202_WPSOffice_Level1"/>
      <w:bookmarkStart w:id="102" w:name="_Toc2341_WPSOffice_Level1"/>
      <w:bookmarkStart w:id="103" w:name="_Toc7709_WPSOffice_Level1"/>
      <w:bookmarkStart w:id="104" w:name="_Toc28319_WPSOffice_Level1"/>
      <w:bookmarkStart w:id="105" w:name="_Toc5282_WPSOffice_Level1"/>
      <w:bookmarkStart w:id="106" w:name="_Toc3236"/>
      <w:bookmarkStart w:id="107" w:name="_Toc20368_WPSOffice_Level1"/>
      <w:r>
        <w:rPr>
          <w:rFonts w:hint="eastAsia" w:ascii="宋体" w:hAnsi="宋体" w:cs="仿宋"/>
          <w:color w:val="000000"/>
          <w:sz w:val="21"/>
          <w:szCs w:val="21"/>
        </w:rPr>
        <w:t>5验收要求</w:t>
      </w:r>
      <w:bookmarkEnd w:id="97"/>
      <w:bookmarkEnd w:id="98"/>
      <w:bookmarkEnd w:id="99"/>
      <w:bookmarkEnd w:id="100"/>
      <w:bookmarkEnd w:id="101"/>
      <w:bookmarkEnd w:id="102"/>
      <w:bookmarkEnd w:id="103"/>
      <w:bookmarkEnd w:id="104"/>
      <w:bookmarkEnd w:id="105"/>
      <w:bookmarkEnd w:id="106"/>
      <w:bookmarkEnd w:id="107"/>
    </w:p>
    <w:p>
      <w:pPr>
        <w:pStyle w:val="272"/>
        <w:keepNext w:val="0"/>
        <w:keepLines w:val="0"/>
        <w:pageBreakBefore w:val="0"/>
        <w:widowControl w:val="0"/>
        <w:kinsoku/>
        <w:wordWrap/>
        <w:overflowPunct/>
        <w:topLinePunct w:val="0"/>
        <w:bidi w:val="0"/>
        <w:adjustRightInd/>
        <w:spacing w:line="360" w:lineRule="auto"/>
        <w:ind w:firstLine="420" w:firstLineChars="200"/>
        <w:jc w:val="left"/>
        <w:outlineLvl w:val="9"/>
        <w:rPr>
          <w:rFonts w:cs="仿宋"/>
          <w:b w:val="0"/>
          <w:snapToGrid/>
          <w:color w:val="000000"/>
          <w:kern w:val="2"/>
          <w:sz w:val="21"/>
          <w:szCs w:val="21"/>
        </w:rPr>
      </w:pPr>
      <w:bookmarkStart w:id="108" w:name="_Toc17711504"/>
      <w:bookmarkStart w:id="109" w:name="_Toc30104"/>
      <w:bookmarkStart w:id="110" w:name="_Toc24976"/>
      <w:r>
        <w:rPr>
          <w:rFonts w:cs="仿宋"/>
          <w:b w:val="0"/>
          <w:snapToGrid/>
          <w:color w:val="000000"/>
          <w:kern w:val="2"/>
          <w:sz w:val="21"/>
          <w:szCs w:val="21"/>
        </w:rPr>
        <w:t>投标人交付的货物必须达到3.1.1提及的质量标准以及合格证书、技术性能参数、质量参数和国家质量标准。</w:t>
      </w:r>
      <w:bookmarkEnd w:id="108"/>
      <w:bookmarkEnd w:id="109"/>
      <w:bookmarkEnd w:id="110"/>
    </w:p>
    <w:p>
      <w:pPr>
        <w:pStyle w:val="272"/>
        <w:keepNext w:val="0"/>
        <w:keepLines w:val="0"/>
        <w:pageBreakBefore w:val="0"/>
        <w:widowControl w:val="0"/>
        <w:kinsoku/>
        <w:wordWrap/>
        <w:overflowPunct/>
        <w:topLinePunct w:val="0"/>
        <w:bidi w:val="0"/>
        <w:adjustRightInd/>
        <w:spacing w:line="360" w:lineRule="auto"/>
        <w:ind w:firstLine="422" w:firstLineChars="200"/>
        <w:jc w:val="left"/>
        <w:outlineLvl w:val="9"/>
        <w:rPr>
          <w:rFonts w:cs="仿宋"/>
          <w:color w:val="000000"/>
          <w:sz w:val="21"/>
          <w:szCs w:val="21"/>
        </w:rPr>
      </w:pPr>
      <w:bookmarkStart w:id="111" w:name="_Toc27659_WPSOffice_Level1"/>
      <w:bookmarkStart w:id="112" w:name="_Toc27734_WPSOffice_Level1"/>
      <w:bookmarkStart w:id="113" w:name="_Toc16193_WPSOffice_Level1"/>
      <w:bookmarkStart w:id="114" w:name="_Toc17711505"/>
      <w:bookmarkStart w:id="115" w:name="_Toc24499_WPSOffice_Level1"/>
      <w:bookmarkStart w:id="116" w:name="_Toc28061_WPSOffice_Level1"/>
      <w:bookmarkStart w:id="117" w:name="_Toc24120_WPSOffice_Level1"/>
      <w:bookmarkStart w:id="118" w:name="_Toc17793787"/>
      <w:bookmarkStart w:id="119" w:name="_Toc20407_WPSOffice_Level1"/>
      <w:bookmarkStart w:id="120" w:name="_Toc31385"/>
      <w:r>
        <w:rPr>
          <w:rFonts w:cs="仿宋"/>
          <w:color w:val="000000"/>
          <w:sz w:val="21"/>
          <w:szCs w:val="21"/>
        </w:rPr>
        <w:t>5.1检验方法</w:t>
      </w:r>
      <w:bookmarkEnd w:id="111"/>
      <w:bookmarkEnd w:id="112"/>
      <w:bookmarkEnd w:id="113"/>
      <w:bookmarkEnd w:id="114"/>
      <w:bookmarkEnd w:id="115"/>
      <w:bookmarkEnd w:id="116"/>
      <w:bookmarkEnd w:id="117"/>
      <w:bookmarkEnd w:id="118"/>
      <w:bookmarkEnd w:id="119"/>
      <w:bookmarkEnd w:id="120"/>
    </w:p>
    <w:p>
      <w:pPr>
        <w:pStyle w:val="207"/>
        <w:keepNext w:val="0"/>
        <w:keepLines w:val="0"/>
        <w:pageBreakBefore w:val="0"/>
        <w:widowControl w:val="0"/>
        <w:kinsoku/>
        <w:wordWrap/>
        <w:overflowPunct/>
        <w:topLinePunct w:val="0"/>
        <w:bidi w:val="0"/>
        <w:adjustRightInd/>
        <w:spacing w:line="360" w:lineRule="auto"/>
        <w:ind w:firstLine="420" w:firstLineChars="200"/>
        <w:jc w:val="left"/>
        <w:outlineLvl w:val="9"/>
        <w:rPr>
          <w:rFonts w:cs="仿宋"/>
          <w:snapToGrid/>
          <w:color w:val="000000"/>
          <w:kern w:val="2"/>
          <w:sz w:val="21"/>
          <w:szCs w:val="21"/>
        </w:rPr>
      </w:pPr>
      <w:bookmarkStart w:id="121" w:name="_Toc14214"/>
      <w:r>
        <w:rPr>
          <w:rFonts w:hint="eastAsia" w:cs="仿宋"/>
          <w:snapToGrid/>
          <w:color w:val="000000"/>
          <w:kern w:val="2"/>
          <w:sz w:val="21"/>
          <w:szCs w:val="21"/>
        </w:rPr>
        <w:t>5.1.1</w:t>
      </w:r>
      <w:r>
        <w:rPr>
          <w:rFonts w:cs="仿宋"/>
          <w:snapToGrid/>
          <w:color w:val="000000"/>
          <w:kern w:val="2"/>
          <w:sz w:val="21"/>
          <w:szCs w:val="21"/>
        </w:rPr>
        <w:t>采取目测和简易测量的方法对货物的外观检验，对照合格证书对产品进行检验。</w:t>
      </w:r>
      <w:bookmarkEnd w:id="121"/>
    </w:p>
    <w:p>
      <w:pPr>
        <w:pStyle w:val="207"/>
        <w:keepNext w:val="0"/>
        <w:keepLines w:val="0"/>
        <w:pageBreakBefore w:val="0"/>
        <w:widowControl w:val="0"/>
        <w:kinsoku/>
        <w:wordWrap/>
        <w:overflowPunct/>
        <w:topLinePunct w:val="0"/>
        <w:bidi w:val="0"/>
        <w:adjustRightInd/>
        <w:spacing w:line="360" w:lineRule="auto"/>
        <w:ind w:firstLine="420" w:firstLineChars="200"/>
        <w:jc w:val="left"/>
        <w:outlineLvl w:val="9"/>
        <w:rPr>
          <w:rFonts w:cs="仿宋"/>
          <w:snapToGrid/>
          <w:color w:val="000000"/>
          <w:kern w:val="2"/>
          <w:sz w:val="21"/>
          <w:szCs w:val="21"/>
        </w:rPr>
      </w:pPr>
      <w:bookmarkStart w:id="122" w:name="_Toc14933"/>
      <w:r>
        <w:rPr>
          <w:rFonts w:hint="eastAsia" w:cs="仿宋"/>
          <w:snapToGrid/>
          <w:color w:val="000000"/>
          <w:kern w:val="2"/>
          <w:sz w:val="21"/>
          <w:szCs w:val="21"/>
        </w:rPr>
        <w:t>5.1.2</w:t>
      </w:r>
      <w:r>
        <w:rPr>
          <w:rFonts w:cs="仿宋"/>
          <w:snapToGrid/>
          <w:color w:val="000000"/>
          <w:kern w:val="2"/>
          <w:sz w:val="21"/>
          <w:szCs w:val="21"/>
        </w:rPr>
        <w:t>采取</w:t>
      </w:r>
      <w:r>
        <w:rPr>
          <w:rFonts w:hint="eastAsia" w:cs="仿宋"/>
          <w:snapToGrid/>
          <w:color w:val="000000"/>
          <w:kern w:val="2"/>
          <w:sz w:val="21"/>
          <w:szCs w:val="21"/>
        </w:rPr>
        <w:t>送验</w:t>
      </w:r>
      <w:r>
        <w:rPr>
          <w:rFonts w:cs="仿宋"/>
          <w:snapToGrid/>
          <w:color w:val="000000"/>
          <w:kern w:val="2"/>
          <w:sz w:val="21"/>
          <w:szCs w:val="21"/>
        </w:rPr>
        <w:t>的方法对货物进行检验，如检验不合格，检验费由投标人支付。</w:t>
      </w:r>
      <w:bookmarkEnd w:id="122"/>
    </w:p>
    <w:p>
      <w:pPr>
        <w:pStyle w:val="207"/>
        <w:keepNext w:val="0"/>
        <w:keepLines w:val="0"/>
        <w:pageBreakBefore w:val="0"/>
        <w:widowControl w:val="0"/>
        <w:kinsoku/>
        <w:wordWrap/>
        <w:overflowPunct/>
        <w:topLinePunct w:val="0"/>
        <w:bidi w:val="0"/>
        <w:adjustRightInd/>
        <w:spacing w:line="360" w:lineRule="auto"/>
        <w:ind w:firstLine="420" w:firstLineChars="200"/>
        <w:jc w:val="left"/>
        <w:outlineLvl w:val="9"/>
        <w:rPr>
          <w:rFonts w:cs="仿宋"/>
          <w:snapToGrid/>
          <w:color w:val="000000"/>
          <w:kern w:val="2"/>
          <w:sz w:val="21"/>
          <w:szCs w:val="21"/>
        </w:rPr>
      </w:pPr>
      <w:bookmarkStart w:id="123" w:name="_Toc28405"/>
      <w:bookmarkStart w:id="124" w:name="_Toc20502"/>
      <w:r>
        <w:rPr>
          <w:rFonts w:hint="eastAsia" w:cs="仿宋"/>
          <w:snapToGrid/>
          <w:color w:val="000000"/>
          <w:kern w:val="2"/>
          <w:sz w:val="21"/>
          <w:szCs w:val="21"/>
        </w:rPr>
        <w:t>5.1.3</w:t>
      </w:r>
      <w:bookmarkEnd w:id="123"/>
      <w:r>
        <w:rPr>
          <w:rFonts w:hint="eastAsia" w:cs="仿宋"/>
          <w:snapToGrid/>
          <w:color w:val="000000"/>
          <w:kern w:val="2"/>
          <w:sz w:val="21"/>
          <w:szCs w:val="21"/>
        </w:rPr>
        <w:t>包括但不限于以上检验方法。</w:t>
      </w:r>
      <w:bookmarkEnd w:id="124"/>
    </w:p>
    <w:p>
      <w:pPr>
        <w:pStyle w:val="272"/>
        <w:keepNext w:val="0"/>
        <w:keepLines w:val="0"/>
        <w:pageBreakBefore w:val="0"/>
        <w:widowControl w:val="0"/>
        <w:kinsoku/>
        <w:wordWrap/>
        <w:overflowPunct/>
        <w:topLinePunct w:val="0"/>
        <w:bidi w:val="0"/>
        <w:adjustRightInd/>
        <w:spacing w:line="360" w:lineRule="auto"/>
        <w:ind w:firstLine="422" w:firstLineChars="200"/>
        <w:jc w:val="left"/>
        <w:outlineLvl w:val="9"/>
        <w:rPr>
          <w:rFonts w:cs="仿宋"/>
          <w:color w:val="000000"/>
          <w:sz w:val="21"/>
          <w:szCs w:val="21"/>
        </w:rPr>
      </w:pPr>
      <w:bookmarkStart w:id="125" w:name="_Toc17793788"/>
      <w:r>
        <w:rPr>
          <w:rFonts w:cs="仿宋"/>
          <w:color w:val="000000"/>
          <w:sz w:val="21"/>
          <w:szCs w:val="21"/>
        </w:rPr>
        <w:t>5.2其他</w:t>
      </w:r>
      <w:bookmarkEnd w:id="125"/>
    </w:p>
    <w:p>
      <w:pPr>
        <w:pStyle w:val="224"/>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baseline"/>
        <w:outlineLvl w:val="9"/>
        <w:rPr>
          <w:rFonts w:hint="default" w:hAnsi="宋体"/>
          <w:sz w:val="21"/>
          <w:szCs w:val="21"/>
        </w:rPr>
      </w:pPr>
      <w:r>
        <w:rPr>
          <w:rFonts w:hAnsi="宋体" w:cs="仿宋"/>
          <w:color w:val="000000"/>
          <w:sz w:val="21"/>
          <w:szCs w:val="21"/>
        </w:rPr>
        <w:t>5.2.1</w:t>
      </w:r>
      <w:r>
        <w:rPr>
          <w:rFonts w:hAnsi="宋体"/>
          <w:sz w:val="21"/>
          <w:szCs w:val="21"/>
        </w:rPr>
        <w:t>中标人负责货物的运输、保管、安装调试直至验收合格。</w:t>
      </w:r>
    </w:p>
    <w:p>
      <w:pPr>
        <w:pStyle w:val="224"/>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baseline"/>
        <w:outlineLvl w:val="9"/>
        <w:rPr>
          <w:rFonts w:hint="default" w:hAnsi="宋体"/>
          <w:sz w:val="21"/>
          <w:szCs w:val="21"/>
        </w:rPr>
      </w:pPr>
      <w:r>
        <w:rPr>
          <w:rFonts w:hAnsi="宋体" w:cs="仿宋"/>
          <w:color w:val="000000"/>
          <w:sz w:val="21"/>
          <w:szCs w:val="21"/>
        </w:rPr>
        <w:t>5.2.2</w:t>
      </w:r>
      <w:r>
        <w:rPr>
          <w:rFonts w:hAnsi="宋体"/>
          <w:sz w:val="21"/>
          <w:szCs w:val="21"/>
        </w:rPr>
        <w:t>车辆在交付时需要提供每台车20L燃油。</w:t>
      </w:r>
    </w:p>
    <w:p>
      <w:pPr>
        <w:pStyle w:val="246"/>
        <w:keepNext w:val="0"/>
        <w:keepLines w:val="0"/>
        <w:pageBreakBefore w:val="0"/>
        <w:widowControl w:val="0"/>
        <w:numPr>
          <w:ilvl w:val="0"/>
          <w:numId w:val="0"/>
        </w:numPr>
        <w:kinsoku/>
        <w:wordWrap/>
        <w:overflowPunct/>
        <w:topLinePunct w:val="0"/>
        <w:bidi w:val="0"/>
        <w:adjustRightInd/>
        <w:spacing w:line="360" w:lineRule="auto"/>
        <w:ind w:firstLine="422" w:firstLineChars="200"/>
        <w:jc w:val="left"/>
        <w:outlineLvl w:val="9"/>
        <w:rPr>
          <w:rFonts w:ascii="宋体" w:hAnsi="宋体" w:cs="仿宋"/>
          <w:color w:val="000000"/>
          <w:sz w:val="21"/>
          <w:szCs w:val="21"/>
        </w:rPr>
      </w:pPr>
      <w:bookmarkStart w:id="126" w:name="_Toc1893_WPSOffice_Level1"/>
      <w:bookmarkStart w:id="127" w:name="_Toc17711322"/>
      <w:bookmarkStart w:id="128" w:name="_Toc8417"/>
      <w:bookmarkStart w:id="129" w:name="_Toc293_WPSOffice_Level1"/>
      <w:bookmarkStart w:id="130" w:name="_Toc8006_WPSOffice_Level1"/>
      <w:bookmarkStart w:id="131" w:name="_Toc4983"/>
      <w:bookmarkStart w:id="132" w:name="_Toc16695_WPSOffice_Level1"/>
      <w:bookmarkStart w:id="133" w:name="_Toc29484_WPSOffice_Level1"/>
      <w:bookmarkStart w:id="134" w:name="_Toc17711506"/>
      <w:bookmarkStart w:id="135" w:name="_Toc17731_WPSOffice_Level1"/>
      <w:bookmarkStart w:id="136" w:name="_Toc11138_WPSOffice_Level1"/>
      <w:bookmarkStart w:id="137" w:name="_Toc17793789"/>
      <w:r>
        <w:rPr>
          <w:rFonts w:hint="eastAsia" w:ascii="宋体" w:hAnsi="宋体" w:cs="仿宋"/>
          <w:color w:val="000000"/>
          <w:sz w:val="21"/>
          <w:szCs w:val="21"/>
        </w:rPr>
        <w:t>6质保期</w:t>
      </w:r>
      <w:bookmarkEnd w:id="126"/>
      <w:bookmarkEnd w:id="127"/>
      <w:bookmarkEnd w:id="128"/>
      <w:bookmarkEnd w:id="129"/>
      <w:bookmarkEnd w:id="130"/>
      <w:bookmarkEnd w:id="131"/>
      <w:bookmarkEnd w:id="132"/>
      <w:bookmarkEnd w:id="133"/>
      <w:bookmarkEnd w:id="134"/>
      <w:bookmarkEnd w:id="135"/>
      <w:bookmarkEnd w:id="136"/>
      <w:r>
        <w:rPr>
          <w:rFonts w:hint="eastAsia" w:ascii="宋体" w:hAnsi="宋体" w:cs="仿宋"/>
          <w:color w:val="000000"/>
          <w:sz w:val="21"/>
          <w:szCs w:val="21"/>
        </w:rPr>
        <w:t>和售后服务</w:t>
      </w:r>
      <w:bookmarkEnd w:id="137"/>
    </w:p>
    <w:p>
      <w:pPr>
        <w:pStyle w:val="272"/>
        <w:keepNext w:val="0"/>
        <w:keepLines w:val="0"/>
        <w:pageBreakBefore w:val="0"/>
        <w:widowControl w:val="0"/>
        <w:kinsoku/>
        <w:wordWrap/>
        <w:overflowPunct/>
        <w:topLinePunct w:val="0"/>
        <w:bidi w:val="0"/>
        <w:adjustRightInd/>
        <w:spacing w:line="360" w:lineRule="auto"/>
        <w:ind w:firstLine="422" w:firstLineChars="200"/>
        <w:jc w:val="left"/>
        <w:outlineLvl w:val="9"/>
        <w:rPr>
          <w:rFonts w:cs="仿宋"/>
          <w:color w:val="000000"/>
          <w:sz w:val="21"/>
          <w:szCs w:val="21"/>
        </w:rPr>
      </w:pPr>
      <w:bookmarkStart w:id="138" w:name="_Toc30689_WPSOffice_Level1"/>
      <w:bookmarkStart w:id="139" w:name="_Toc18140_WPSOffice_Level1"/>
      <w:bookmarkStart w:id="140" w:name="_Toc17711507"/>
      <w:bookmarkStart w:id="141" w:name="_Toc26645_WPSOffice_Level1"/>
      <w:bookmarkStart w:id="142" w:name="_Toc21442_WPSOffice_Level1"/>
      <w:bookmarkStart w:id="143" w:name="_Toc31679_WPSOffice_Level1"/>
      <w:bookmarkStart w:id="144" w:name="_Toc29867"/>
      <w:bookmarkStart w:id="145" w:name="_Toc17793790"/>
      <w:bookmarkStart w:id="146" w:name="_Toc31583_WPSOffice_Level1"/>
      <w:bookmarkStart w:id="147" w:name="_Toc7860_WPSOffice_Level1"/>
      <w:bookmarkStart w:id="148" w:name="_Toc14944_WPSOffice_Level1"/>
      <w:bookmarkStart w:id="149" w:name="_Toc15541_WPSOffice_Level1"/>
      <w:bookmarkStart w:id="150" w:name="_Toc24020"/>
      <w:r>
        <w:rPr>
          <w:rFonts w:cs="仿宋"/>
          <w:color w:val="000000"/>
          <w:sz w:val="21"/>
          <w:szCs w:val="21"/>
        </w:rPr>
        <w:t>6.1质保期要求</w:t>
      </w:r>
      <w:bookmarkEnd w:id="138"/>
      <w:bookmarkEnd w:id="139"/>
      <w:bookmarkEnd w:id="140"/>
      <w:bookmarkEnd w:id="141"/>
      <w:bookmarkEnd w:id="142"/>
      <w:bookmarkEnd w:id="143"/>
      <w:bookmarkEnd w:id="144"/>
      <w:bookmarkEnd w:id="145"/>
      <w:bookmarkEnd w:id="146"/>
      <w:bookmarkEnd w:id="147"/>
      <w:bookmarkEnd w:id="148"/>
      <w:bookmarkEnd w:id="149"/>
      <w:bookmarkEnd w:id="150"/>
    </w:p>
    <w:p>
      <w:pPr>
        <w:keepNext w:val="0"/>
        <w:keepLines w:val="0"/>
        <w:pageBreakBefore w:val="0"/>
        <w:widowControl w:val="0"/>
        <w:kinsoku/>
        <w:wordWrap/>
        <w:overflowPunct/>
        <w:topLinePunct w:val="0"/>
        <w:bidi w:val="0"/>
        <w:adjustRightInd/>
        <w:spacing w:line="360" w:lineRule="auto"/>
        <w:ind w:firstLine="420" w:firstLineChars="200"/>
        <w:outlineLvl w:val="9"/>
        <w:rPr>
          <w:rFonts w:ascii="宋体" w:hAnsi="宋体"/>
          <w:sz w:val="21"/>
          <w:szCs w:val="21"/>
        </w:rPr>
      </w:pPr>
      <w:r>
        <w:rPr>
          <w:rFonts w:hint="eastAsia" w:ascii="宋体" w:hAnsi="宋体"/>
          <w:color w:val="000000"/>
          <w:sz w:val="21"/>
          <w:szCs w:val="21"/>
        </w:rPr>
        <w:t>6.1.1</w:t>
      </w:r>
      <w:bookmarkEnd w:id="94"/>
      <w:bookmarkEnd w:id="95"/>
      <w:bookmarkEnd w:id="96"/>
      <w:r>
        <w:rPr>
          <w:rFonts w:ascii="宋体" w:hAnsi="宋体"/>
          <w:sz w:val="21"/>
          <w:szCs w:val="21"/>
        </w:rPr>
        <w:t>所投产品所有部件的质量保证及售后服务均由</w:t>
      </w:r>
      <w:r>
        <w:rPr>
          <w:rFonts w:hint="eastAsia" w:ascii="宋体" w:hAnsi="宋体"/>
          <w:sz w:val="21"/>
          <w:szCs w:val="21"/>
        </w:rPr>
        <w:t>中标人</w:t>
      </w:r>
      <w:r>
        <w:rPr>
          <w:rFonts w:ascii="宋体" w:hAnsi="宋体"/>
          <w:sz w:val="21"/>
          <w:szCs w:val="21"/>
        </w:rPr>
        <w:t xml:space="preserve">负责； </w:t>
      </w:r>
    </w:p>
    <w:p>
      <w:pPr>
        <w:keepNext w:val="0"/>
        <w:keepLines w:val="0"/>
        <w:pageBreakBefore w:val="0"/>
        <w:widowControl w:val="0"/>
        <w:kinsoku/>
        <w:wordWrap/>
        <w:overflowPunct/>
        <w:topLinePunct w:val="0"/>
        <w:bidi w:val="0"/>
        <w:adjustRightInd/>
        <w:spacing w:line="360" w:lineRule="auto"/>
        <w:ind w:firstLine="420" w:firstLineChars="200"/>
        <w:outlineLvl w:val="9"/>
        <w:rPr>
          <w:rFonts w:ascii="宋体" w:hAnsi="宋体"/>
          <w:sz w:val="21"/>
          <w:szCs w:val="21"/>
        </w:rPr>
      </w:pPr>
      <w:r>
        <w:rPr>
          <w:rFonts w:hint="eastAsia" w:ascii="宋体" w:hAnsi="宋体"/>
          <w:color w:val="000000"/>
          <w:sz w:val="21"/>
          <w:szCs w:val="21"/>
        </w:rPr>
        <w:t>6.1.2</w:t>
      </w:r>
      <w:r>
        <w:rPr>
          <w:rFonts w:ascii="宋体" w:hAnsi="宋体"/>
          <w:sz w:val="21"/>
          <w:szCs w:val="21"/>
        </w:rPr>
        <w:t>质保期从验收合格交付后开始计算,质保期</w:t>
      </w:r>
      <w:r>
        <w:rPr>
          <w:rFonts w:hint="eastAsia" w:ascii="宋体" w:hAnsi="宋体"/>
          <w:sz w:val="21"/>
          <w:szCs w:val="21"/>
        </w:rPr>
        <w:t>3年或10万公里</w:t>
      </w:r>
      <w:r>
        <w:rPr>
          <w:rFonts w:hint="eastAsia" w:ascii="宋体" w:hAnsi="宋体"/>
          <w:sz w:val="21"/>
          <w:szCs w:val="21"/>
          <w:lang w:eastAsia="zh-CN"/>
        </w:rPr>
        <w:t>（</w:t>
      </w:r>
      <w:r>
        <w:rPr>
          <w:rFonts w:hint="eastAsia" w:ascii="宋体" w:hAnsi="宋体"/>
          <w:sz w:val="21"/>
          <w:szCs w:val="21"/>
        </w:rPr>
        <w:t>以先到为准），如中标人提供的质保期超出上述范围，以中标人承诺的期限为准。</w:t>
      </w:r>
    </w:p>
    <w:p>
      <w:pPr>
        <w:pStyle w:val="272"/>
        <w:keepNext w:val="0"/>
        <w:keepLines w:val="0"/>
        <w:pageBreakBefore w:val="0"/>
        <w:widowControl w:val="0"/>
        <w:kinsoku/>
        <w:wordWrap/>
        <w:overflowPunct/>
        <w:topLinePunct w:val="0"/>
        <w:bidi w:val="0"/>
        <w:adjustRightInd/>
        <w:spacing w:line="360" w:lineRule="auto"/>
        <w:ind w:firstLine="422" w:firstLineChars="200"/>
        <w:jc w:val="left"/>
        <w:outlineLvl w:val="9"/>
        <w:rPr>
          <w:rFonts w:cs="仿宋"/>
          <w:color w:val="000000"/>
          <w:sz w:val="21"/>
          <w:szCs w:val="21"/>
        </w:rPr>
      </w:pPr>
      <w:bookmarkStart w:id="151" w:name="_Toc17793791"/>
      <w:r>
        <w:rPr>
          <w:rFonts w:cs="仿宋"/>
          <w:color w:val="000000"/>
          <w:sz w:val="21"/>
          <w:szCs w:val="21"/>
        </w:rPr>
        <w:t>6.2售后服务要求</w:t>
      </w:r>
      <w:bookmarkEnd w:id="151"/>
    </w:p>
    <w:p>
      <w:pPr>
        <w:keepNext w:val="0"/>
        <w:keepLines w:val="0"/>
        <w:pageBreakBefore w:val="0"/>
        <w:widowControl w:val="0"/>
        <w:kinsoku/>
        <w:wordWrap/>
        <w:overflowPunct/>
        <w:topLinePunct w:val="0"/>
        <w:bidi w:val="0"/>
        <w:adjustRightInd/>
        <w:spacing w:line="360" w:lineRule="auto"/>
        <w:ind w:firstLine="420" w:firstLineChars="200"/>
        <w:outlineLvl w:val="9"/>
        <w:rPr>
          <w:rFonts w:ascii="宋体" w:hAnsi="宋体"/>
          <w:sz w:val="21"/>
          <w:szCs w:val="21"/>
        </w:rPr>
      </w:pPr>
      <w:r>
        <w:rPr>
          <w:rFonts w:hint="eastAsia" w:ascii="宋体" w:hAnsi="宋体"/>
          <w:color w:val="000000"/>
          <w:sz w:val="21"/>
          <w:szCs w:val="21"/>
        </w:rPr>
        <w:t>6.</w:t>
      </w:r>
      <w:r>
        <w:rPr>
          <w:rFonts w:ascii="宋体" w:hAnsi="宋体"/>
          <w:color w:val="000000"/>
          <w:sz w:val="21"/>
          <w:szCs w:val="21"/>
        </w:rPr>
        <w:t>2</w:t>
      </w:r>
      <w:r>
        <w:rPr>
          <w:rFonts w:hint="eastAsia" w:ascii="宋体" w:hAnsi="宋体"/>
          <w:color w:val="000000"/>
          <w:sz w:val="21"/>
          <w:szCs w:val="21"/>
        </w:rPr>
        <w:t>.1</w:t>
      </w:r>
      <w:r>
        <w:rPr>
          <w:rFonts w:ascii="宋体" w:hAnsi="宋体"/>
          <w:sz w:val="21"/>
          <w:szCs w:val="21"/>
        </w:rPr>
        <w:t>提供7×24小时的技术咨询服务。</w:t>
      </w:r>
    </w:p>
    <w:p>
      <w:pPr>
        <w:keepNext w:val="0"/>
        <w:keepLines w:val="0"/>
        <w:pageBreakBefore w:val="0"/>
        <w:widowControl w:val="0"/>
        <w:kinsoku/>
        <w:wordWrap/>
        <w:overflowPunct/>
        <w:topLinePunct w:val="0"/>
        <w:bidi w:val="0"/>
        <w:adjustRightInd/>
        <w:spacing w:line="360" w:lineRule="auto"/>
        <w:ind w:firstLine="420" w:firstLineChars="200"/>
        <w:outlineLvl w:val="9"/>
        <w:rPr>
          <w:rFonts w:ascii="宋体" w:hAnsi="宋体"/>
          <w:sz w:val="21"/>
          <w:szCs w:val="21"/>
        </w:rPr>
      </w:pPr>
      <w:r>
        <w:rPr>
          <w:rFonts w:hint="eastAsia" w:ascii="宋体" w:hAnsi="宋体"/>
          <w:color w:val="000000"/>
          <w:sz w:val="21"/>
          <w:szCs w:val="21"/>
        </w:rPr>
        <w:t>6.</w:t>
      </w:r>
      <w:r>
        <w:rPr>
          <w:rFonts w:ascii="宋体" w:hAnsi="宋体"/>
          <w:color w:val="000000"/>
          <w:sz w:val="21"/>
          <w:szCs w:val="21"/>
        </w:rPr>
        <w:t>2</w:t>
      </w:r>
      <w:r>
        <w:rPr>
          <w:rFonts w:hint="eastAsia" w:ascii="宋体" w:hAnsi="宋体"/>
          <w:color w:val="000000"/>
          <w:sz w:val="21"/>
          <w:szCs w:val="21"/>
        </w:rPr>
        <w:t>.2</w:t>
      </w:r>
      <w:r>
        <w:rPr>
          <w:rFonts w:ascii="宋体" w:hAnsi="宋体"/>
          <w:sz w:val="21"/>
          <w:szCs w:val="21"/>
        </w:rPr>
        <w:t>投标人每年必须对所售车辆进行不少于2次巡查回访。</w:t>
      </w:r>
    </w:p>
    <w:p>
      <w:pPr>
        <w:keepNext w:val="0"/>
        <w:keepLines w:val="0"/>
        <w:pageBreakBefore w:val="0"/>
        <w:widowControl w:val="0"/>
        <w:kinsoku/>
        <w:wordWrap/>
        <w:overflowPunct/>
        <w:topLinePunct w:val="0"/>
        <w:bidi w:val="0"/>
        <w:adjustRightInd/>
        <w:spacing w:line="360" w:lineRule="auto"/>
        <w:ind w:firstLine="420" w:firstLineChars="200"/>
        <w:outlineLvl w:val="9"/>
        <w:rPr>
          <w:rFonts w:hint="eastAsia" w:ascii="宋体" w:hAnsi="宋体" w:eastAsia="宋体"/>
          <w:sz w:val="21"/>
          <w:szCs w:val="21"/>
          <w:lang w:eastAsia="zh-CN"/>
        </w:rPr>
        <w:sectPr>
          <w:pgSz w:w="11906" w:h="16838"/>
          <w:pgMar w:top="1440" w:right="1797" w:bottom="1440" w:left="1797" w:header="851" w:footer="851" w:gutter="0"/>
          <w:pgNumType w:fmt="decimal"/>
          <w:cols w:space="720" w:num="1"/>
          <w:docGrid w:linePitch="312" w:charSpace="0"/>
        </w:sectPr>
      </w:pPr>
      <w:r>
        <w:rPr>
          <w:rFonts w:hint="eastAsia" w:ascii="宋体" w:hAnsi="宋体"/>
          <w:color w:val="000000"/>
          <w:sz w:val="21"/>
          <w:szCs w:val="21"/>
        </w:rPr>
        <w:t>6.</w:t>
      </w:r>
      <w:r>
        <w:rPr>
          <w:rFonts w:ascii="宋体" w:hAnsi="宋体"/>
          <w:color w:val="000000"/>
          <w:sz w:val="21"/>
          <w:szCs w:val="21"/>
        </w:rPr>
        <w:t>2</w:t>
      </w:r>
      <w:r>
        <w:rPr>
          <w:rFonts w:hint="eastAsia" w:ascii="宋体" w:hAnsi="宋体"/>
          <w:color w:val="000000"/>
          <w:sz w:val="21"/>
          <w:szCs w:val="21"/>
        </w:rPr>
        <w:t>.3</w:t>
      </w:r>
      <w:r>
        <w:rPr>
          <w:rFonts w:ascii="宋体" w:hAnsi="宋体"/>
          <w:sz w:val="21"/>
          <w:szCs w:val="21"/>
        </w:rPr>
        <w:t>车辆免费提供保养</w:t>
      </w:r>
      <w:r>
        <w:rPr>
          <w:rFonts w:hint="eastAsia" w:ascii="宋体" w:hAnsi="宋体"/>
          <w:sz w:val="21"/>
          <w:szCs w:val="21"/>
        </w:rPr>
        <w:t>1</w:t>
      </w:r>
      <w:r>
        <w:rPr>
          <w:rFonts w:ascii="宋体" w:hAnsi="宋体"/>
          <w:sz w:val="21"/>
          <w:szCs w:val="21"/>
        </w:rPr>
        <w:t>次</w:t>
      </w:r>
      <w:r>
        <w:rPr>
          <w:rFonts w:hint="eastAsia" w:ascii="宋体" w:hAnsi="宋体"/>
          <w:sz w:val="21"/>
          <w:szCs w:val="21"/>
          <w:lang w:eastAsia="zh-CN"/>
        </w:rPr>
        <w:t>。</w:t>
      </w:r>
    </w:p>
    <w:p>
      <w:pPr>
        <w:keepNext w:val="0"/>
        <w:keepLines w:val="0"/>
        <w:pageBreakBefore w:val="0"/>
        <w:kinsoku/>
        <w:wordWrap/>
        <w:overflowPunct/>
        <w:topLinePunct w:val="0"/>
        <w:bidi w:val="0"/>
        <w:spacing w:after="240"/>
        <w:jc w:val="center"/>
        <w:outlineLvl w:val="9"/>
        <w:rPr>
          <w:rFonts w:hint="eastAsia" w:ascii="宋体" w:hAnsi="宋体" w:eastAsia="宋体" w:cs="宋体"/>
          <w:b/>
          <w:bCs/>
          <w:sz w:val="32"/>
          <w:szCs w:val="32"/>
        </w:rPr>
      </w:pPr>
      <w:bookmarkStart w:id="152" w:name="_Toc17441"/>
      <w:bookmarkStart w:id="153" w:name="_Toc14891078"/>
      <w:bookmarkStart w:id="154" w:name="_Toc13521"/>
      <w:bookmarkStart w:id="155" w:name="_Toc15112"/>
      <w:bookmarkStart w:id="156" w:name="_Toc22262"/>
      <w:r>
        <w:rPr>
          <w:rFonts w:hint="eastAsia" w:ascii="宋体" w:hAnsi="宋体" w:eastAsia="宋体" w:cs="宋体"/>
          <w:b/>
          <w:bCs/>
          <w:sz w:val="32"/>
          <w:szCs w:val="32"/>
        </w:rPr>
        <w:t>第五章  合同格式条款</w:t>
      </w:r>
      <w:bookmarkEnd w:id="152"/>
      <w:bookmarkEnd w:id="153"/>
      <w:bookmarkEnd w:id="154"/>
      <w:bookmarkEnd w:id="155"/>
      <w:bookmarkEnd w:id="156"/>
    </w:p>
    <w:p>
      <w:pPr>
        <w:wordWrap w:val="0"/>
        <w:ind w:left="1" w:firstLine="16" w:firstLineChars="7"/>
        <w:jc w:val="right"/>
        <w:rPr>
          <w:rFonts w:ascii="仿宋_GB2312" w:hAnsi="宋体" w:eastAsia="仿宋_GB2312"/>
          <w:color w:val="000000"/>
          <w:sz w:val="30"/>
          <w:szCs w:val="30"/>
        </w:rPr>
      </w:pPr>
      <w:bookmarkStart w:id="157" w:name="OLE_LINK8"/>
      <w:bookmarkStart w:id="158" w:name="OLE_LINK7"/>
      <w:r>
        <w:rPr>
          <w:rFonts w:hint="eastAsia" w:ascii="仿宋_GB2312" w:hAnsi="宋体" w:eastAsia="仿宋_GB2312"/>
          <w:color w:val="000000"/>
          <w:sz w:val="24"/>
        </w:rPr>
        <w:t>合同编号</w:t>
      </w:r>
      <w:r>
        <w:rPr>
          <w:rFonts w:hint="eastAsia" w:ascii="仿宋_GB2312" w:hAnsi="宋体" w:eastAsia="仿宋_GB2312"/>
          <w:color w:val="000000"/>
          <w:sz w:val="30"/>
          <w:szCs w:val="30"/>
        </w:rPr>
        <w:t>:</w:t>
      </w:r>
      <w:r>
        <w:rPr>
          <w:rFonts w:hint="eastAsia" w:ascii="仿宋_GB2312" w:hAnsi="宋体" w:eastAsia="仿宋_GB2312"/>
          <w:color w:val="000000"/>
          <w:sz w:val="24"/>
        </w:rPr>
        <w:t>长轨运</w:t>
      </w:r>
      <w:r>
        <w:rPr>
          <w:rFonts w:hint="eastAsia" w:ascii="仿宋_GB2312" w:hAnsi="宋体" w:eastAsia="仿宋_GB2312"/>
          <w:color w:val="000000"/>
          <w:sz w:val="24"/>
          <w:lang w:val="en-US" w:eastAsia="zh-CN"/>
        </w:rPr>
        <w:t xml:space="preserve">  </w:t>
      </w:r>
      <w:r>
        <w:rPr>
          <w:rFonts w:hint="eastAsia" w:ascii="仿宋_GB2312" w:hAnsi="宋体" w:eastAsia="仿宋_GB2312"/>
          <w:color w:val="000000"/>
          <w:sz w:val="24"/>
        </w:rPr>
        <w:t>物合[201</w:t>
      </w:r>
      <w:r>
        <w:rPr>
          <w:rFonts w:hint="eastAsia" w:ascii="仿宋_GB2312" w:hAnsi="宋体" w:eastAsia="仿宋_GB2312"/>
          <w:color w:val="000000"/>
          <w:sz w:val="24"/>
          <w:lang w:val="en-US" w:eastAsia="zh-CN"/>
        </w:rPr>
        <w:t>9</w:t>
      </w:r>
      <w:r>
        <w:rPr>
          <w:rFonts w:hint="eastAsia" w:ascii="仿宋_GB2312" w:hAnsi="宋体" w:eastAsia="仿宋_GB2312"/>
          <w:color w:val="000000"/>
          <w:sz w:val="24"/>
        </w:rPr>
        <w:t>]</w:t>
      </w:r>
      <w:r>
        <w:rPr>
          <w:rFonts w:hint="eastAsia" w:ascii="仿宋_GB2312" w:hAnsi="宋体" w:eastAsia="仿宋_GB2312"/>
          <w:color w:val="000000"/>
          <w:sz w:val="24"/>
          <w:u w:val="none"/>
          <w:lang w:val="en-US" w:eastAsia="zh-CN"/>
        </w:rPr>
        <w:t xml:space="preserve">  </w:t>
      </w:r>
      <w:r>
        <w:rPr>
          <w:rFonts w:hint="eastAsia" w:ascii="仿宋_GB2312" w:hAnsi="宋体" w:eastAsia="仿宋_GB2312"/>
          <w:color w:val="000000"/>
          <w:sz w:val="24"/>
        </w:rPr>
        <w:t>号</w:t>
      </w:r>
    </w:p>
    <w:p>
      <w:pPr>
        <w:ind w:left="0" w:firstLine="25" w:firstLineChars="7"/>
        <w:rPr>
          <w:rFonts w:ascii="仿宋_GB2312" w:hAnsi="宋体" w:eastAsia="仿宋_GB2312"/>
          <w:b/>
          <w:color w:val="000000"/>
          <w:sz w:val="36"/>
          <w:szCs w:val="36"/>
        </w:rPr>
      </w:pPr>
    </w:p>
    <w:p>
      <w:pPr>
        <w:ind w:left="0" w:firstLine="39" w:firstLineChars="7"/>
        <w:jc w:val="center"/>
        <w:rPr>
          <w:rFonts w:ascii="仿宋_GB2312" w:hAnsi="宋体" w:eastAsia="仿宋_GB2312"/>
          <w:b/>
          <w:color w:val="000000"/>
          <w:sz w:val="44"/>
          <w:szCs w:val="44"/>
        </w:rPr>
      </w:pPr>
      <w:r>
        <w:rPr>
          <w:rFonts w:hint="eastAsia" w:ascii="仿宋_GB2312" w:hAnsi="宋体" w:eastAsia="仿宋_GB2312"/>
          <w:b/>
          <w:color w:val="000000"/>
          <w:spacing w:val="20"/>
          <w:sz w:val="52"/>
          <w:szCs w:val="52"/>
        </w:rPr>
        <w:t>物资采购项目合同</w:t>
      </w:r>
    </w:p>
    <w:p>
      <w:pPr>
        <w:ind w:left="0" w:firstLine="31" w:firstLineChars="7"/>
        <w:jc w:val="center"/>
        <w:rPr>
          <w:rFonts w:ascii="仿宋_GB2312" w:hAnsi="宋体" w:eastAsia="仿宋_GB2312"/>
          <w:b/>
          <w:color w:val="000000"/>
          <w:sz w:val="44"/>
          <w:szCs w:val="44"/>
        </w:rPr>
      </w:pPr>
    </w:p>
    <w:p>
      <w:pPr>
        <w:ind w:left="0" w:firstLine="25" w:firstLineChars="7"/>
        <w:jc w:val="left"/>
        <w:rPr>
          <w:rFonts w:ascii="仿宋_GB2312" w:hAnsi="宋体" w:eastAsia="仿宋_GB2312"/>
          <w:b/>
          <w:color w:val="000000"/>
          <w:sz w:val="36"/>
          <w:szCs w:val="36"/>
        </w:rPr>
      </w:pPr>
    </w:p>
    <w:p>
      <w:pPr>
        <w:ind w:left="1405" w:hanging="1405" w:hangingChars="500"/>
        <w:jc w:val="both"/>
        <w:rPr>
          <w:rFonts w:hint="default" w:ascii="仿宋_GB2312" w:hAnsi="宋体" w:eastAsia="仿宋_GB2312"/>
          <w:b/>
          <w:bCs/>
          <w:color w:val="000000"/>
          <w:sz w:val="28"/>
          <w:szCs w:val="28"/>
          <w:u w:val="dotted"/>
          <w:lang w:val="en-US" w:eastAsia="zh-CN"/>
        </w:rPr>
      </w:pPr>
      <w:r>
        <w:rPr>
          <w:rFonts w:hint="eastAsia" w:ascii="仿宋_GB2312" w:hAnsi="宋体" w:eastAsia="仿宋_GB2312"/>
          <w:b/>
          <w:color w:val="000000"/>
          <w:sz w:val="28"/>
          <w:szCs w:val="28"/>
          <w:u w:val="none"/>
        </w:rPr>
        <w:t>合同名称:</w:t>
      </w:r>
      <w:r>
        <w:rPr>
          <w:rFonts w:hint="eastAsia" w:ascii="仿宋_GB2312" w:hAnsi="宋体" w:eastAsia="仿宋_GB2312"/>
          <w:b/>
          <w:color w:val="000000"/>
          <w:sz w:val="28"/>
          <w:szCs w:val="28"/>
          <w:u w:val="dotted"/>
          <w:lang w:val="en-US" w:eastAsia="zh-CN"/>
        </w:rPr>
        <w:t xml:space="preserve">                      </w:t>
      </w:r>
    </w:p>
    <w:p>
      <w:pPr>
        <w:ind w:left="1405" w:hanging="1405" w:hangingChars="500"/>
        <w:jc w:val="left"/>
        <w:rPr>
          <w:rFonts w:hint="eastAsia" w:ascii="仿宋_GB2312" w:hAnsi="宋体" w:eastAsia="仿宋_GB2312"/>
          <w:b/>
          <w:color w:val="000000"/>
          <w:sz w:val="28"/>
          <w:szCs w:val="28"/>
          <w:u w:val="dotted"/>
        </w:rPr>
      </w:pPr>
    </w:p>
    <w:p>
      <w:pPr>
        <w:ind w:left="0" w:firstLine="20" w:firstLineChars="7"/>
        <w:jc w:val="center"/>
        <w:rPr>
          <w:rFonts w:ascii="仿宋_GB2312" w:hAnsi="宋体" w:eastAsia="仿宋_GB2312"/>
          <w:b/>
          <w:color w:val="000000"/>
          <w:sz w:val="28"/>
          <w:szCs w:val="28"/>
          <w:u w:val="dotted"/>
        </w:rPr>
      </w:pPr>
    </w:p>
    <w:p>
      <w:pPr>
        <w:ind w:left="0" w:leftChars="0" w:firstLine="0" w:firstLineChars="0"/>
        <w:rPr>
          <w:rFonts w:ascii="仿宋_GB2312" w:hAnsi="宋体" w:eastAsia="仿宋_GB2312"/>
          <w:color w:val="000000"/>
          <w:sz w:val="30"/>
          <w:szCs w:val="30"/>
        </w:rPr>
      </w:pPr>
    </w:p>
    <w:p>
      <w:pPr>
        <w:ind w:left="0" w:firstLine="0"/>
        <w:rPr>
          <w:rFonts w:ascii="仿宋_GB2312" w:hAnsi="宋体" w:eastAsia="仿宋_GB2312"/>
          <w:b/>
          <w:color w:val="000000"/>
          <w:sz w:val="28"/>
          <w:szCs w:val="28"/>
          <w:u w:val="dotted"/>
        </w:rPr>
      </w:pPr>
    </w:p>
    <w:p>
      <w:pPr>
        <w:ind w:left="0" w:firstLine="20" w:firstLineChars="7"/>
        <w:rPr>
          <w:rFonts w:hint="eastAsia" w:ascii="仿宋_GB2312" w:hAnsi="宋体" w:eastAsia="仿宋_GB2312"/>
          <w:b/>
          <w:color w:val="000000"/>
          <w:sz w:val="28"/>
          <w:szCs w:val="28"/>
          <w:u w:val="none"/>
          <w:lang w:val="en-US"/>
        </w:rPr>
      </w:pPr>
      <w:r>
        <w:rPr>
          <w:rFonts w:hint="eastAsia" w:ascii="仿宋_GB2312" w:hAnsi="宋体" w:eastAsia="仿宋_GB2312"/>
          <w:b/>
          <w:color w:val="000000"/>
          <w:sz w:val="28"/>
          <w:szCs w:val="28"/>
          <w:u w:val="none"/>
        </w:rPr>
        <w:t>甲    方：</w:t>
      </w:r>
      <w:r>
        <w:rPr>
          <w:rFonts w:hint="eastAsia" w:ascii="仿宋_GB2312" w:hAnsi="宋体" w:eastAsia="仿宋_GB2312"/>
          <w:b/>
          <w:color w:val="000000"/>
          <w:sz w:val="28"/>
          <w:szCs w:val="28"/>
          <w:u w:val="dotted"/>
          <w:lang w:val="en-US" w:eastAsia="zh-CN"/>
        </w:rPr>
        <w:t xml:space="preserve">                         </w:t>
      </w:r>
    </w:p>
    <w:p>
      <w:pPr>
        <w:ind w:left="0" w:firstLine="20" w:firstLineChars="7"/>
        <w:rPr>
          <w:rFonts w:hint="eastAsia" w:ascii="仿宋_GB2312" w:hAnsi="宋体" w:eastAsia="仿宋_GB2312"/>
          <w:b/>
          <w:color w:val="000000"/>
          <w:sz w:val="28"/>
          <w:szCs w:val="28"/>
          <w:u w:val="none"/>
          <w:lang w:val="en-US"/>
        </w:rPr>
      </w:pPr>
      <w:r>
        <w:rPr>
          <w:rFonts w:hint="eastAsia" w:ascii="仿宋_GB2312" w:hAnsi="宋体" w:eastAsia="仿宋_GB2312"/>
          <w:b/>
          <w:color w:val="000000"/>
          <w:sz w:val="28"/>
          <w:szCs w:val="28"/>
          <w:u w:val="none"/>
        </w:rPr>
        <w:t>乙    方：</w:t>
      </w:r>
      <w:r>
        <w:rPr>
          <w:rFonts w:hint="eastAsia" w:ascii="仿宋_GB2312" w:hAnsi="宋体" w:eastAsia="仿宋_GB2312"/>
          <w:b/>
          <w:color w:val="000000"/>
          <w:sz w:val="28"/>
          <w:szCs w:val="28"/>
          <w:u w:val="dotted"/>
          <w:lang w:val="en-US" w:eastAsia="zh-CN"/>
        </w:rPr>
        <w:t xml:space="preserve">                           </w:t>
      </w:r>
    </w:p>
    <w:p>
      <w:pPr>
        <w:pStyle w:val="13"/>
        <w:rPr>
          <w:rFonts w:hint="eastAsia" w:ascii="仿宋_GB2312" w:hAnsi="宋体" w:eastAsia="仿宋_GB2312"/>
          <w:b/>
          <w:color w:val="000000"/>
          <w:sz w:val="28"/>
          <w:szCs w:val="28"/>
          <w:u w:val="none"/>
        </w:rPr>
      </w:pPr>
    </w:p>
    <w:p>
      <w:pPr>
        <w:rPr>
          <w:rFonts w:hint="eastAsia" w:ascii="仿宋_GB2312" w:hAnsi="宋体" w:eastAsia="仿宋_GB2312"/>
          <w:b/>
          <w:color w:val="000000"/>
          <w:sz w:val="28"/>
          <w:szCs w:val="28"/>
          <w:u w:val="none"/>
        </w:rPr>
      </w:pPr>
    </w:p>
    <w:p>
      <w:pPr>
        <w:pStyle w:val="13"/>
        <w:rPr>
          <w:rFonts w:hint="eastAsia"/>
        </w:rPr>
      </w:pPr>
    </w:p>
    <w:p>
      <w:pPr>
        <w:ind w:left="0" w:firstLine="20" w:firstLineChars="7"/>
        <w:rPr>
          <w:rFonts w:ascii="仿宋_GB2312" w:hAnsi="宋体" w:eastAsia="仿宋_GB2312"/>
          <w:b/>
          <w:color w:val="000000"/>
          <w:sz w:val="28"/>
          <w:szCs w:val="28"/>
          <w:u w:val="dotted"/>
        </w:rPr>
      </w:pPr>
      <w:r>
        <w:rPr>
          <w:rFonts w:hint="eastAsia" w:ascii="仿宋_GB2312" w:hAnsi="宋体" w:eastAsia="仿宋_GB2312"/>
          <w:b/>
          <w:color w:val="000000"/>
          <w:sz w:val="28"/>
          <w:szCs w:val="28"/>
          <w:u w:val="none"/>
        </w:rPr>
        <w:t>签订地点：</w:t>
      </w:r>
      <w:r>
        <w:rPr>
          <w:rFonts w:hint="eastAsia" w:ascii="仿宋_GB2312" w:hAnsi="宋体" w:eastAsia="仿宋_GB2312"/>
          <w:b/>
          <w:color w:val="000000"/>
          <w:sz w:val="28"/>
          <w:szCs w:val="28"/>
          <w:u w:val="dotted"/>
        </w:rPr>
        <w:t>湖南省</w:t>
      </w:r>
      <w:r>
        <w:rPr>
          <w:rFonts w:ascii="仿宋_GB2312" w:hAnsi="宋体" w:eastAsia="仿宋_GB2312"/>
          <w:b/>
          <w:color w:val="000000"/>
          <w:sz w:val="28"/>
          <w:szCs w:val="28"/>
          <w:u w:val="dotted"/>
        </w:rPr>
        <w:t>长沙市</w:t>
      </w:r>
    </w:p>
    <w:p>
      <w:pPr>
        <w:ind w:left="0" w:firstLine="20" w:firstLineChars="7"/>
        <w:rPr>
          <w:rFonts w:hint="eastAsia" w:ascii="仿宋_GB2312" w:hAnsi="宋体" w:eastAsia="仿宋_GB2312"/>
          <w:b/>
          <w:color w:val="000000"/>
          <w:sz w:val="28"/>
          <w:szCs w:val="28"/>
          <w:u w:val="none"/>
        </w:rPr>
      </w:pPr>
    </w:p>
    <w:p>
      <w:pPr>
        <w:ind w:left="0" w:firstLine="20" w:firstLineChars="7"/>
        <w:rPr>
          <w:rFonts w:hint="eastAsia" w:ascii="仿宋_GB2312" w:hAnsi="宋体" w:eastAsia="仿宋_GB2312"/>
          <w:b/>
          <w:color w:val="000000"/>
          <w:sz w:val="28"/>
          <w:szCs w:val="28"/>
          <w:u w:val="dotted"/>
          <w:lang w:val="en-US" w:eastAsia="zh-CN"/>
        </w:rPr>
      </w:pPr>
      <w:r>
        <w:rPr>
          <w:rFonts w:hint="eastAsia" w:ascii="仿宋_GB2312" w:hAnsi="宋体" w:eastAsia="仿宋_GB2312"/>
          <w:b/>
          <w:color w:val="000000"/>
          <w:sz w:val="28"/>
          <w:szCs w:val="28"/>
          <w:u w:val="none"/>
        </w:rPr>
        <w:t>签订时间：</w:t>
      </w:r>
      <w:r>
        <w:rPr>
          <w:rFonts w:hint="eastAsia" w:ascii="仿宋_GB2312" w:hAnsi="宋体" w:eastAsia="仿宋_GB2312"/>
          <w:b/>
          <w:color w:val="000000"/>
          <w:sz w:val="28"/>
          <w:szCs w:val="28"/>
          <w:u w:val="dotted"/>
          <w:lang w:val="en-US" w:eastAsia="zh-CN"/>
        </w:rPr>
        <w:t>二〇一九年   月</w:t>
      </w:r>
    </w:p>
    <w:p>
      <w:pPr>
        <w:jc w:val="center"/>
        <w:rPr>
          <w:rFonts w:hint="eastAsia" w:ascii="仿宋" w:hAnsi="仿宋" w:eastAsia="仿宋" w:cs="仿宋"/>
          <w:b/>
          <w:color w:val="000000"/>
          <w:sz w:val="24"/>
        </w:rPr>
        <w:sectPr>
          <w:headerReference r:id="rId8" w:type="default"/>
          <w:footerReference r:id="rId9" w:type="default"/>
          <w:pgSz w:w="11850" w:h="16783"/>
          <w:pgMar w:top="1440" w:right="1800" w:bottom="1440" w:left="1800" w:header="851" w:footer="992" w:gutter="0"/>
          <w:pgNumType w:fmt="decimal"/>
          <w:cols w:space="720" w:num="1"/>
          <w:docGrid w:type="lines" w:linePitch="312" w:charSpace="0"/>
        </w:sectPr>
      </w:pPr>
    </w:p>
    <w:p>
      <w:pPr>
        <w:jc w:val="center"/>
        <w:outlineLvl w:val="0"/>
        <w:rPr>
          <w:rFonts w:hint="eastAsia" w:ascii="宋体" w:hAnsi="宋体" w:eastAsia="宋体" w:cs="宋体"/>
          <w:b/>
          <w:color w:val="000000"/>
          <w:sz w:val="21"/>
          <w:szCs w:val="21"/>
        </w:rPr>
      </w:pPr>
      <w:bookmarkStart w:id="159" w:name="_Toc1153"/>
      <w:bookmarkStart w:id="160" w:name="_Toc29841"/>
      <w:bookmarkStart w:id="161" w:name="_Toc16667"/>
      <w:bookmarkStart w:id="162" w:name="_Toc17004"/>
      <w:bookmarkStart w:id="163" w:name="_Toc5161"/>
      <w:bookmarkStart w:id="164" w:name="_Toc15901"/>
      <w:bookmarkStart w:id="165" w:name="_Toc13552"/>
      <w:bookmarkStart w:id="166" w:name="_Toc29173"/>
      <w:bookmarkStart w:id="167" w:name="_Toc15889"/>
      <w:r>
        <w:rPr>
          <w:rFonts w:hint="eastAsia" w:ascii="宋体" w:hAnsi="宋体" w:eastAsia="宋体" w:cs="宋体"/>
          <w:b/>
          <w:color w:val="000000"/>
          <w:sz w:val="21"/>
          <w:szCs w:val="21"/>
        </w:rPr>
        <w:t>第一部分 合同协议书</w:t>
      </w:r>
      <w:bookmarkEnd w:id="159"/>
      <w:bookmarkEnd w:id="160"/>
      <w:bookmarkEnd w:id="161"/>
      <w:bookmarkEnd w:id="162"/>
      <w:bookmarkEnd w:id="163"/>
      <w:bookmarkEnd w:id="164"/>
      <w:bookmarkEnd w:id="165"/>
      <w:bookmarkEnd w:id="166"/>
      <w:bookmarkEnd w:id="167"/>
    </w:p>
    <w:p>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pPr>
        <w:snapToGrid w:val="0"/>
        <w:spacing w:line="360" w:lineRule="auto"/>
        <w:jc w:val="left"/>
        <w:rPr>
          <w:rFonts w:hint="eastAsia" w:ascii="宋体" w:hAnsi="宋体" w:eastAsia="宋体" w:cs="宋体"/>
          <w:color w:val="000000"/>
          <w:sz w:val="21"/>
          <w:szCs w:val="21"/>
        </w:rPr>
      </w:pPr>
      <w:r>
        <w:rPr>
          <w:rFonts w:hint="eastAsia" w:ascii="宋体" w:hAnsi="宋体" w:eastAsia="宋体" w:cs="宋体"/>
          <w:b/>
          <w:color w:val="000000"/>
          <w:sz w:val="21"/>
          <w:szCs w:val="21"/>
        </w:rPr>
        <w:t>采购人</w:t>
      </w:r>
      <w:r>
        <w:rPr>
          <w:rFonts w:hint="eastAsia" w:ascii="宋体" w:hAnsi="宋体" w:eastAsia="宋体" w:cs="宋体"/>
          <w:color w:val="000000"/>
          <w:sz w:val="21"/>
          <w:szCs w:val="21"/>
        </w:rPr>
        <w:t>（全称）：</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（以下简称甲方）</w:t>
      </w:r>
    </w:p>
    <w:p>
      <w:pPr>
        <w:snapToGrid w:val="0"/>
        <w:spacing w:line="360" w:lineRule="auto"/>
        <w:jc w:val="left"/>
        <w:rPr>
          <w:rFonts w:hint="eastAsia" w:ascii="宋体" w:hAnsi="宋体" w:eastAsia="宋体" w:cs="宋体"/>
          <w:color w:val="000000"/>
          <w:sz w:val="21"/>
          <w:szCs w:val="21"/>
        </w:rPr>
      </w:pPr>
      <w:r>
        <w:rPr>
          <w:rFonts w:hint="eastAsia" w:ascii="宋体" w:hAnsi="宋体" w:eastAsia="宋体" w:cs="宋体"/>
          <w:b/>
          <w:color w:val="000000"/>
          <w:sz w:val="21"/>
          <w:szCs w:val="21"/>
        </w:rPr>
        <w:t>供应商</w:t>
      </w:r>
      <w:r>
        <w:rPr>
          <w:rFonts w:hint="eastAsia" w:ascii="宋体" w:hAnsi="宋体" w:eastAsia="宋体" w:cs="宋体"/>
          <w:color w:val="000000"/>
          <w:sz w:val="21"/>
          <w:szCs w:val="21"/>
        </w:rPr>
        <w:t>（全称）：</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u w:val="none"/>
          <w:lang w:val="en-US" w:eastAsia="zh-CN" w:bidi="ar"/>
        </w:rPr>
        <w:t>（</w:t>
      </w:r>
      <w:r>
        <w:rPr>
          <w:rFonts w:hint="eastAsia" w:ascii="宋体" w:hAnsi="宋体" w:eastAsia="宋体" w:cs="宋体"/>
          <w:color w:val="000000"/>
          <w:sz w:val="21"/>
          <w:szCs w:val="21"/>
        </w:rPr>
        <w:t>以下简称乙方）</w:t>
      </w:r>
    </w:p>
    <w:p>
      <w:pPr>
        <w:pStyle w:val="41"/>
        <w:widowControl w:val="0"/>
        <w:adjustRightInd w:val="0"/>
        <w:snapToGrid w:val="0"/>
        <w:spacing w:before="0" w:beforeAutospacing="0" w:after="0" w:afterAutospacing="0" w:line="360" w:lineRule="auto"/>
        <w:ind w:firstLine="420" w:firstLineChars="200"/>
        <w:jc w:val="both"/>
        <w:rPr>
          <w:rFonts w:hint="eastAsia" w:ascii="宋体" w:hAnsi="宋体" w:eastAsia="宋体" w:cs="宋体"/>
          <w:color w:val="000000"/>
          <w:sz w:val="21"/>
          <w:szCs w:val="21"/>
        </w:rPr>
      </w:pPr>
      <w:bookmarkStart w:id="168" w:name="OLE_LINK9"/>
      <w:r>
        <w:rPr>
          <w:rFonts w:hint="eastAsia" w:ascii="宋体" w:hAnsi="宋体" w:eastAsia="宋体" w:cs="宋体"/>
          <w:color w:val="000000"/>
          <w:kern w:val="2"/>
          <w:sz w:val="21"/>
          <w:szCs w:val="21"/>
          <w:lang w:bidi="ar"/>
        </w:rPr>
        <w:t>本合同由甲乙双方依照《中华人民共和国合同法》及其他有关法律、行政法规，遵循平等、自愿、公平和诚实信用的原则，同意按下述条款和条件签署。</w:t>
      </w:r>
    </w:p>
    <w:p>
      <w:pPr>
        <w:adjustRightInd w:val="0"/>
        <w:snapToGrid w:val="0"/>
        <w:spacing w:line="360" w:lineRule="auto"/>
        <w:ind w:firstLine="413" w:firstLineChars="196"/>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一、项目概况</w:t>
      </w:r>
    </w:p>
    <w:p>
      <w:pPr>
        <w:keepNext w:val="0"/>
        <w:keepLines w:val="0"/>
        <w:pageBreakBefore w:val="0"/>
        <w:widowControl w:val="0"/>
        <w:kinsoku/>
        <w:wordWrap/>
        <w:overflowPunct/>
        <w:topLinePunct w:val="0"/>
        <w:autoSpaceDE/>
        <w:autoSpaceDN/>
        <w:bidi w:val="0"/>
        <w:adjustRightInd w:val="0"/>
        <w:snapToGrid w:val="0"/>
        <w:spacing w:line="360" w:lineRule="auto"/>
        <w:ind w:left="477" w:leftChars="227" w:right="0" w:rightChars="0" w:firstLine="0" w:firstLineChars="0"/>
        <w:jc w:val="left"/>
        <w:textAlignment w:val="auto"/>
        <w:outlineLvl w:val="9"/>
        <w:rPr>
          <w:rFonts w:hint="eastAsia" w:ascii="宋体" w:hAnsi="宋体" w:eastAsia="宋体" w:cs="宋体"/>
          <w:color w:val="000000"/>
          <w:sz w:val="21"/>
          <w:szCs w:val="21"/>
          <w:u w:val="single"/>
          <w:lang w:val="en-US" w:bidi="ar"/>
        </w:rPr>
      </w:pPr>
      <w:r>
        <w:rPr>
          <w:rFonts w:hint="eastAsia" w:ascii="宋体" w:hAnsi="宋体" w:eastAsia="宋体" w:cs="宋体"/>
          <w:color w:val="000000"/>
          <w:sz w:val="21"/>
          <w:szCs w:val="21"/>
          <w:lang w:bidi="ar"/>
        </w:rPr>
        <w:t>项目名称：</w:t>
      </w:r>
      <w:r>
        <w:rPr>
          <w:rFonts w:hint="eastAsia" w:ascii="宋体" w:hAnsi="宋体" w:eastAsia="宋体" w:cs="宋体"/>
          <w:color w:val="000000"/>
          <w:sz w:val="21"/>
          <w:szCs w:val="21"/>
          <w:u w:val="single"/>
          <w:lang w:val="en-US" w:eastAsia="zh-CN" w:bidi="ar"/>
        </w:rPr>
        <w:t xml:space="preserve">                   </w:t>
      </w:r>
    </w:p>
    <w:p>
      <w:pPr>
        <w:adjustRightInd w:val="0"/>
        <w:snapToGrid w:val="0"/>
        <w:spacing w:line="360" w:lineRule="auto"/>
        <w:ind w:firstLine="420" w:firstLineChars="200"/>
        <w:rPr>
          <w:rFonts w:hint="eastAsia" w:ascii="宋体" w:hAnsi="宋体" w:eastAsia="宋体" w:cs="宋体"/>
          <w:color w:val="000000"/>
          <w:sz w:val="21"/>
          <w:szCs w:val="21"/>
          <w:u w:val="single"/>
          <w:lang w:bidi="ar"/>
        </w:rPr>
      </w:pPr>
      <w:r>
        <w:rPr>
          <w:rFonts w:hint="eastAsia" w:ascii="宋体" w:hAnsi="宋体" w:eastAsia="宋体" w:cs="宋体"/>
          <w:color w:val="000000"/>
          <w:sz w:val="21"/>
          <w:szCs w:val="21"/>
          <w:lang w:bidi="ar"/>
        </w:rPr>
        <w:t>项目地点：</w:t>
      </w:r>
      <w:r>
        <w:rPr>
          <w:rFonts w:hint="eastAsia" w:ascii="宋体" w:hAnsi="宋体" w:eastAsia="宋体" w:cs="宋体"/>
          <w:color w:val="000000"/>
          <w:sz w:val="21"/>
          <w:szCs w:val="21"/>
          <w:u w:val="single"/>
          <w:lang w:bidi="ar"/>
        </w:rPr>
        <w:t>湖南省长沙市</w:t>
      </w:r>
    </w:p>
    <w:p>
      <w:pPr>
        <w:adjustRightInd w:val="0"/>
        <w:snapToGrid w:val="0"/>
        <w:spacing w:line="360" w:lineRule="auto"/>
        <w:ind w:firstLine="413" w:firstLineChars="196"/>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二、合同执行计划</w:t>
      </w:r>
    </w:p>
    <w:p>
      <w:pPr>
        <w:pStyle w:val="2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baseline"/>
        <w:outlineLvl w:val="9"/>
        <w:rPr>
          <w:rFonts w:hint="eastAsia" w:ascii="宋体" w:hAnsi="宋体" w:eastAsia="宋体" w:cs="宋体"/>
          <w:color w:val="000000"/>
          <w:sz w:val="21"/>
          <w:szCs w:val="21"/>
          <w:u w:val="single"/>
          <w:lang w:val="en-US" w:eastAsia="zh-CN" w:bidi="ar"/>
        </w:rPr>
      </w:pPr>
      <w:r>
        <w:rPr>
          <w:rFonts w:hint="eastAsia" w:ascii="宋体" w:hAnsi="宋体" w:eastAsia="宋体" w:cs="宋体"/>
          <w:color w:val="000000"/>
          <w:sz w:val="21"/>
          <w:szCs w:val="21"/>
          <w:lang w:bidi="ar"/>
        </w:rPr>
        <w:t>供货计划：</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lang w:val="en-US" w:eastAsia="zh-CN" w:bidi="ar"/>
        </w:rPr>
        <w:t xml:space="preserve">         </w:t>
      </w:r>
    </w:p>
    <w:p>
      <w:pPr>
        <w:adjustRightInd w:val="0"/>
        <w:snapToGrid w:val="0"/>
        <w:spacing w:line="360" w:lineRule="auto"/>
        <w:ind w:firstLine="420" w:firstLineChars="200"/>
        <w:rPr>
          <w:rFonts w:hint="eastAsia" w:ascii="宋体" w:hAnsi="宋体" w:eastAsia="宋体" w:cs="宋体"/>
          <w:color w:val="000000"/>
          <w:sz w:val="21"/>
          <w:szCs w:val="21"/>
          <w:u w:val="single"/>
          <w:lang w:val="en-US" w:bidi="ar"/>
        </w:rPr>
      </w:pPr>
      <w:r>
        <w:rPr>
          <w:rFonts w:hint="eastAsia" w:ascii="宋体" w:hAnsi="宋体" w:eastAsia="宋体" w:cs="宋体"/>
          <w:color w:val="000000"/>
          <w:sz w:val="21"/>
          <w:szCs w:val="21"/>
          <w:lang w:bidi="ar"/>
        </w:rPr>
        <w:t>安装计划：</w:t>
      </w:r>
      <w:r>
        <w:rPr>
          <w:rFonts w:hint="eastAsia" w:ascii="宋体" w:hAnsi="宋体" w:eastAsia="宋体" w:cs="宋体"/>
          <w:color w:val="000000"/>
          <w:sz w:val="21"/>
          <w:szCs w:val="21"/>
          <w:u w:val="single"/>
          <w:lang w:val="en-US" w:eastAsia="zh-CN" w:bidi="ar"/>
        </w:rPr>
        <w:t xml:space="preserve">      </w:t>
      </w:r>
    </w:p>
    <w:p>
      <w:pPr>
        <w:adjustRightInd w:val="0"/>
        <w:snapToGrid w:val="0"/>
        <w:spacing w:line="360" w:lineRule="auto"/>
        <w:ind w:firstLine="420" w:firstLineChars="200"/>
        <w:rPr>
          <w:rFonts w:hint="eastAsia" w:ascii="宋体" w:hAnsi="宋体" w:eastAsia="宋体" w:cs="宋体"/>
          <w:color w:val="000000"/>
          <w:sz w:val="21"/>
          <w:szCs w:val="21"/>
          <w:u w:val="single"/>
          <w:lang w:bidi="ar"/>
        </w:rPr>
      </w:pPr>
      <w:r>
        <w:rPr>
          <w:rFonts w:hint="eastAsia" w:ascii="宋体" w:hAnsi="宋体" w:eastAsia="宋体" w:cs="宋体"/>
          <w:color w:val="000000"/>
          <w:sz w:val="21"/>
          <w:szCs w:val="21"/>
          <w:lang w:bidi="ar"/>
        </w:rPr>
        <w:t>调试计划：</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u w:val="single"/>
          <w:lang w:bidi="ar"/>
        </w:rPr>
        <w:t xml:space="preserve"> </w:t>
      </w:r>
    </w:p>
    <w:p>
      <w:pPr>
        <w:pStyle w:val="14"/>
        <w:adjustRightInd w:val="0"/>
        <w:snapToGrid w:val="0"/>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三、合同文件组成</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eastAsia="zh-CN"/>
        </w:rPr>
      </w:pPr>
      <w:bookmarkStart w:id="169" w:name="OLE_LINK10"/>
      <w:bookmarkStart w:id="170" w:name="OLE_LINK11"/>
      <w:r>
        <w:rPr>
          <w:rFonts w:hint="eastAsia" w:ascii="宋体" w:hAnsi="宋体" w:eastAsia="宋体" w:cs="宋体"/>
          <w:color w:val="000000"/>
          <w:sz w:val="21"/>
          <w:szCs w:val="21"/>
          <w:lang w:eastAsia="zh-CN"/>
        </w:rPr>
        <w:t>（1）</w:t>
      </w:r>
      <w:bookmarkEnd w:id="169"/>
      <w:bookmarkEnd w:id="170"/>
      <w:r>
        <w:rPr>
          <w:rFonts w:hint="eastAsia" w:ascii="宋体" w:hAnsi="宋体" w:eastAsia="宋体" w:cs="宋体"/>
          <w:color w:val="000000"/>
          <w:sz w:val="21"/>
          <w:szCs w:val="21"/>
          <w:lang w:eastAsia="zh-CN"/>
        </w:rPr>
        <w:t>补充协议（</w:t>
      </w:r>
      <w:bookmarkStart w:id="171" w:name="OLE_LINK12"/>
      <w:r>
        <w:rPr>
          <w:rFonts w:hint="eastAsia" w:ascii="宋体" w:hAnsi="宋体" w:eastAsia="宋体" w:cs="宋体"/>
          <w:color w:val="000000"/>
          <w:sz w:val="21"/>
          <w:szCs w:val="21"/>
          <w:lang w:eastAsia="zh-CN"/>
        </w:rPr>
        <w:t>如果有</w:t>
      </w:r>
      <w:bookmarkEnd w:id="171"/>
      <w:r>
        <w:rPr>
          <w:rFonts w:hint="eastAsia" w:ascii="宋体" w:hAnsi="宋体" w:eastAsia="宋体" w:cs="宋体"/>
          <w:color w:val="000000"/>
          <w:sz w:val="21"/>
          <w:szCs w:val="21"/>
          <w:lang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（2）合同协议书;</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（3）中选通知书;</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u w:val="single"/>
          <w:lang w:eastAsia="zh-CN"/>
        </w:rPr>
        <w:t>用户需求书/技术规格书</w:t>
      </w:r>
      <w:r>
        <w:rPr>
          <w:rFonts w:hint="eastAsia" w:ascii="宋体" w:hAnsi="宋体" w:eastAsia="宋体" w:cs="宋体"/>
          <w:color w:val="000000"/>
          <w:sz w:val="21"/>
          <w:szCs w:val="21"/>
          <w:lang w:val="en-US"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）合同条款;</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）价格清单;</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）合同其他附件及乙方按合同附录格式及要求出具的文件;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w:t>
      </w:r>
      <w:r>
        <w:rPr>
          <w:rFonts w:hint="eastAsia" w:ascii="宋体" w:hAnsi="宋体" w:eastAsia="宋体" w:cs="宋体"/>
          <w:color w:val="000000"/>
          <w:sz w:val="21"/>
          <w:szCs w:val="21"/>
          <w:u w:val="none"/>
          <w:lang w:eastAsia="zh-CN"/>
        </w:rPr>
        <w:t>自主竞争性谈判文件</w:t>
      </w:r>
      <w:r>
        <w:rPr>
          <w:rFonts w:hint="eastAsia" w:ascii="宋体" w:hAnsi="宋体" w:eastAsia="宋体" w:cs="宋体"/>
          <w:color w:val="000000"/>
          <w:sz w:val="21"/>
          <w:szCs w:val="21"/>
        </w:rPr>
        <w:t>、澄清与答疑文件及其它补充资料；</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w:t>
      </w:r>
      <w:r>
        <w:rPr>
          <w:rFonts w:hint="eastAsia" w:ascii="宋体" w:hAnsi="宋体" w:eastAsia="宋体" w:cs="宋体"/>
          <w:color w:val="000000"/>
          <w:sz w:val="21"/>
          <w:szCs w:val="21"/>
          <w:u w:val="none"/>
          <w:lang w:eastAsia="zh-CN"/>
        </w:rPr>
        <w:t>响应文件</w:t>
      </w:r>
      <w:r>
        <w:rPr>
          <w:rFonts w:hint="eastAsia" w:ascii="宋体" w:hAnsi="宋体" w:eastAsia="宋体" w:cs="宋体"/>
          <w:color w:val="000000"/>
          <w:kern w:val="2"/>
          <w:sz w:val="21"/>
          <w:szCs w:val="21"/>
          <w:lang w:val="en-US" w:eastAsia="zh-CN" w:bidi="ar-SA"/>
        </w:rPr>
        <w:t>、澄清文件及其</w:t>
      </w:r>
      <w:r>
        <w:rPr>
          <w:rFonts w:hint="eastAsia" w:ascii="宋体" w:hAnsi="宋体" w:eastAsia="宋体" w:cs="宋体"/>
          <w:color w:val="000000"/>
          <w:sz w:val="21"/>
          <w:szCs w:val="21"/>
        </w:rPr>
        <w:t>它补充资料；</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）批准的图纸（如果有）；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）其他构成本合同的文件。</w:t>
      </w:r>
    </w:p>
    <w:p>
      <w:pPr>
        <w:snapToGrid w:val="0"/>
        <w:spacing w:line="360" w:lineRule="auto"/>
        <w:ind w:firstLine="465"/>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w:t>
      </w:r>
      <w:r>
        <w:rPr>
          <w:rFonts w:hint="eastAsia" w:ascii="宋体" w:hAnsi="宋体" w:eastAsia="宋体" w:cs="宋体"/>
          <w:color w:val="000000"/>
          <w:sz w:val="21"/>
          <w:szCs w:val="21"/>
          <w:lang w:eastAsia="zh-CN"/>
        </w:rPr>
        <w:t>，上述各项合同文件内容存在矛盾和冲突的，按本条文件序号，序号在前者优先适用</w:t>
      </w:r>
      <w:r>
        <w:rPr>
          <w:rFonts w:hint="eastAsia" w:ascii="宋体" w:hAnsi="宋体" w:eastAsia="宋体" w:cs="宋体"/>
          <w:color w:val="000000"/>
          <w:sz w:val="21"/>
          <w:szCs w:val="21"/>
        </w:rPr>
        <w:t>。</w:t>
      </w:r>
    </w:p>
    <w:p>
      <w:pPr>
        <w:snapToGrid w:val="0"/>
        <w:spacing w:line="360" w:lineRule="auto"/>
        <w:ind w:firstLine="465"/>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四、承诺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1、考虑到甲方将按照本合同向乙方支付，乙方在此保证全部按照合同的规定向甲方提供物资和服务，并修补缺陷。</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2、考虑到乙方提供的物资和服务并修补缺陷，甲方在此保证按照合同规定的时间和方式向乙方支付合同价格或其它按合同规定应支付的金额。</w:t>
      </w:r>
    </w:p>
    <w:p>
      <w:pPr>
        <w:tabs>
          <w:tab w:val="left" w:pos="1248"/>
        </w:tabs>
        <w:adjustRightInd w:val="0"/>
        <w:snapToGrid w:val="0"/>
        <w:spacing w:line="360" w:lineRule="auto"/>
        <w:ind w:firstLine="422" w:firstLineChars="200"/>
        <w:rPr>
          <w:rFonts w:hint="eastAsia" w:ascii="宋体" w:hAnsi="宋体" w:eastAsia="宋体" w:cs="宋体"/>
          <w:b/>
          <w:color w:val="000000"/>
          <w:sz w:val="21"/>
          <w:szCs w:val="21"/>
          <w:lang w:bidi="ar"/>
        </w:rPr>
      </w:pPr>
      <w:r>
        <w:rPr>
          <w:rFonts w:hint="eastAsia" w:ascii="宋体" w:hAnsi="宋体" w:eastAsia="宋体" w:cs="宋体"/>
          <w:b/>
          <w:color w:val="000000"/>
          <w:sz w:val="21"/>
          <w:szCs w:val="21"/>
          <w:lang w:bidi="ar"/>
        </w:rPr>
        <w:t>五、合同订立</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bidi="ar"/>
        </w:rPr>
        <w:t>合同签约时间：</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年</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月</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日</w:t>
      </w:r>
    </w:p>
    <w:p>
      <w:pPr>
        <w:adjustRightInd w:val="0"/>
        <w:snapToGrid w:val="0"/>
        <w:spacing w:line="360" w:lineRule="auto"/>
        <w:ind w:firstLine="420" w:firstLineChars="200"/>
        <w:rPr>
          <w:rFonts w:hint="eastAsia" w:ascii="宋体" w:hAnsi="宋体" w:eastAsia="宋体" w:cs="宋体"/>
          <w:color w:val="000000"/>
          <w:sz w:val="21"/>
          <w:szCs w:val="21"/>
          <w:u w:val="single"/>
          <w:lang w:bidi="ar"/>
        </w:rPr>
      </w:pPr>
      <w:r>
        <w:rPr>
          <w:rFonts w:hint="eastAsia" w:ascii="宋体" w:hAnsi="宋体" w:eastAsia="宋体" w:cs="宋体"/>
          <w:color w:val="000000"/>
          <w:sz w:val="21"/>
          <w:szCs w:val="21"/>
          <w:lang w:bidi="ar"/>
        </w:rPr>
        <w:t>合同签约地点：</w:t>
      </w:r>
      <w:r>
        <w:rPr>
          <w:rFonts w:hint="eastAsia" w:ascii="宋体" w:hAnsi="宋体" w:eastAsia="宋体" w:cs="宋体"/>
          <w:color w:val="000000"/>
          <w:sz w:val="21"/>
          <w:szCs w:val="21"/>
          <w:u w:val="single"/>
          <w:lang w:bidi="ar"/>
        </w:rPr>
        <w:t>湖南省长沙市雨花区</w:t>
      </w:r>
    </w:p>
    <w:p>
      <w:pPr>
        <w:tabs>
          <w:tab w:val="left" w:pos="1248"/>
        </w:tabs>
        <w:adjustRightInd w:val="0"/>
        <w:snapToGrid w:val="0"/>
        <w:spacing w:line="360" w:lineRule="auto"/>
        <w:ind w:firstLine="422" w:firstLineChars="200"/>
        <w:rPr>
          <w:rFonts w:hint="eastAsia" w:ascii="宋体" w:hAnsi="宋体" w:eastAsia="宋体" w:cs="宋体"/>
          <w:b/>
          <w:color w:val="000000"/>
          <w:sz w:val="21"/>
          <w:szCs w:val="21"/>
          <w:lang w:bidi="ar"/>
        </w:rPr>
      </w:pPr>
      <w:r>
        <w:rPr>
          <w:rFonts w:hint="eastAsia" w:ascii="宋体" w:hAnsi="宋体" w:eastAsia="宋体" w:cs="宋体"/>
          <w:b/>
          <w:color w:val="000000"/>
          <w:sz w:val="21"/>
          <w:szCs w:val="21"/>
          <w:lang w:bidi="ar"/>
        </w:rPr>
        <w:t>六、其他</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bidi="ar"/>
        </w:rPr>
        <w:t>合同生效：双方法定代表人或其授权代表签字并加盖合同专用章/公章生效。</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highlight w:val="none"/>
        </w:rPr>
        <w:t>本合同正本</w:t>
      </w:r>
      <w:r>
        <w:rPr>
          <w:rFonts w:hint="eastAsia" w:ascii="宋体" w:hAnsi="宋体" w:eastAsia="宋体" w:cs="宋体"/>
          <w:color w:val="000000"/>
          <w:sz w:val="21"/>
          <w:szCs w:val="21"/>
          <w:highlight w:val="none"/>
          <w:u w:val="single"/>
        </w:rPr>
        <w:t>二</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lang w:eastAsia="zh-CN"/>
        </w:rPr>
        <w:t>六</w:t>
      </w:r>
      <w:r>
        <w:rPr>
          <w:rFonts w:hint="eastAsia" w:ascii="宋体" w:hAnsi="宋体" w:eastAsia="宋体" w:cs="宋体"/>
          <w:color w:val="000000"/>
          <w:sz w:val="21"/>
          <w:szCs w:val="21"/>
          <w:highlight w:val="none"/>
        </w:rPr>
        <w:t>份，甲方持正本</w:t>
      </w:r>
      <w:r>
        <w:rPr>
          <w:rFonts w:hint="eastAsia" w:ascii="宋体" w:hAnsi="宋体" w:eastAsia="宋体" w:cs="宋体"/>
          <w:color w:val="000000"/>
          <w:sz w:val="21"/>
          <w:szCs w:val="21"/>
          <w:highlight w:val="none"/>
          <w:u w:val="single"/>
        </w:rPr>
        <w:t>一</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lang w:eastAsia="zh-CN"/>
        </w:rPr>
        <w:t>五</w:t>
      </w:r>
      <w:r>
        <w:rPr>
          <w:rFonts w:hint="eastAsia" w:ascii="宋体" w:hAnsi="宋体" w:eastAsia="宋体" w:cs="宋体"/>
          <w:color w:val="000000"/>
          <w:sz w:val="21"/>
          <w:szCs w:val="21"/>
          <w:highlight w:val="none"/>
        </w:rPr>
        <w:t>份，乙方持正本</w:t>
      </w:r>
      <w:r>
        <w:rPr>
          <w:rFonts w:hint="eastAsia" w:ascii="宋体" w:hAnsi="宋体" w:eastAsia="宋体" w:cs="宋体"/>
          <w:color w:val="000000"/>
          <w:sz w:val="21"/>
          <w:szCs w:val="21"/>
          <w:highlight w:val="none"/>
          <w:u w:val="single"/>
        </w:rPr>
        <w:t>一</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lang w:eastAsia="zh-CN"/>
        </w:rPr>
        <w:t>一</w:t>
      </w:r>
      <w:r>
        <w:rPr>
          <w:rFonts w:hint="eastAsia" w:ascii="宋体" w:hAnsi="宋体" w:eastAsia="宋体" w:cs="宋体"/>
          <w:color w:val="000000"/>
          <w:sz w:val="21"/>
          <w:szCs w:val="21"/>
          <w:highlight w:val="none"/>
        </w:rPr>
        <w:t>份。合同正本与副本具有同等效力，当合同副本与正本之间存有差异时，以合同正本为准。</w:t>
      </w:r>
      <w:bookmarkEnd w:id="168"/>
    </w:p>
    <w:p>
      <w:pPr>
        <w:snapToGrid w:val="0"/>
        <w:spacing w:line="360" w:lineRule="auto"/>
        <w:rPr>
          <w:rFonts w:hint="eastAsia" w:ascii="宋体" w:hAnsi="宋体" w:eastAsia="宋体" w:cs="宋体"/>
          <w:color w:val="000000"/>
          <w:sz w:val="21"/>
          <w:szCs w:val="21"/>
        </w:rPr>
      </w:pPr>
    </w:p>
    <w:tbl>
      <w:tblPr>
        <w:tblStyle w:val="46"/>
        <w:tblW w:w="8719" w:type="dxa"/>
        <w:jc w:val="center"/>
        <w:tblInd w:w="0" w:type="dxa"/>
        <w:tblLayout w:type="fixed"/>
        <w:tblCellMar>
          <w:top w:w="0" w:type="dxa"/>
          <w:left w:w="108" w:type="dxa"/>
          <w:bottom w:w="0" w:type="dxa"/>
          <w:right w:w="108" w:type="dxa"/>
        </w:tblCellMar>
      </w:tblPr>
      <w:tblGrid>
        <w:gridCol w:w="4467"/>
        <w:gridCol w:w="4252"/>
      </w:tblGrid>
      <w:tr>
        <w:tblPrEx>
          <w:tblLayout w:type="fixed"/>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采购人：(盖章)</w:t>
            </w:r>
          </w:p>
        </w:tc>
        <w:tc>
          <w:tcPr>
            <w:tcW w:w="4252"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供应商：（盖章</w:t>
            </w:r>
            <w:r>
              <w:rPr>
                <w:rFonts w:hint="eastAsia" w:ascii="宋体" w:hAnsi="宋体" w:eastAsia="宋体" w:cs="宋体"/>
                <w:color w:val="000000"/>
                <w:sz w:val="21"/>
                <w:szCs w:val="21"/>
                <w:u w:val="none"/>
              </w:rPr>
              <w:t>）</w:t>
            </w:r>
          </w:p>
        </w:tc>
      </w:tr>
      <w:tr>
        <w:tblPrEx>
          <w:tblLayout w:type="fixed"/>
          <w:tblCellMar>
            <w:top w:w="0" w:type="dxa"/>
            <w:left w:w="108" w:type="dxa"/>
            <w:bottom w:w="0" w:type="dxa"/>
            <w:right w:w="108" w:type="dxa"/>
          </w:tblCellMar>
        </w:tblPrEx>
        <w:trPr>
          <w:trHeight w:val="1001"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法定代表人或其授权代表：</w:t>
            </w:r>
          </w:p>
          <w:p>
            <w:pPr>
              <w:pStyle w:val="25"/>
              <w:snapToGrid w:val="0"/>
              <w:spacing w:line="360" w:lineRule="auto"/>
              <w:ind w:left="19" w:leftChars="9"/>
              <w:rPr>
                <w:rFonts w:hint="eastAsia" w:ascii="宋体" w:hAnsi="宋体" w:eastAsia="宋体" w:cs="宋体"/>
                <w:color w:val="000000"/>
                <w:sz w:val="21"/>
                <w:szCs w:val="21"/>
              </w:rPr>
            </w:pP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法定代表人或其授权代表：</w:t>
            </w:r>
          </w:p>
        </w:tc>
      </w:tr>
      <w:tr>
        <w:tblPrEx>
          <w:tblLayout w:type="fixed"/>
          <w:tblCellMar>
            <w:top w:w="0" w:type="dxa"/>
            <w:left w:w="108" w:type="dxa"/>
            <w:bottom w:w="0" w:type="dxa"/>
            <w:right w:w="108" w:type="dxa"/>
          </w:tblCellMar>
        </w:tblPrEx>
        <w:trPr>
          <w:trHeight w:val="578"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val="en-US" w:eastAsia="zh-CN"/>
              </w:rPr>
              <w:t xml:space="preserve"> </w:t>
            </w:r>
          </w:p>
        </w:tc>
        <w:tc>
          <w:tcPr>
            <w:tcW w:w="4252"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地址：</w:t>
            </w:r>
          </w:p>
        </w:tc>
      </w:tr>
      <w:tr>
        <w:tblPrEx>
          <w:tblLayout w:type="fixed"/>
          <w:tblCellMar>
            <w:top w:w="0" w:type="dxa"/>
            <w:left w:w="108" w:type="dxa"/>
            <w:bottom w:w="0" w:type="dxa"/>
            <w:right w:w="108" w:type="dxa"/>
          </w:tblCellMar>
        </w:tblPrEx>
        <w:trPr>
          <w:trHeight w:val="59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邮编：</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邮编：</w:t>
            </w:r>
          </w:p>
        </w:tc>
      </w:tr>
      <w:tr>
        <w:tblPrEx>
          <w:tblLayout w:type="fixed"/>
          <w:tblCellMar>
            <w:top w:w="0" w:type="dxa"/>
            <w:left w:w="108" w:type="dxa"/>
            <w:bottom w:w="0" w:type="dxa"/>
            <w:right w:w="108" w:type="dxa"/>
          </w:tblCellMar>
        </w:tblPrEx>
        <w:trPr>
          <w:trHeight w:val="541"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 xml:space="preserve">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r>
      <w:tr>
        <w:tblPrEx>
          <w:tblLayout w:type="fixed"/>
          <w:tblCellMar>
            <w:top w:w="0" w:type="dxa"/>
            <w:left w:w="108" w:type="dxa"/>
            <w:bottom w:w="0" w:type="dxa"/>
            <w:right w:w="108" w:type="dxa"/>
          </w:tblCellMar>
        </w:tblPrEx>
        <w:trPr>
          <w:trHeight w:val="511"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传真：</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传真：</w:t>
            </w:r>
          </w:p>
        </w:tc>
      </w:tr>
      <w:tr>
        <w:tblPrEx>
          <w:tblLayout w:type="fixed"/>
          <w:tblCellMar>
            <w:top w:w="0" w:type="dxa"/>
            <w:left w:w="108" w:type="dxa"/>
            <w:bottom w:w="0" w:type="dxa"/>
            <w:right w:w="108" w:type="dxa"/>
          </w:tblCellMar>
        </w:tblPrEx>
        <w:trPr>
          <w:trHeight w:val="541"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开户银行：</w:t>
            </w:r>
            <w:r>
              <w:rPr>
                <w:rFonts w:hint="eastAsia" w:ascii="宋体" w:hAnsi="宋体" w:eastAsia="宋体" w:cs="宋体"/>
                <w:color w:val="000000"/>
                <w:sz w:val="21"/>
                <w:szCs w:val="21"/>
                <w:lang w:val="en-US" w:eastAsia="zh-CN"/>
              </w:rPr>
              <w:t xml:space="preserve">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r>
      <w:tr>
        <w:tblPrEx>
          <w:tblLayout w:type="fixed"/>
          <w:tblCellMar>
            <w:top w:w="0" w:type="dxa"/>
            <w:left w:w="108" w:type="dxa"/>
            <w:bottom w:w="0" w:type="dxa"/>
            <w:right w:w="108" w:type="dxa"/>
          </w:tblCellMar>
        </w:tblPrEx>
        <w:trPr>
          <w:trHeight w:val="586"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val="en-US" w:eastAsia="zh-CN"/>
              </w:rPr>
              <w:t xml:space="preserve">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eastAsia="zh-CN"/>
              </w:rPr>
              <w:t>：</w:t>
            </w:r>
          </w:p>
        </w:tc>
      </w:tr>
      <w:tr>
        <w:tblPrEx>
          <w:tblLayout w:type="fixed"/>
          <w:tblCellMar>
            <w:top w:w="0" w:type="dxa"/>
            <w:left w:w="108" w:type="dxa"/>
            <w:bottom w:w="0" w:type="dxa"/>
            <w:right w:w="108" w:type="dxa"/>
          </w:tblCellMar>
        </w:tblPrEx>
        <w:trPr>
          <w:trHeight w:val="571"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sz w:val="21"/>
                <w:szCs w:val="21"/>
                <w:lang w:val="en-US"/>
              </w:rPr>
            </w:pPr>
            <w:r>
              <w:rPr>
                <w:rFonts w:hint="eastAsia" w:ascii="宋体" w:hAnsi="宋体" w:eastAsia="宋体" w:cs="宋体"/>
                <w:color w:val="000000"/>
                <w:sz w:val="21"/>
                <w:szCs w:val="21"/>
              </w:rPr>
              <w:t>税号：</w:t>
            </w:r>
            <w:r>
              <w:rPr>
                <w:rFonts w:hint="eastAsia" w:ascii="宋体" w:hAnsi="宋体" w:eastAsia="宋体" w:cs="宋体"/>
                <w:color w:val="000000"/>
                <w:sz w:val="21"/>
                <w:szCs w:val="21"/>
                <w:lang w:val="en-US" w:eastAsia="zh-CN"/>
              </w:rPr>
              <w:t xml:space="preserve">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税号：</w:t>
            </w:r>
          </w:p>
        </w:tc>
      </w:tr>
    </w:tbl>
    <w:p>
      <w:pPr>
        <w:adjustRightInd w:val="0"/>
        <w:snapToGrid w:val="0"/>
        <w:spacing w:line="360" w:lineRule="auto"/>
        <w:jc w:val="center"/>
        <w:outlineLvl w:val="0"/>
        <w:rPr>
          <w:rFonts w:hint="eastAsia" w:ascii="宋体" w:hAnsi="宋体" w:eastAsia="宋体" w:cs="宋体"/>
          <w:b/>
          <w:bCs/>
          <w:color w:val="000000"/>
          <w:sz w:val="21"/>
          <w:szCs w:val="21"/>
        </w:rPr>
      </w:pPr>
      <w:r>
        <w:rPr>
          <w:rFonts w:hint="eastAsia" w:ascii="宋体" w:hAnsi="宋体" w:eastAsia="宋体" w:cs="宋体"/>
          <w:b/>
          <w:bCs/>
          <w:color w:val="000000"/>
          <w:sz w:val="21"/>
          <w:szCs w:val="21"/>
        </w:rPr>
        <w:br w:type="page"/>
      </w:r>
      <w:bookmarkStart w:id="172" w:name="_Toc12093"/>
      <w:bookmarkStart w:id="173" w:name="_Toc2803"/>
      <w:bookmarkStart w:id="174" w:name="_Toc31869"/>
      <w:bookmarkStart w:id="175" w:name="_Toc15644"/>
      <w:bookmarkStart w:id="176" w:name="_Toc4712"/>
      <w:bookmarkStart w:id="177" w:name="_Toc21638"/>
      <w:bookmarkStart w:id="178" w:name="_Toc5335"/>
      <w:bookmarkStart w:id="179" w:name="_Toc3756"/>
      <w:bookmarkStart w:id="180" w:name="_Toc578"/>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eastAsia="zh-CN"/>
        </w:rPr>
        <w:t>二</w:t>
      </w:r>
      <w:r>
        <w:rPr>
          <w:rFonts w:hint="eastAsia" w:ascii="宋体" w:hAnsi="宋体" w:eastAsia="宋体" w:cs="宋体"/>
          <w:b/>
          <w:bCs/>
          <w:color w:val="000000"/>
          <w:sz w:val="21"/>
          <w:szCs w:val="21"/>
        </w:rPr>
        <w:t>部分 合同条款</w:t>
      </w:r>
      <w:bookmarkEnd w:id="172"/>
      <w:bookmarkEnd w:id="173"/>
      <w:bookmarkEnd w:id="174"/>
      <w:bookmarkEnd w:id="175"/>
      <w:bookmarkEnd w:id="176"/>
      <w:bookmarkEnd w:id="177"/>
      <w:bookmarkEnd w:id="178"/>
      <w:bookmarkEnd w:id="179"/>
      <w:bookmarkEnd w:id="180"/>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181" w:name="_Toc12678"/>
      <w:bookmarkStart w:id="182" w:name="_Toc19775"/>
      <w:bookmarkStart w:id="183" w:name="_Toc14218"/>
      <w:bookmarkStart w:id="184" w:name="_Toc21196"/>
      <w:bookmarkStart w:id="185" w:name="_Toc31087"/>
      <w:bookmarkStart w:id="186" w:name="_Toc4059"/>
      <w:bookmarkStart w:id="187" w:name="_Toc15982"/>
      <w:bookmarkStart w:id="188" w:name="_Toc15298"/>
      <w:bookmarkStart w:id="189" w:name="_Toc31607"/>
      <w:r>
        <w:rPr>
          <w:rFonts w:hint="eastAsia" w:ascii="宋体" w:hAnsi="宋体" w:eastAsia="宋体" w:cs="宋体"/>
          <w:b/>
          <w:color w:val="000000"/>
          <w:sz w:val="21"/>
          <w:szCs w:val="21"/>
        </w:rPr>
        <w:t>1.定义</w:t>
      </w:r>
      <w:bookmarkEnd w:id="181"/>
      <w:bookmarkEnd w:id="182"/>
      <w:bookmarkEnd w:id="183"/>
      <w:bookmarkEnd w:id="184"/>
      <w:bookmarkEnd w:id="185"/>
      <w:bookmarkEnd w:id="186"/>
      <w:bookmarkEnd w:id="187"/>
      <w:bookmarkEnd w:id="188"/>
      <w:bookmarkEnd w:id="189"/>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1.1合同当事人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（1）采购人(以下称甲方)是指在合同协议书中指明的购买物资和服务的单位。</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（2）供应商(以下称乙方)是指在合同协议书中指明的参加本</w:t>
      </w:r>
      <w:r>
        <w:rPr>
          <w:rFonts w:hint="eastAsia" w:ascii="宋体" w:hAnsi="宋体" w:eastAsia="宋体" w:cs="宋体"/>
          <w:color w:val="000000"/>
          <w:sz w:val="21"/>
          <w:szCs w:val="21"/>
          <w:lang w:eastAsia="zh-CN"/>
        </w:rPr>
        <w:t>自主竞争性谈判</w:t>
      </w:r>
      <w:r>
        <w:rPr>
          <w:rFonts w:hint="eastAsia" w:ascii="宋体" w:hAnsi="宋体" w:eastAsia="宋体" w:cs="宋体"/>
          <w:color w:val="000000"/>
          <w:sz w:val="21"/>
          <w:szCs w:val="21"/>
        </w:rPr>
        <w:t>活动而取得中</w:t>
      </w:r>
      <w:r>
        <w:rPr>
          <w:rFonts w:hint="eastAsia" w:ascii="宋体" w:hAnsi="宋体" w:eastAsia="宋体" w:cs="宋体"/>
          <w:color w:val="000000"/>
          <w:sz w:val="21"/>
          <w:szCs w:val="21"/>
          <w:lang w:eastAsia="zh-CN"/>
        </w:rPr>
        <w:t>选</w:t>
      </w:r>
      <w:r>
        <w:rPr>
          <w:rFonts w:hint="eastAsia" w:ascii="宋体" w:hAnsi="宋体" w:eastAsia="宋体" w:cs="宋体"/>
          <w:color w:val="000000"/>
          <w:sz w:val="21"/>
          <w:szCs w:val="21"/>
        </w:rPr>
        <w:t>或成交结果，并向甲方提供物资和服务的法人、其他组织或者自然人。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1.2本合同下列术语应解释为：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（2）“签约合同价”系指甲方和乙方在合同协议书中确定的金额，即本项目的中</w:t>
      </w:r>
      <w:r>
        <w:rPr>
          <w:rFonts w:hint="eastAsia" w:ascii="宋体" w:hAnsi="宋体" w:eastAsia="宋体" w:cs="宋体"/>
          <w:color w:val="000000"/>
          <w:sz w:val="21"/>
          <w:szCs w:val="21"/>
          <w:lang w:eastAsia="zh-CN"/>
        </w:rPr>
        <w:t>选</w:t>
      </w:r>
      <w:r>
        <w:rPr>
          <w:rFonts w:hint="eastAsia" w:ascii="宋体" w:hAnsi="宋体" w:eastAsia="宋体" w:cs="宋体"/>
          <w:color w:val="000000"/>
          <w:sz w:val="21"/>
          <w:szCs w:val="21"/>
        </w:rPr>
        <w:t>价格或成交价格。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（3）“合同价格”系指根据本合同规定乙方在正确地完全履行合同义务后，经长沙市政府相关职能部门或</w:t>
      </w:r>
      <w:r>
        <w:rPr>
          <w:rFonts w:hint="eastAsia" w:ascii="宋体" w:hAnsi="宋体" w:eastAsia="宋体" w:cs="宋体"/>
          <w:color w:val="000000"/>
          <w:sz w:val="21"/>
          <w:szCs w:val="21"/>
          <w:lang w:eastAsia="zh-CN"/>
        </w:rPr>
        <w:t>经甲方</w:t>
      </w:r>
      <w:r>
        <w:rPr>
          <w:rFonts w:hint="eastAsia" w:ascii="宋体" w:hAnsi="宋体" w:eastAsia="宋体" w:cs="宋体"/>
          <w:color w:val="000000"/>
          <w:sz w:val="21"/>
          <w:szCs w:val="21"/>
        </w:rPr>
        <w:t>审定的结算价格。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（5）“服务”系指根据本合同规定乙方承担与供物资资有关的服务，如运输、保险、提供技术协助、安装调试（如果有）、安装督导（如果有）、培训（如果有）和合同中规定乙方应承担的其它义务。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（6）“合同条款”系指本合同条款。</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190" w:name="_Toc21378"/>
      <w:bookmarkStart w:id="191" w:name="_Toc27726"/>
      <w:bookmarkStart w:id="192" w:name="_Toc27317"/>
      <w:bookmarkStart w:id="193" w:name="_Toc24287"/>
      <w:bookmarkStart w:id="194" w:name="_Toc84"/>
      <w:bookmarkStart w:id="195" w:name="_Toc5745"/>
      <w:bookmarkStart w:id="196" w:name="_Toc11470"/>
      <w:bookmarkStart w:id="197" w:name="_Toc20305"/>
      <w:bookmarkStart w:id="198" w:name="_Toc23840"/>
      <w:r>
        <w:rPr>
          <w:rFonts w:hint="eastAsia" w:ascii="宋体" w:hAnsi="宋体" w:eastAsia="宋体" w:cs="宋体"/>
          <w:b/>
          <w:color w:val="000000"/>
          <w:sz w:val="21"/>
          <w:szCs w:val="21"/>
        </w:rPr>
        <w:t>2.合同标的及价款</w:t>
      </w:r>
      <w:bookmarkEnd w:id="190"/>
      <w:bookmarkEnd w:id="191"/>
      <w:bookmarkEnd w:id="192"/>
      <w:bookmarkEnd w:id="193"/>
      <w:bookmarkEnd w:id="194"/>
      <w:bookmarkEnd w:id="195"/>
      <w:bookmarkEnd w:id="196"/>
      <w:bookmarkEnd w:id="197"/>
      <w:bookmarkEnd w:id="198"/>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 合同标的具体详见</w:t>
      </w:r>
      <w:r>
        <w:rPr>
          <w:rFonts w:hint="eastAsia" w:ascii="宋体" w:hAnsi="宋体" w:eastAsia="宋体" w:cs="宋体"/>
          <w:color w:val="000000"/>
          <w:sz w:val="21"/>
          <w:szCs w:val="21"/>
          <w:u w:val="single"/>
          <w:lang w:eastAsia="zh-CN"/>
        </w:rPr>
        <w:t>用户需求书/技术规格书</w:t>
      </w:r>
      <w:r>
        <w:rPr>
          <w:rFonts w:hint="eastAsia" w:ascii="宋体" w:hAnsi="宋体" w:eastAsia="宋体" w:cs="宋体"/>
          <w:color w:val="000000"/>
          <w:sz w:val="21"/>
          <w:szCs w:val="21"/>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2.2签约合同价为人民币</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highlight w:val="none"/>
        </w:rPr>
        <w:t>元</w:t>
      </w:r>
      <w:r>
        <w:rPr>
          <w:rFonts w:hint="eastAsia" w:ascii="宋体" w:hAnsi="宋体" w:eastAsia="宋体" w:cs="宋体"/>
          <w:color w:val="000000"/>
          <w:sz w:val="21"/>
          <w:szCs w:val="21"/>
        </w:rPr>
        <w:t>（大写金额：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rPr>
        <w:t>，具体分项</w:t>
      </w:r>
      <w:r>
        <w:rPr>
          <w:rFonts w:hint="eastAsia" w:ascii="宋体" w:hAnsi="宋体" w:eastAsia="宋体" w:cs="宋体"/>
          <w:color w:val="000000"/>
          <w:sz w:val="21"/>
          <w:szCs w:val="21"/>
          <w:highlight w:val="none"/>
        </w:rPr>
        <w:t>价格表详见合同附件之签约合同价清单。</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2.3本合同为</w:t>
      </w:r>
      <w:r>
        <w:rPr>
          <w:rFonts w:hint="eastAsia" w:ascii="宋体" w:hAnsi="宋体" w:eastAsia="宋体" w:cs="宋体"/>
          <w:color w:val="000000"/>
          <w:sz w:val="21"/>
          <w:szCs w:val="21"/>
          <w:highlight w:val="none"/>
          <w:lang w:eastAsia="zh-CN"/>
        </w:rPr>
        <w:t>总价</w:t>
      </w:r>
      <w:r>
        <w:rPr>
          <w:rFonts w:hint="eastAsia" w:ascii="宋体" w:hAnsi="宋体" w:eastAsia="宋体" w:cs="宋体"/>
          <w:color w:val="000000"/>
          <w:sz w:val="21"/>
          <w:szCs w:val="21"/>
          <w:highlight w:val="none"/>
        </w:rPr>
        <w:t>合同，合同</w:t>
      </w:r>
      <w:r>
        <w:rPr>
          <w:rFonts w:hint="eastAsia" w:ascii="宋体" w:hAnsi="宋体" w:eastAsia="宋体" w:cs="宋体"/>
          <w:color w:val="000000"/>
          <w:sz w:val="21"/>
          <w:szCs w:val="21"/>
          <w:highlight w:val="none"/>
          <w:lang w:eastAsia="zh-CN"/>
        </w:rPr>
        <w:t>总价</w:t>
      </w:r>
      <w:r>
        <w:rPr>
          <w:rFonts w:hint="eastAsia" w:ascii="宋体" w:hAnsi="宋体" w:eastAsia="宋体" w:cs="宋体"/>
          <w:color w:val="000000"/>
          <w:sz w:val="21"/>
          <w:szCs w:val="21"/>
          <w:highlight w:val="none"/>
        </w:rPr>
        <w:t>在合同执行过程中固定不变，不受政策、法规变化以及汇率浮动、物价指数浮动等因素的影响。</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合同价格包括</w:t>
      </w:r>
      <w:r>
        <w:rPr>
          <w:rFonts w:hint="eastAsia" w:ascii="宋体" w:hAnsi="宋体" w:eastAsia="宋体" w:cs="宋体"/>
          <w:color w:val="000000"/>
          <w:sz w:val="21"/>
          <w:szCs w:val="21"/>
          <w:lang w:eastAsia="zh-CN"/>
        </w:rPr>
        <w:t>但不限于</w:t>
      </w:r>
      <w:r>
        <w:rPr>
          <w:rFonts w:hint="eastAsia" w:ascii="宋体" w:hAnsi="宋体" w:eastAsia="宋体" w:cs="宋体"/>
          <w:color w:val="000000"/>
          <w:sz w:val="21"/>
          <w:szCs w:val="21"/>
        </w:rPr>
        <w:t>物资制造前的准备、设计联络（如果有）、设计（如果有）、制造、出厂检验、包装、发货、运输至现场指定地点、装卸、安装/安装督导（如果有）、现场检验及验收、调试（如果有）、向政府机构报检（如果有）、试运行服务（如果有）及质量保证服务、培训（如果有）、售后服务等履行合同标的全过程产生的所有成本和费用以及乙方应承担的一切税费。</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199" w:name="_Toc10047"/>
      <w:bookmarkStart w:id="200" w:name="_Toc23311"/>
      <w:bookmarkStart w:id="201" w:name="_Toc10619"/>
      <w:bookmarkStart w:id="202" w:name="_Toc1487"/>
      <w:bookmarkStart w:id="203" w:name="_Toc22526"/>
      <w:bookmarkStart w:id="204" w:name="_Toc24644"/>
      <w:bookmarkStart w:id="205" w:name="_Toc23495"/>
      <w:bookmarkStart w:id="206" w:name="_Toc24191"/>
      <w:bookmarkStart w:id="207" w:name="_Toc2429"/>
      <w:r>
        <w:rPr>
          <w:rFonts w:hint="eastAsia" w:ascii="宋体" w:hAnsi="宋体" w:eastAsia="宋体" w:cs="宋体"/>
          <w:b/>
          <w:color w:val="000000"/>
          <w:sz w:val="21"/>
          <w:szCs w:val="21"/>
        </w:rPr>
        <w:t>3.价款支付</w:t>
      </w:r>
      <w:bookmarkEnd w:id="199"/>
      <w:bookmarkEnd w:id="200"/>
      <w:bookmarkEnd w:id="201"/>
      <w:bookmarkEnd w:id="202"/>
      <w:bookmarkEnd w:id="203"/>
      <w:bookmarkEnd w:id="204"/>
      <w:bookmarkEnd w:id="205"/>
      <w:bookmarkEnd w:id="206"/>
      <w:bookmarkEnd w:id="207"/>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highlight w:val="none"/>
        </w:rPr>
        <w:t>预付款</w:t>
      </w:r>
      <w:r>
        <w:rPr>
          <w:rFonts w:hint="eastAsia" w:ascii="宋体" w:hAnsi="宋体" w:eastAsia="宋体" w:cs="宋体"/>
          <w:color w:val="000000"/>
          <w:sz w:val="21"/>
          <w:szCs w:val="21"/>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本项目不支付预付款。</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eastAsia="zh-CN"/>
        </w:rPr>
        <w:t>履约验收</w:t>
      </w:r>
      <w:r>
        <w:rPr>
          <w:rFonts w:hint="eastAsia" w:ascii="宋体" w:hAnsi="宋体" w:eastAsia="宋体" w:cs="宋体"/>
          <w:color w:val="000000"/>
          <w:sz w:val="21"/>
          <w:szCs w:val="21"/>
          <w:highlight w:val="none"/>
        </w:rPr>
        <w:t>完成付款</w:t>
      </w:r>
      <w:r>
        <w:rPr>
          <w:rFonts w:hint="eastAsia" w:ascii="宋体" w:hAnsi="宋体" w:eastAsia="宋体" w:cs="宋体"/>
          <w:color w:val="000000"/>
          <w:sz w:val="21"/>
          <w:szCs w:val="21"/>
          <w:highlight w:val="none"/>
          <w:lang w:eastAsia="zh-CN"/>
        </w:rPr>
        <w:t>：所有物资到货且经甲方验收合格，项目按合同约定完成履约且按甲方相关规定办理履约验收，履约验收完成后，在收到乙方支付申请并证实完整后28个工作日内，支付至合同价格的</w:t>
      </w:r>
      <w:r>
        <w:rPr>
          <w:rFonts w:hint="eastAsia" w:ascii="宋体" w:hAnsi="宋体" w:eastAsia="宋体" w:cs="宋体"/>
          <w:color w:val="000000"/>
          <w:sz w:val="21"/>
          <w:szCs w:val="21"/>
          <w:highlight w:val="none"/>
          <w:lang w:val="en-US" w:eastAsia="zh-CN"/>
        </w:rPr>
        <w:t>100</w:t>
      </w:r>
      <w:r>
        <w:rPr>
          <w:rFonts w:hint="eastAsia" w:ascii="宋体" w:hAnsi="宋体" w:eastAsia="宋体" w:cs="宋体"/>
          <w:color w:val="000000"/>
          <w:sz w:val="21"/>
          <w:szCs w:val="21"/>
          <w:highlight w:val="none"/>
          <w:lang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 xml:space="preserve">3 </w:t>
      </w:r>
      <w:r>
        <w:rPr>
          <w:rFonts w:hint="eastAsia" w:ascii="宋体" w:hAnsi="宋体" w:eastAsia="宋体" w:cs="宋体"/>
          <w:color w:val="000000"/>
          <w:sz w:val="21"/>
          <w:szCs w:val="21"/>
        </w:rPr>
        <w:t>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 xml:space="preserve">4 </w:t>
      </w:r>
      <w:r>
        <w:rPr>
          <w:rFonts w:hint="eastAsia" w:ascii="宋体" w:hAnsi="宋体" w:eastAsia="宋体" w:cs="宋体"/>
          <w:color w:val="000000"/>
          <w:sz w:val="21"/>
          <w:szCs w:val="21"/>
        </w:rPr>
        <w:t>乙方提供的相关单据，其中增值税专用发票应符合税法相关规定，金额为合同总价款，包括收取的奖励费、包装物租金等价外费用，安装调试费、运输费不得另行开具服务类专用发票。</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08" w:name="_Toc42"/>
      <w:bookmarkStart w:id="209" w:name="_Toc13878"/>
      <w:bookmarkStart w:id="210" w:name="_Toc5198"/>
      <w:bookmarkStart w:id="211" w:name="_Toc10070"/>
      <w:bookmarkStart w:id="212" w:name="_Toc22745"/>
      <w:bookmarkStart w:id="213" w:name="_Toc16384"/>
      <w:bookmarkStart w:id="214" w:name="_Toc6579"/>
      <w:bookmarkStart w:id="215" w:name="_Toc4426"/>
      <w:bookmarkStart w:id="216" w:name="_Toc8446"/>
      <w:r>
        <w:rPr>
          <w:rFonts w:hint="eastAsia" w:ascii="宋体" w:hAnsi="宋体" w:eastAsia="宋体" w:cs="宋体"/>
          <w:b/>
          <w:bCs/>
          <w:color w:val="000000"/>
          <w:sz w:val="21"/>
          <w:szCs w:val="21"/>
        </w:rPr>
        <w:t>4.</w:t>
      </w:r>
      <w:r>
        <w:rPr>
          <w:rFonts w:hint="eastAsia" w:ascii="宋体" w:hAnsi="宋体" w:eastAsia="宋体" w:cs="宋体"/>
          <w:b/>
          <w:color w:val="000000"/>
          <w:sz w:val="21"/>
          <w:szCs w:val="21"/>
        </w:rPr>
        <w:t>合同履行的时间、地点和方式</w:t>
      </w:r>
      <w:bookmarkEnd w:id="208"/>
      <w:bookmarkEnd w:id="209"/>
      <w:bookmarkEnd w:id="210"/>
      <w:bookmarkEnd w:id="211"/>
      <w:bookmarkEnd w:id="212"/>
      <w:bookmarkEnd w:id="213"/>
      <w:bookmarkEnd w:id="214"/>
      <w:bookmarkEnd w:id="215"/>
      <w:bookmarkEnd w:id="216"/>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4.1 乙方应当按甲方</w:t>
      </w:r>
      <w:r>
        <w:rPr>
          <w:rFonts w:hint="eastAsia" w:ascii="宋体" w:hAnsi="宋体" w:eastAsia="宋体" w:cs="宋体"/>
          <w:color w:val="000000"/>
          <w:sz w:val="21"/>
          <w:szCs w:val="21"/>
          <w:u w:val="single"/>
          <w:lang w:eastAsia="zh-CN"/>
        </w:rPr>
        <w:t>用户需求书/技术规格书</w:t>
      </w:r>
      <w:r>
        <w:rPr>
          <w:rFonts w:hint="eastAsia" w:ascii="宋体" w:hAnsi="宋体" w:eastAsia="宋体" w:cs="宋体"/>
          <w:color w:val="000000"/>
          <w:sz w:val="21"/>
          <w:szCs w:val="21"/>
        </w:rPr>
        <w:t>规定的时间、地点、方式履行合同。</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17" w:name="_Toc20415"/>
      <w:bookmarkStart w:id="218" w:name="_Toc23472"/>
      <w:bookmarkStart w:id="219" w:name="_Toc19507"/>
      <w:bookmarkStart w:id="220" w:name="_Toc16729"/>
      <w:bookmarkStart w:id="221" w:name="_Toc6836"/>
      <w:bookmarkStart w:id="222" w:name="_Toc29728"/>
      <w:bookmarkStart w:id="223" w:name="_Toc19521"/>
      <w:bookmarkStart w:id="224" w:name="_Toc32109"/>
      <w:bookmarkStart w:id="225" w:name="_Toc7188"/>
      <w:r>
        <w:rPr>
          <w:rFonts w:hint="eastAsia" w:ascii="宋体" w:hAnsi="宋体" w:eastAsia="宋体" w:cs="宋体"/>
          <w:b/>
          <w:color w:val="000000"/>
          <w:sz w:val="21"/>
          <w:szCs w:val="21"/>
        </w:rPr>
        <w:t>5.物资的验收</w:t>
      </w:r>
      <w:bookmarkEnd w:id="217"/>
      <w:bookmarkEnd w:id="218"/>
      <w:bookmarkEnd w:id="219"/>
      <w:bookmarkEnd w:id="220"/>
      <w:bookmarkEnd w:id="221"/>
      <w:bookmarkEnd w:id="222"/>
      <w:bookmarkEnd w:id="223"/>
      <w:bookmarkEnd w:id="224"/>
      <w:bookmarkEnd w:id="225"/>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5.2 甲方向乙方发出验收通知，如乙方在收到验收通知后无故缺席，则</w:t>
      </w:r>
      <w:r>
        <w:rPr>
          <w:rFonts w:hint="eastAsia" w:ascii="宋体" w:hAnsi="宋体" w:eastAsia="宋体" w:cs="宋体"/>
          <w:color w:val="000000"/>
          <w:sz w:val="21"/>
          <w:szCs w:val="21"/>
          <w:lang w:eastAsia="zh-CN"/>
        </w:rPr>
        <w:t>视</w:t>
      </w:r>
      <w:r>
        <w:rPr>
          <w:rFonts w:hint="eastAsia" w:ascii="宋体" w:hAnsi="宋体" w:eastAsia="宋体" w:cs="宋体"/>
          <w:color w:val="000000"/>
          <w:sz w:val="21"/>
          <w:szCs w:val="21"/>
        </w:rPr>
        <w:t>为乙方同意甲方验收结果。</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甲方检查验收合格后，应当签署检验结果记录或开箱检验单或开箱意见。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26" w:name="_Toc19404"/>
      <w:bookmarkStart w:id="227" w:name="_Toc23659"/>
      <w:bookmarkStart w:id="228" w:name="_Toc25587"/>
      <w:bookmarkStart w:id="229" w:name="_Toc18413"/>
      <w:bookmarkStart w:id="230" w:name="_Toc32644"/>
      <w:bookmarkStart w:id="231" w:name="_Toc17893"/>
      <w:bookmarkStart w:id="232" w:name="_Toc31180"/>
      <w:bookmarkStart w:id="233" w:name="_Toc16614"/>
      <w:bookmarkStart w:id="234" w:name="_Toc12844"/>
      <w:r>
        <w:rPr>
          <w:rFonts w:hint="eastAsia" w:ascii="宋体" w:hAnsi="宋体" w:eastAsia="宋体" w:cs="宋体"/>
          <w:b/>
          <w:color w:val="000000"/>
          <w:sz w:val="21"/>
          <w:szCs w:val="21"/>
        </w:rPr>
        <w:t>6.物资包装要求</w:t>
      </w:r>
      <w:bookmarkEnd w:id="226"/>
      <w:bookmarkEnd w:id="227"/>
      <w:bookmarkEnd w:id="228"/>
      <w:bookmarkEnd w:id="229"/>
      <w:bookmarkEnd w:id="230"/>
      <w:bookmarkEnd w:id="231"/>
      <w:bookmarkEnd w:id="232"/>
      <w:bookmarkEnd w:id="233"/>
      <w:bookmarkEnd w:id="234"/>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6.2 每一个包装箱内应附下列文件：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（1）包括说明合同名称、物资名称、型号、规格、数量等的详细装箱单；</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（2）供货商或生产商出具的产品合格证；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（3）产品说明书（包括组装、安装图）</w:t>
      </w:r>
      <w:r>
        <w:rPr>
          <w:rFonts w:hint="eastAsia" w:ascii="宋体" w:hAnsi="宋体" w:eastAsia="宋体" w:cs="宋体"/>
          <w:color w:val="000000"/>
          <w:sz w:val="21"/>
          <w:szCs w:val="21"/>
          <w:lang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6.3</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35" w:name="_Toc29300"/>
      <w:bookmarkStart w:id="236" w:name="_Toc2655"/>
      <w:bookmarkStart w:id="237" w:name="_Toc19953"/>
      <w:bookmarkStart w:id="238" w:name="_Toc29550"/>
      <w:bookmarkStart w:id="239" w:name="_Toc1172"/>
      <w:bookmarkStart w:id="240" w:name="_Toc12436"/>
      <w:bookmarkStart w:id="241" w:name="_Toc11170"/>
      <w:bookmarkStart w:id="242" w:name="_Toc3101"/>
      <w:bookmarkStart w:id="243" w:name="_Toc32095"/>
      <w:r>
        <w:rPr>
          <w:rFonts w:hint="eastAsia" w:ascii="宋体" w:hAnsi="宋体" w:eastAsia="宋体" w:cs="宋体"/>
          <w:b/>
          <w:color w:val="000000"/>
          <w:sz w:val="21"/>
          <w:szCs w:val="21"/>
        </w:rPr>
        <w:t>7.运输</w:t>
      </w:r>
      <w:bookmarkEnd w:id="235"/>
      <w:bookmarkEnd w:id="236"/>
      <w:bookmarkEnd w:id="237"/>
      <w:bookmarkEnd w:id="238"/>
      <w:bookmarkEnd w:id="239"/>
      <w:bookmarkEnd w:id="240"/>
      <w:bookmarkEnd w:id="241"/>
      <w:bookmarkEnd w:id="242"/>
      <w:bookmarkEnd w:id="243"/>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乙方负责办理将物资运抵本合同第5.1条规定的交货地点的一切运输事项，相关费用应包括在合同价中。</w:t>
      </w:r>
    </w:p>
    <w:p>
      <w:pPr>
        <w:tabs>
          <w:tab w:val="left" w:pos="1248"/>
        </w:tabs>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000000"/>
          <w:sz w:val="21"/>
          <w:szCs w:val="21"/>
        </w:rPr>
        <w:t>7.2</w:t>
      </w:r>
      <w:r>
        <w:rPr>
          <w:rFonts w:hint="eastAsia" w:ascii="宋体" w:hAnsi="宋体" w:eastAsia="宋体" w:cs="宋体"/>
          <w:color w:val="000000"/>
          <w:sz w:val="21"/>
          <w:szCs w:val="21"/>
          <w:lang w:val="en-US" w:eastAsia="zh-CN"/>
        </w:rPr>
        <w:t xml:space="preserve"> 合同货物的所有权和风险自甲方验收合格并接收时起由乙方转移至甲方，合同货物在甲方接收之前包括运输过程中发生的所有风险均由乙方承担。</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44" w:name="_Toc36"/>
      <w:bookmarkStart w:id="245" w:name="_Toc29597"/>
      <w:bookmarkStart w:id="246" w:name="_Toc3885"/>
      <w:bookmarkStart w:id="247" w:name="_Toc31896"/>
      <w:bookmarkStart w:id="248" w:name="_Toc5006"/>
      <w:bookmarkStart w:id="249" w:name="_Toc20271"/>
      <w:bookmarkStart w:id="250" w:name="_Toc29480"/>
      <w:bookmarkStart w:id="251" w:name="_Toc23334"/>
      <w:bookmarkStart w:id="252" w:name="_Toc458"/>
      <w:r>
        <w:rPr>
          <w:rFonts w:hint="eastAsia" w:ascii="宋体" w:hAnsi="宋体" w:eastAsia="宋体" w:cs="宋体"/>
          <w:b/>
          <w:color w:val="000000"/>
          <w:sz w:val="21"/>
          <w:szCs w:val="21"/>
        </w:rPr>
        <w:t>8.质量标准和保证</w:t>
      </w:r>
      <w:bookmarkEnd w:id="244"/>
      <w:bookmarkEnd w:id="245"/>
      <w:bookmarkEnd w:id="246"/>
      <w:bookmarkEnd w:id="247"/>
      <w:bookmarkEnd w:id="248"/>
      <w:bookmarkEnd w:id="249"/>
      <w:bookmarkEnd w:id="250"/>
      <w:bookmarkEnd w:id="251"/>
      <w:bookmarkEnd w:id="252"/>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8.1 质量标准</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宋体" w:hAnsi="宋体" w:eastAsia="宋体" w:cs="宋体"/>
          <w:color w:val="000000"/>
          <w:sz w:val="21"/>
          <w:szCs w:val="21"/>
          <w:u w:val="single"/>
          <w:lang w:eastAsia="zh-CN"/>
        </w:rPr>
        <w:t>用户需求书/技术规格书</w:t>
      </w:r>
      <w:r>
        <w:rPr>
          <w:rFonts w:hint="eastAsia" w:ascii="宋体" w:hAnsi="宋体" w:eastAsia="宋体" w:cs="宋体"/>
          <w:color w:val="000000"/>
          <w:sz w:val="21"/>
          <w:szCs w:val="21"/>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（2）国家实施强制性产品认证的，须具有认证标志。</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（3）乙方所出售的物资必须包装完好，达到本合同第</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、第</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条包装、装运要求，同时还应符合国家有关安全、环保、卫生之规定。</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8.2 保证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（2）乙方应保证其物资在正确安装、正常使用和保养条件下，在其使用寿命期内应具有满意的性能，</w:t>
      </w:r>
      <w:r>
        <w:rPr>
          <w:rFonts w:hint="eastAsia" w:ascii="宋体" w:hAnsi="宋体" w:eastAsia="宋体" w:cs="宋体"/>
          <w:color w:val="000000"/>
          <w:sz w:val="21"/>
          <w:szCs w:val="21"/>
          <w:lang w:eastAsia="zh-CN"/>
        </w:rPr>
        <w:t>且</w:t>
      </w:r>
      <w:r>
        <w:rPr>
          <w:rFonts w:hint="eastAsia" w:ascii="宋体" w:hAnsi="宋体" w:eastAsia="宋体" w:cs="宋体"/>
          <w:color w:val="000000"/>
          <w:sz w:val="21"/>
          <w:szCs w:val="21"/>
        </w:rPr>
        <w:t>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（3）本合同质量保证期</w:t>
      </w:r>
      <w:r>
        <w:rPr>
          <w:rFonts w:hint="eastAsia" w:ascii="宋体" w:hAnsi="宋体" w:eastAsia="宋体" w:cs="宋体"/>
          <w:color w:val="000000"/>
          <w:sz w:val="21"/>
          <w:szCs w:val="21"/>
          <w:lang w:eastAsia="zh-CN"/>
        </w:rPr>
        <w:t>为</w:t>
      </w:r>
      <w:r>
        <w:rPr>
          <w:rFonts w:hint="eastAsia" w:ascii="宋体" w:hAnsi="宋体" w:eastAsia="宋体" w:cs="宋体"/>
          <w:i w:val="0"/>
          <w:iCs w:val="0"/>
          <w:color w:val="000000"/>
          <w:sz w:val="21"/>
          <w:szCs w:val="21"/>
          <w:u w:val="single"/>
          <w:lang w:val="en-US" w:eastAsia="zh-CN"/>
        </w:rPr>
        <w:t xml:space="preserve">   </w:t>
      </w:r>
      <w:r>
        <w:rPr>
          <w:rFonts w:hint="eastAsia" w:ascii="宋体" w:hAnsi="宋体" w:eastAsia="宋体" w:cs="宋体"/>
          <w:color w:val="000000"/>
          <w:sz w:val="21"/>
          <w:szCs w:val="21"/>
        </w:rPr>
        <w:t>个月，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起算。如物资原厂保修期长于本合同约定质量保证期的，以原厂保修期为准</w:t>
      </w:r>
      <w:r>
        <w:rPr>
          <w:rFonts w:hint="eastAsia" w:ascii="宋体" w:hAnsi="宋体" w:eastAsia="宋体" w:cs="宋体"/>
          <w:color w:val="000000"/>
          <w:sz w:val="21"/>
          <w:szCs w:val="21"/>
          <w:lang w:val="en-GB"/>
        </w:rPr>
        <w:t>。</w:t>
      </w:r>
      <w:r>
        <w:rPr>
          <w:rFonts w:hint="eastAsia" w:ascii="宋体" w:hAnsi="宋体" w:eastAsia="宋体" w:cs="宋体"/>
          <w:color w:val="000000"/>
          <w:sz w:val="21"/>
          <w:szCs w:val="21"/>
          <w:lang w:val="en-US" w:eastAsia="zh-CN"/>
        </w:rPr>
        <w:t xml:space="preserve"> </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（4）质量保证期内所发现的缺陷甲方会尽快以书面形式通知乙方。乙方收到书面通知后应在</w:t>
      </w:r>
      <w:r>
        <w:rPr>
          <w:rFonts w:hint="eastAsia" w:ascii="宋体" w:hAnsi="宋体" w:eastAsia="宋体" w:cs="宋体"/>
          <w:color w:val="000000"/>
          <w:sz w:val="21"/>
          <w:szCs w:val="21"/>
          <w:u w:val="single"/>
          <w:lang w:eastAsia="zh-CN"/>
        </w:rPr>
        <w:t>用户需求书/技术规格书</w:t>
      </w:r>
      <w:r>
        <w:rPr>
          <w:rFonts w:hint="eastAsia" w:ascii="宋体" w:hAnsi="宋体" w:eastAsia="宋体" w:cs="宋体"/>
          <w:color w:val="000000"/>
          <w:sz w:val="21"/>
          <w:szCs w:val="21"/>
        </w:rPr>
        <w:t>约定的时间作出响应、到达项目现场、更换或免费维修有缺陷的物资或部件。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（6）乙方须</w:t>
      </w:r>
      <w:r>
        <w:rPr>
          <w:rFonts w:hint="eastAsia" w:ascii="宋体" w:hAnsi="宋体" w:eastAsia="宋体" w:cs="宋体"/>
          <w:color w:val="000000"/>
          <w:sz w:val="21"/>
          <w:szCs w:val="21"/>
          <w:lang w:eastAsia="zh-CN"/>
        </w:rPr>
        <w:t>为甲方</w:t>
      </w:r>
      <w:r>
        <w:rPr>
          <w:rFonts w:hint="eastAsia" w:ascii="宋体" w:hAnsi="宋体" w:eastAsia="宋体" w:cs="宋体"/>
          <w:color w:val="000000"/>
          <w:sz w:val="21"/>
          <w:szCs w:val="21"/>
        </w:rPr>
        <w:t>提供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（7）在质量保证期后，在合同及</w:t>
      </w:r>
      <w:r>
        <w:rPr>
          <w:rFonts w:hint="eastAsia" w:ascii="宋体" w:hAnsi="宋体" w:eastAsia="宋体" w:cs="宋体"/>
          <w:color w:val="000000"/>
          <w:sz w:val="21"/>
          <w:szCs w:val="21"/>
          <w:u w:val="single"/>
          <w:lang w:eastAsia="zh-CN"/>
        </w:rPr>
        <w:t>用户需求书/技术规格书</w:t>
      </w:r>
      <w:r>
        <w:rPr>
          <w:rFonts w:hint="eastAsia" w:ascii="宋体" w:hAnsi="宋体" w:eastAsia="宋体" w:cs="宋体"/>
          <w:color w:val="000000"/>
          <w:sz w:val="21"/>
          <w:szCs w:val="21"/>
        </w:rPr>
        <w:t>规定所要求的正常使用年限内，因物资本身质量原因造成甲方损失的，甲方有权提出索赔。</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53" w:name="_Toc5410"/>
      <w:bookmarkStart w:id="254" w:name="_Toc1988"/>
      <w:bookmarkStart w:id="255" w:name="_Toc6184"/>
      <w:bookmarkStart w:id="256" w:name="_Toc7307"/>
      <w:bookmarkStart w:id="257" w:name="_Toc1429"/>
      <w:bookmarkStart w:id="258" w:name="_Toc29613"/>
      <w:bookmarkStart w:id="259" w:name="_Toc5048"/>
      <w:bookmarkStart w:id="260" w:name="_Toc25977"/>
      <w:bookmarkStart w:id="261" w:name="_Toc24338"/>
      <w:r>
        <w:rPr>
          <w:rFonts w:hint="eastAsia" w:ascii="宋体" w:hAnsi="宋体" w:eastAsia="宋体" w:cs="宋体"/>
          <w:b/>
          <w:color w:val="000000"/>
          <w:sz w:val="21"/>
          <w:szCs w:val="21"/>
        </w:rPr>
        <w:t>9.履约担保</w:t>
      </w:r>
      <w:bookmarkEnd w:id="253"/>
      <w:bookmarkEnd w:id="254"/>
      <w:bookmarkEnd w:id="255"/>
      <w:bookmarkEnd w:id="256"/>
      <w:bookmarkEnd w:id="257"/>
      <w:bookmarkEnd w:id="258"/>
      <w:bookmarkEnd w:id="259"/>
      <w:bookmarkEnd w:id="260"/>
      <w:bookmarkEnd w:id="261"/>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auto"/>
          <w:kern w:val="0"/>
          <w:sz w:val="21"/>
          <w:szCs w:val="21"/>
          <w:highlight w:val="none"/>
          <w:lang w:val="en-US" w:eastAsia="zh-CN"/>
        </w:rPr>
        <w:t>9.1</w:t>
      </w: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u w:val="single"/>
        </w:rPr>
        <w:sym w:font="Wingdings 2" w:char="00A3"/>
      </w:r>
      <w:r>
        <w:rPr>
          <w:rFonts w:hint="eastAsia" w:ascii="宋体" w:hAnsi="宋体" w:eastAsia="宋体" w:cs="宋体"/>
          <w:color w:val="auto"/>
          <w:kern w:val="0"/>
          <w:sz w:val="21"/>
          <w:szCs w:val="21"/>
          <w:highlight w:val="none"/>
          <w:u w:val="single"/>
        </w:rPr>
        <w:t>需要/</w:t>
      </w:r>
      <w:r>
        <w:rPr>
          <w:rFonts w:hint="eastAsia" w:ascii="宋体" w:hAnsi="宋体" w:eastAsia="宋体" w:cs="宋体"/>
          <w:color w:val="auto"/>
          <w:kern w:val="0"/>
          <w:sz w:val="21"/>
          <w:szCs w:val="21"/>
          <w:highlight w:val="none"/>
          <w:u w:val="single"/>
        </w:rPr>
        <w:sym w:font="Wingdings 2" w:char="0052"/>
      </w:r>
      <w:r>
        <w:rPr>
          <w:rFonts w:hint="eastAsia" w:ascii="宋体" w:hAnsi="宋体" w:eastAsia="宋体" w:cs="宋体"/>
          <w:color w:val="auto"/>
          <w:kern w:val="0"/>
          <w:sz w:val="21"/>
          <w:szCs w:val="21"/>
          <w:highlight w:val="none"/>
          <w:u w:val="single"/>
        </w:rPr>
        <w:t>不需要</w:t>
      </w:r>
      <w:r>
        <w:rPr>
          <w:rFonts w:hint="eastAsia" w:ascii="宋体" w:hAnsi="宋体" w:eastAsia="宋体" w:cs="宋体"/>
          <w:color w:val="auto"/>
          <w:kern w:val="0"/>
          <w:sz w:val="21"/>
          <w:szCs w:val="21"/>
          <w:highlight w:val="none"/>
        </w:rPr>
        <w:t>提供履约担保。</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履约担保是办理付款的必要条件之一，乙方应在本合同签订后15个工作日内提供履约担保。</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w:t>
      </w:r>
      <w:r>
        <w:rPr>
          <w:rFonts w:hint="eastAsia" w:ascii="宋体" w:hAnsi="宋体" w:eastAsia="宋体" w:cs="宋体"/>
          <w:color w:val="000000"/>
          <w:sz w:val="21"/>
          <w:szCs w:val="21"/>
          <w:lang w:val="en-US" w:eastAsia="zh-CN"/>
        </w:rPr>
        <w:t xml:space="preserve">3 </w:t>
      </w:r>
      <w:r>
        <w:rPr>
          <w:rFonts w:hint="eastAsia" w:ascii="宋体" w:hAnsi="宋体" w:eastAsia="宋体" w:cs="宋体"/>
          <w:color w:val="000000"/>
          <w:sz w:val="21"/>
          <w:szCs w:val="21"/>
        </w:rPr>
        <w:t>履约担保用于补偿甲方因乙方不能完成其合同义务而蒙受的损失。</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w:t>
      </w:r>
      <w:r>
        <w:rPr>
          <w:rFonts w:hint="eastAsia" w:ascii="宋体" w:hAnsi="宋体" w:eastAsia="宋体" w:cs="宋体"/>
          <w:color w:val="000000"/>
          <w:sz w:val="21"/>
          <w:szCs w:val="21"/>
          <w:lang w:val="en-US" w:eastAsia="zh-CN"/>
        </w:rPr>
        <w:t xml:space="preserve">4 </w:t>
      </w:r>
      <w:r>
        <w:rPr>
          <w:rFonts w:hint="eastAsia" w:ascii="宋体" w:hAnsi="宋体" w:eastAsia="宋体" w:cs="宋体"/>
          <w:color w:val="000000"/>
          <w:sz w:val="21"/>
          <w:szCs w:val="21"/>
        </w:rPr>
        <w:t>乙方提供履约担保的形式、金额及期限可采用以下方式</w:t>
      </w:r>
      <w:r>
        <w:rPr>
          <w:rFonts w:hint="eastAsia" w:ascii="宋体" w:hAnsi="宋体" w:eastAsia="宋体" w:cs="宋体"/>
          <w:color w:val="000000"/>
          <w:sz w:val="21"/>
          <w:szCs w:val="21"/>
          <w:lang w:eastAsia="zh-CN"/>
        </w:rPr>
        <w:t>之一</w:t>
      </w:r>
      <w:r>
        <w:rPr>
          <w:rFonts w:hint="eastAsia" w:ascii="宋体" w:hAnsi="宋体" w:eastAsia="宋体" w:cs="宋体"/>
          <w:color w:val="000000"/>
          <w:sz w:val="21"/>
          <w:szCs w:val="21"/>
        </w:rPr>
        <w:t>：</w:t>
      </w:r>
    </w:p>
    <w:p>
      <w:pPr>
        <w:adjustRightInd w:val="0"/>
        <w:snapToGrid w:val="0"/>
        <w:spacing w:line="360" w:lineRule="auto"/>
        <w:ind w:left="15" w:leftChars="7" w:firstLine="352" w:firstLineChars="168"/>
        <w:rPr>
          <w:rFonts w:hint="eastAsia" w:ascii="宋体" w:hAnsi="宋体" w:eastAsia="宋体" w:cs="宋体"/>
          <w:color w:val="000000"/>
          <w:sz w:val="21"/>
          <w:szCs w:val="21"/>
        </w:rPr>
      </w:pPr>
      <w:r>
        <w:rPr>
          <w:rFonts w:hint="eastAsia" w:ascii="宋体" w:hAnsi="宋体" w:eastAsia="宋体" w:cs="宋体"/>
          <w:color w:val="000000"/>
          <w:sz w:val="21"/>
          <w:szCs w:val="21"/>
        </w:rPr>
        <w:t>（1）采用银行履约保函形式，银行履约保函的担保额度为签约合同价的</w:t>
      </w:r>
      <w:r>
        <w:rPr>
          <w:rFonts w:hint="eastAsia" w:ascii="宋体" w:hAnsi="宋体" w:eastAsia="宋体" w:cs="宋体"/>
          <w:color w:val="000000"/>
          <w:sz w:val="21"/>
          <w:szCs w:val="21"/>
          <w:u w:val="single"/>
        </w:rPr>
        <w:t>10%</w:t>
      </w:r>
      <w:r>
        <w:rPr>
          <w:rFonts w:hint="eastAsia" w:ascii="宋体" w:hAnsi="宋体" w:eastAsia="宋体" w:cs="宋体"/>
          <w:color w:val="000000"/>
          <w:sz w:val="21"/>
          <w:szCs w:val="21"/>
        </w:rPr>
        <w:t>，担保期限为自保函生效之日起至合同约定的供货、安装、调试</w:t>
      </w:r>
      <w:r>
        <w:rPr>
          <w:rFonts w:hint="eastAsia" w:ascii="宋体" w:hAnsi="宋体" w:eastAsia="宋体" w:cs="宋体"/>
          <w:color w:val="000000"/>
          <w:sz w:val="21"/>
          <w:szCs w:val="21"/>
          <w:lang w:eastAsia="zh-CN"/>
        </w:rPr>
        <w:t>、安装、验收</w:t>
      </w:r>
      <w:r>
        <w:rPr>
          <w:rFonts w:hint="eastAsia" w:ascii="宋体" w:hAnsi="宋体" w:eastAsia="宋体" w:cs="宋体"/>
          <w:color w:val="000000"/>
          <w:sz w:val="21"/>
          <w:szCs w:val="21"/>
        </w:rPr>
        <w:t>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（2）采用现金形式，现金担保额度为签约合同价的</w:t>
      </w:r>
      <w:r>
        <w:rPr>
          <w:rFonts w:hint="eastAsia" w:ascii="宋体" w:hAnsi="宋体" w:eastAsia="宋体" w:cs="宋体"/>
          <w:color w:val="000000"/>
          <w:sz w:val="21"/>
          <w:szCs w:val="21"/>
          <w:u w:val="single"/>
        </w:rPr>
        <w:t>10%</w:t>
      </w:r>
      <w:r>
        <w:rPr>
          <w:rFonts w:hint="eastAsia" w:ascii="宋体" w:hAnsi="宋体" w:eastAsia="宋体" w:cs="宋体"/>
          <w:color w:val="000000"/>
          <w:sz w:val="21"/>
          <w:szCs w:val="21"/>
        </w:rPr>
        <w:t>，担保期限为履约保证金到账之日起至合同约定执行计划中供货、安装、调试</w:t>
      </w:r>
      <w:r>
        <w:rPr>
          <w:rFonts w:hint="eastAsia" w:ascii="宋体" w:hAnsi="宋体" w:eastAsia="宋体" w:cs="宋体"/>
          <w:color w:val="000000"/>
          <w:sz w:val="21"/>
          <w:szCs w:val="21"/>
          <w:lang w:eastAsia="zh-CN"/>
        </w:rPr>
        <w:t>、安装、验收</w:t>
      </w:r>
      <w:r>
        <w:rPr>
          <w:rFonts w:hint="eastAsia" w:ascii="宋体" w:hAnsi="宋体" w:eastAsia="宋体" w:cs="宋体"/>
          <w:color w:val="000000"/>
          <w:sz w:val="21"/>
          <w:szCs w:val="21"/>
        </w:rPr>
        <w:t>最晚之日止。履约担保以现金形式提交的，乙方应从其基本账户通过转帐或电汇至甲方指定的账户</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rPr>
        <w:t>户名：</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；开户行：</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；账号：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在乙方完成其合同义务包括任何保证义务后，甲方将把履约担保无息退还乙方。</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62" w:name="_Toc27687"/>
      <w:bookmarkStart w:id="263" w:name="_Toc954"/>
      <w:bookmarkStart w:id="264" w:name="_Toc21521"/>
      <w:bookmarkStart w:id="265" w:name="_Toc30642"/>
      <w:bookmarkStart w:id="266" w:name="_Toc14363"/>
      <w:bookmarkStart w:id="267" w:name="_Toc6612"/>
      <w:bookmarkStart w:id="268" w:name="_Toc23421"/>
      <w:bookmarkStart w:id="269" w:name="_Toc14564"/>
      <w:bookmarkStart w:id="270" w:name="_Toc9922"/>
      <w:r>
        <w:rPr>
          <w:rFonts w:hint="eastAsia" w:ascii="宋体" w:hAnsi="宋体" w:eastAsia="宋体" w:cs="宋体"/>
          <w:b/>
          <w:color w:val="000000"/>
          <w:sz w:val="21"/>
          <w:szCs w:val="21"/>
        </w:rPr>
        <w:t>10.知识产权保护</w:t>
      </w:r>
      <w:bookmarkEnd w:id="262"/>
      <w:bookmarkEnd w:id="263"/>
      <w:bookmarkEnd w:id="264"/>
      <w:bookmarkEnd w:id="265"/>
      <w:bookmarkEnd w:id="266"/>
      <w:bookmarkEnd w:id="267"/>
      <w:bookmarkEnd w:id="268"/>
      <w:bookmarkEnd w:id="269"/>
      <w:bookmarkEnd w:id="270"/>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10.1 乙方对其所销售的物资应当享有知识产权或经权利人合法授权，保证没有侵犯任何第三人的知识产权和商业秘密等权利。</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10.3 甲方委托乙方开发的产品，甲方享有知识产权，未经甲方许可不得转让任何第三人。</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71" w:name="_Toc3751"/>
      <w:bookmarkStart w:id="272" w:name="_Toc14362"/>
      <w:bookmarkStart w:id="273" w:name="_Toc27218"/>
      <w:bookmarkStart w:id="274" w:name="_Toc5630"/>
      <w:bookmarkStart w:id="275" w:name="_Toc29356"/>
      <w:bookmarkStart w:id="276" w:name="_Toc24890"/>
      <w:bookmarkStart w:id="277" w:name="_Toc2479"/>
      <w:bookmarkStart w:id="278" w:name="_Toc29447"/>
      <w:bookmarkStart w:id="279" w:name="_Toc12039"/>
      <w:r>
        <w:rPr>
          <w:rFonts w:hint="eastAsia" w:ascii="宋体" w:hAnsi="宋体" w:eastAsia="宋体" w:cs="宋体"/>
          <w:b/>
          <w:color w:val="000000"/>
          <w:sz w:val="21"/>
          <w:szCs w:val="21"/>
        </w:rPr>
        <w:t>11.保密义务</w:t>
      </w:r>
      <w:bookmarkEnd w:id="271"/>
      <w:bookmarkEnd w:id="272"/>
      <w:bookmarkEnd w:id="273"/>
      <w:bookmarkEnd w:id="274"/>
      <w:bookmarkEnd w:id="275"/>
      <w:bookmarkEnd w:id="276"/>
      <w:bookmarkEnd w:id="277"/>
      <w:bookmarkEnd w:id="278"/>
      <w:bookmarkEnd w:id="279"/>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11.1 甲、乙双方在采购和履行合同过程中所获悉的对方属于保密的内容，双方均有保密义务。</w:t>
      </w:r>
    </w:p>
    <w:p>
      <w:pPr>
        <w:tabs>
          <w:tab w:val="left" w:pos="1248"/>
        </w:tabs>
        <w:adjustRightInd w:val="0"/>
        <w:snapToGrid w:val="0"/>
        <w:spacing w:line="360" w:lineRule="auto"/>
        <w:ind w:firstLine="422" w:firstLineChars="200"/>
        <w:outlineLvl w:val="1"/>
        <w:rPr>
          <w:rFonts w:hint="eastAsia" w:ascii="宋体" w:hAnsi="宋体" w:eastAsia="宋体" w:cs="宋体"/>
          <w:color w:val="000000"/>
          <w:sz w:val="21"/>
          <w:szCs w:val="21"/>
        </w:rPr>
      </w:pPr>
      <w:bookmarkStart w:id="280" w:name="_Toc21290"/>
      <w:bookmarkStart w:id="281" w:name="_Toc9913"/>
      <w:bookmarkStart w:id="282" w:name="_Toc3485"/>
      <w:bookmarkStart w:id="283" w:name="_Toc26550"/>
      <w:bookmarkStart w:id="284" w:name="_Toc15152"/>
      <w:bookmarkStart w:id="285" w:name="_Toc11812"/>
      <w:bookmarkStart w:id="286" w:name="_Toc8534"/>
      <w:bookmarkStart w:id="287" w:name="_Toc16962"/>
      <w:bookmarkStart w:id="288" w:name="_Toc241"/>
      <w:r>
        <w:rPr>
          <w:rFonts w:hint="eastAsia" w:ascii="宋体" w:hAnsi="宋体" w:eastAsia="宋体" w:cs="宋体"/>
          <w:b/>
          <w:color w:val="000000"/>
          <w:sz w:val="21"/>
          <w:szCs w:val="21"/>
        </w:rPr>
        <w:t>12.服务</w:t>
      </w:r>
      <w:bookmarkEnd w:id="280"/>
      <w:bookmarkEnd w:id="281"/>
      <w:bookmarkEnd w:id="282"/>
      <w:bookmarkEnd w:id="283"/>
      <w:bookmarkEnd w:id="284"/>
      <w:bookmarkEnd w:id="285"/>
      <w:bookmarkEnd w:id="286"/>
      <w:bookmarkEnd w:id="287"/>
      <w:bookmarkEnd w:id="288"/>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12.2 乙方还应提供下列服务：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（1）物资的现场移动、安装调试（如果有）、安装督导（如果有）及技术支持；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（2）提供物资组装和维修所需的专用工具和辅助材料（如果有）；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（3）在制造商或项目现场就物资的安装、启动、运营、维护对甲方操作人员进行培训（如果有）；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（4）</w:t>
      </w:r>
      <w:r>
        <w:rPr>
          <w:rFonts w:hint="eastAsia" w:ascii="宋体" w:hAnsi="宋体" w:eastAsia="宋体" w:cs="宋体"/>
          <w:color w:val="000000"/>
          <w:sz w:val="21"/>
          <w:szCs w:val="21"/>
          <w:u w:val="single"/>
          <w:lang w:eastAsia="zh-CN"/>
        </w:rPr>
        <w:t>用户需求书/技术规格书</w:t>
      </w:r>
      <w:r>
        <w:rPr>
          <w:rFonts w:hint="eastAsia" w:ascii="宋体" w:hAnsi="宋体" w:eastAsia="宋体" w:cs="宋体"/>
          <w:color w:val="000000"/>
          <w:sz w:val="21"/>
          <w:szCs w:val="21"/>
        </w:rPr>
        <w:t>规定的其他服务。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12.3 乙方提供服务的费用均已包含在合同价中，甲方不再另行支付。</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89" w:name="_Toc4864"/>
      <w:bookmarkStart w:id="290" w:name="_Toc32735"/>
      <w:bookmarkStart w:id="291" w:name="_Toc31489"/>
      <w:bookmarkStart w:id="292" w:name="_Toc21849"/>
      <w:bookmarkStart w:id="293" w:name="_Toc27596"/>
      <w:bookmarkStart w:id="294" w:name="_Toc12107"/>
      <w:bookmarkStart w:id="295" w:name="_Toc22088"/>
      <w:bookmarkStart w:id="296" w:name="_Toc19356"/>
      <w:bookmarkStart w:id="297" w:name="_Toc2316"/>
      <w:r>
        <w:rPr>
          <w:rFonts w:hint="eastAsia" w:ascii="宋体" w:hAnsi="宋体" w:eastAsia="宋体" w:cs="宋体"/>
          <w:b/>
          <w:color w:val="000000"/>
          <w:sz w:val="21"/>
          <w:szCs w:val="21"/>
        </w:rPr>
        <w:t>13.违约及赔偿责任</w:t>
      </w:r>
      <w:bookmarkEnd w:id="289"/>
      <w:bookmarkEnd w:id="290"/>
      <w:bookmarkEnd w:id="291"/>
      <w:bookmarkEnd w:id="292"/>
      <w:bookmarkEnd w:id="293"/>
      <w:bookmarkEnd w:id="294"/>
      <w:bookmarkEnd w:id="295"/>
      <w:bookmarkEnd w:id="296"/>
      <w:bookmarkEnd w:id="297"/>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bookmarkStart w:id="298" w:name="_Toc14452"/>
      <w:bookmarkStart w:id="299" w:name="_Toc1962"/>
      <w:bookmarkStart w:id="300" w:name="_Toc22360"/>
      <w:bookmarkStart w:id="301" w:name="_Toc12516"/>
      <w:bookmarkStart w:id="302" w:name="_Toc19246"/>
      <w:bookmarkStart w:id="303" w:name="_Toc11284"/>
      <w:bookmarkStart w:id="304" w:name="_Toc28715"/>
      <w:bookmarkStart w:id="305" w:name="_Toc18515"/>
      <w:r>
        <w:rPr>
          <w:rFonts w:hint="eastAsia" w:ascii="宋体" w:hAnsi="宋体" w:eastAsia="宋体" w:cs="宋体"/>
          <w:color w:val="000000"/>
          <w:sz w:val="21"/>
          <w:szCs w:val="21"/>
        </w:rPr>
        <w:t>13.1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迟延交货的违约责任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应按照本合同规定的时间、地点交货和提供服务。在履行合同过程中，如果乙方遇到可能妨碍按时交货和提供服务的情形时，应及时以书面形式将迟延的事实、可能迟延的期限和理由通知甲方。甲方在收到</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乙方通知后，应尽快对情况进行评价，并确定是否同意迟延交货时间或延期提供服务。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（2）除甲方书面同意延迟到货外，如乙方</w:t>
      </w:r>
      <w:r>
        <w:rPr>
          <w:rFonts w:hint="eastAsia" w:ascii="宋体" w:hAnsi="宋体" w:eastAsia="宋体" w:cs="宋体"/>
          <w:color w:val="000000"/>
          <w:sz w:val="21"/>
          <w:szCs w:val="21"/>
          <w:lang w:eastAsia="zh-CN"/>
        </w:rPr>
        <w:t>未</w:t>
      </w:r>
      <w:r>
        <w:rPr>
          <w:rFonts w:hint="eastAsia" w:ascii="宋体" w:hAnsi="宋体" w:eastAsia="宋体" w:cs="宋体"/>
          <w:color w:val="000000"/>
          <w:sz w:val="21"/>
          <w:szCs w:val="21"/>
        </w:rPr>
        <w:t>按照合同规定的时间交货，每延误一天乙方应按</w:t>
      </w:r>
      <w:r>
        <w:rPr>
          <w:rFonts w:hint="eastAsia" w:ascii="宋体" w:hAnsi="宋体" w:eastAsia="宋体" w:cs="宋体"/>
          <w:color w:val="000000"/>
          <w:sz w:val="21"/>
          <w:szCs w:val="21"/>
          <w:lang w:eastAsia="zh-CN"/>
        </w:rPr>
        <w:t>签约合同价</w:t>
      </w:r>
      <w:r>
        <w:rPr>
          <w:rFonts w:hint="eastAsia" w:ascii="宋体" w:hAnsi="宋体" w:eastAsia="宋体" w:cs="宋体"/>
          <w:color w:val="000000"/>
          <w:sz w:val="21"/>
          <w:szCs w:val="21"/>
        </w:rPr>
        <w:t>的5‰向甲方</w:t>
      </w:r>
      <w:r>
        <w:rPr>
          <w:rFonts w:hint="eastAsia" w:ascii="宋体" w:hAnsi="宋体" w:eastAsia="宋体" w:cs="宋体"/>
          <w:color w:val="000000"/>
          <w:sz w:val="21"/>
          <w:szCs w:val="21"/>
          <w:lang w:eastAsia="zh-CN"/>
        </w:rPr>
        <w:t>支付</w:t>
      </w:r>
      <w:r>
        <w:rPr>
          <w:rFonts w:hint="eastAsia" w:ascii="宋体" w:hAnsi="宋体" w:eastAsia="宋体" w:cs="宋体"/>
          <w:color w:val="000000"/>
          <w:sz w:val="21"/>
          <w:szCs w:val="21"/>
        </w:rPr>
        <w:t>违约金，违约金最高不超过签约合同价的10%。当延迟交货时间超过20天，甲方有权解除合同并要求乙方承担签约合同价的10%的违约金。</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服务不合格违约</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1）乙方应做好物资的售后服务，及时妥善处理各类缺陷或故障。甲方发出通知后，乙方人员未能按</w:t>
      </w:r>
      <w:r>
        <w:rPr>
          <w:rFonts w:hint="eastAsia" w:ascii="宋体" w:hAnsi="宋体" w:eastAsia="宋体" w:cs="宋体"/>
          <w:color w:val="000000"/>
          <w:sz w:val="21"/>
          <w:szCs w:val="21"/>
          <w:lang w:eastAsia="zh-CN"/>
        </w:rPr>
        <w:t>通知要求</w:t>
      </w:r>
      <w:r>
        <w:rPr>
          <w:rFonts w:hint="eastAsia" w:ascii="宋体" w:hAnsi="宋体" w:eastAsia="宋体" w:cs="宋体"/>
          <w:color w:val="000000"/>
          <w:sz w:val="21"/>
          <w:szCs w:val="21"/>
        </w:rPr>
        <w:t>时间作出响应、到达现场、更换或免费维修有缺陷的物资或部件的，则乙方应向甲方支付人民币1000元/次的违约金。</w:t>
      </w:r>
    </w:p>
    <w:p>
      <w:pPr>
        <w:tabs>
          <w:tab w:val="left" w:pos="1248"/>
        </w:tabs>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13.3</w:t>
      </w:r>
      <w:r>
        <w:rPr>
          <w:rFonts w:hint="eastAsia" w:ascii="宋体" w:hAnsi="宋体" w:eastAsia="宋体" w:cs="宋体"/>
          <w:color w:val="auto"/>
          <w:sz w:val="21"/>
          <w:szCs w:val="21"/>
          <w:lang w:val="en-US" w:eastAsia="zh-CN"/>
        </w:rPr>
        <w:t xml:space="preserve"> 违约金以现金或转账方式缴纳或从合同应付款项中扣除。甲方开具收款收据、不提供发票，乙方不得因此冲减增值税专用发票金额。</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w:t>
      </w:r>
      <w:r>
        <w:rPr>
          <w:rFonts w:hint="eastAsia" w:ascii="宋体" w:hAnsi="宋体" w:eastAsia="宋体" w:cs="宋体"/>
          <w:color w:val="000000"/>
          <w:sz w:val="21"/>
          <w:szCs w:val="21"/>
          <w:lang w:val="en-US" w:eastAsia="zh-CN"/>
        </w:rPr>
        <w:t xml:space="preserve">7 </w:t>
      </w:r>
      <w:r>
        <w:rPr>
          <w:rFonts w:hint="eastAsia" w:ascii="宋体" w:hAnsi="宋体" w:eastAsia="宋体" w:cs="宋体"/>
          <w:color w:val="000000"/>
          <w:sz w:val="21"/>
          <w:szCs w:val="21"/>
        </w:rPr>
        <w:t>赔偿责任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（1）乙方包装货物时未尽到合理注意义务，导致货物毁损或灭失的，由乙方承担赔偿责任。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（2）发生因乙方违约导致甲方损失的，乙方除承担本合同约定的违约金外，同时一并承担由此给甲方造成的损失。</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（3）乙方未履行保密义务给甲方或任何第三方造成损失的，乙方应承担相应的赔偿责任。</w:t>
      </w:r>
    </w:p>
    <w:p>
      <w:pPr>
        <w:tabs>
          <w:tab w:val="left" w:pos="1248"/>
        </w:tabs>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如因使用乙方供应的物资造成甲方或第三方人身、财产损失的，乙方应承担因此而产生的全部赔偿责任（包括但不限于损失赔偿，因此而发生的调查费、技术鉴定费、仲裁或诉讼费、处理索赔事宜所支付开支，以及甲方因此而发生的律师费用及其他与之相关的所有费用。） </w:t>
      </w:r>
    </w:p>
    <w:p>
      <w:pPr>
        <w:snapToGrid w:val="0"/>
        <w:spacing w:line="360" w:lineRule="auto"/>
        <w:ind w:firstLine="480"/>
        <w:outlineLvl w:val="1"/>
        <w:rPr>
          <w:rFonts w:hint="eastAsia" w:ascii="宋体" w:hAnsi="宋体" w:eastAsia="宋体" w:cs="宋体"/>
          <w:b/>
          <w:color w:val="auto"/>
          <w:sz w:val="21"/>
          <w:szCs w:val="21"/>
        </w:rPr>
      </w:pPr>
      <w:bookmarkStart w:id="306" w:name="_Toc30264"/>
      <w:r>
        <w:rPr>
          <w:rFonts w:hint="eastAsia" w:ascii="宋体" w:hAnsi="宋体" w:eastAsia="宋体" w:cs="宋体"/>
          <w:b/>
          <w:color w:val="auto"/>
          <w:sz w:val="21"/>
          <w:szCs w:val="21"/>
        </w:rPr>
        <w:t>14.合同解除</w:t>
      </w:r>
      <w:bookmarkEnd w:id="298"/>
      <w:bookmarkEnd w:id="299"/>
      <w:bookmarkEnd w:id="300"/>
      <w:bookmarkEnd w:id="301"/>
      <w:bookmarkEnd w:id="302"/>
      <w:bookmarkEnd w:id="303"/>
      <w:bookmarkEnd w:id="304"/>
      <w:bookmarkEnd w:id="305"/>
      <w:bookmarkEnd w:id="306"/>
    </w:p>
    <w:p>
      <w:pPr>
        <w:snapToGrid w:val="0"/>
        <w:spacing w:line="360" w:lineRule="auto"/>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14.1本合同一经签订，双方不得擅自变更、解除合同。因一方无故单方面全部/部分解除合同，违约方应向守约方支付未履行部分的合同价20%违约金并赔偿由此给守约方造成的一切损失</w:t>
      </w:r>
      <w:r>
        <w:rPr>
          <w:rFonts w:hint="eastAsia" w:ascii="宋体" w:hAnsi="宋体" w:eastAsia="宋体" w:cs="宋体"/>
          <w:color w:val="000000"/>
          <w:sz w:val="21"/>
          <w:szCs w:val="21"/>
          <w:lang w:eastAsia="zh-CN"/>
        </w:rPr>
        <w:t>。</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14.2有下列情形之一的，合同当事人一方或双方可以解除合同：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（1）乙方将本合同约定的物资及服务工作全部或部分转包给他人，甲方可以解除合同；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（2）乙方提供的物资及服务不符合合同约定的要求，经甲方催告仍不能达到合同约定要求的，甲方可以解除合同；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（3）因不可抗力致使合同无法履行；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（4）因一方违约致使合同无法实际履行或实际履行已无必要。</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（5）乙方有任何与本工程相关单位/人员恶意串通的行为，甲方有权立即解除本合同。</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（6）违约金总额超过签约合同价的10%，甲方有权解除合同。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14.3任何一方提出解除合同的，应提前15天书面通知对方。若因乙方违约，造成甲方行使解除合同权时不受此约束。</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14.4合同解除后，甲方应按照合同约定向乙方支付已完成部分的酬金。</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14.5本合同解除后，本合同约定的有关结算、争议解决方式的条款仍然有效。</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14.6因不可抗力导致的合同解除，双方约定损失的分担如下：</w:t>
      </w:r>
      <w:r>
        <w:rPr>
          <w:rFonts w:hint="eastAsia" w:ascii="宋体" w:hAnsi="宋体" w:eastAsia="宋体" w:cs="宋体"/>
          <w:color w:val="000000"/>
          <w:sz w:val="21"/>
          <w:szCs w:val="21"/>
          <w:u w:val="single"/>
        </w:rPr>
        <w:t>双方各自承担自身的损失</w:t>
      </w:r>
      <w:r>
        <w:rPr>
          <w:rFonts w:hint="eastAsia" w:ascii="宋体" w:hAnsi="宋体" w:eastAsia="宋体" w:cs="宋体"/>
          <w:color w:val="000000"/>
          <w:sz w:val="21"/>
          <w:szCs w:val="21"/>
        </w:rPr>
        <w:t>。</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14.7发生因乙方自身原因导致的合同解除的任一情形，甲方可向乙方发出解除合同通知，解除部分或全部合同。解除部分合同的，甲方可以按适当的条件和方式采购由于乙方未交付部分的物资及服务产品；乙方应承担甲方采购该部分物资及服务产品所发生的实际费用并继续履行合同中未解除的部分。</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307" w:name="_Toc31067"/>
      <w:bookmarkStart w:id="308" w:name="_Toc23757"/>
      <w:bookmarkStart w:id="309" w:name="_Toc25278"/>
      <w:bookmarkStart w:id="310" w:name="_Toc10068"/>
      <w:bookmarkStart w:id="311" w:name="_Toc22207"/>
      <w:bookmarkStart w:id="312" w:name="_Toc11101"/>
      <w:bookmarkStart w:id="313" w:name="_Toc9472"/>
      <w:bookmarkStart w:id="314" w:name="_Toc22544"/>
      <w:bookmarkStart w:id="315" w:name="_Toc24856"/>
      <w:r>
        <w:rPr>
          <w:rFonts w:hint="eastAsia" w:ascii="宋体" w:hAnsi="宋体" w:eastAsia="宋体" w:cs="宋体"/>
          <w:b/>
          <w:color w:val="000000"/>
          <w:sz w:val="21"/>
          <w:szCs w:val="21"/>
        </w:rPr>
        <w:t>15.合同终止</w:t>
      </w:r>
      <w:bookmarkEnd w:id="307"/>
      <w:bookmarkEnd w:id="308"/>
      <w:bookmarkEnd w:id="309"/>
      <w:bookmarkEnd w:id="310"/>
      <w:bookmarkEnd w:id="311"/>
      <w:bookmarkEnd w:id="312"/>
      <w:bookmarkEnd w:id="313"/>
      <w:bookmarkEnd w:id="314"/>
      <w:bookmarkEnd w:id="315"/>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除合同解除外，以下条件全部满足时，本合同终止：</w:t>
      </w:r>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（1）乙方完成本合同约定的全部工作；</w:t>
      </w:r>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（2）甲方与乙方结清并支付酬金；</w:t>
      </w:r>
    </w:p>
    <w:p>
      <w:pPr>
        <w:snapToGrid w:val="0"/>
        <w:spacing w:line="360" w:lineRule="auto"/>
        <w:ind w:firstLine="465"/>
        <w:rPr>
          <w:rFonts w:hint="eastAsia" w:ascii="宋体" w:hAnsi="宋体" w:eastAsia="宋体" w:cs="宋体"/>
          <w:color w:val="000000"/>
          <w:sz w:val="21"/>
          <w:szCs w:val="21"/>
        </w:rPr>
      </w:pPr>
      <w:r>
        <w:rPr>
          <w:rFonts w:hint="eastAsia" w:ascii="宋体" w:hAnsi="宋体" w:eastAsia="宋体" w:cs="宋体"/>
          <w:color w:val="000000"/>
          <w:sz w:val="21"/>
          <w:szCs w:val="21"/>
        </w:rPr>
        <w:t>（3）乙方将甲方提供的资料交还。</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316" w:name="_Toc11314"/>
      <w:bookmarkStart w:id="317" w:name="_Toc27613"/>
      <w:bookmarkStart w:id="318" w:name="_Toc10559"/>
      <w:bookmarkStart w:id="319" w:name="_Toc23697"/>
      <w:bookmarkStart w:id="320" w:name="_Toc10744"/>
      <w:bookmarkStart w:id="321" w:name="_Toc11940"/>
      <w:bookmarkStart w:id="322" w:name="_Toc13622"/>
      <w:bookmarkStart w:id="323" w:name="_Toc25295"/>
      <w:bookmarkStart w:id="324" w:name="_Toc2372"/>
      <w:r>
        <w:rPr>
          <w:rFonts w:hint="eastAsia" w:ascii="宋体" w:hAnsi="宋体" w:eastAsia="宋体" w:cs="宋体"/>
          <w:b/>
          <w:color w:val="000000"/>
          <w:sz w:val="21"/>
          <w:szCs w:val="21"/>
        </w:rPr>
        <w:t>16.合同转包和分包</w:t>
      </w:r>
      <w:bookmarkEnd w:id="316"/>
      <w:bookmarkEnd w:id="317"/>
      <w:bookmarkEnd w:id="318"/>
      <w:bookmarkEnd w:id="319"/>
      <w:bookmarkEnd w:id="320"/>
      <w:bookmarkEnd w:id="321"/>
      <w:bookmarkEnd w:id="322"/>
      <w:bookmarkEnd w:id="323"/>
      <w:bookmarkEnd w:id="324"/>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16.1 乙方不得以任何形式将合同转包、分包。</w:t>
      </w:r>
    </w:p>
    <w:p>
      <w:pPr>
        <w:tabs>
          <w:tab w:val="left" w:pos="1248"/>
        </w:tabs>
        <w:adjustRightInd w:val="0"/>
        <w:snapToGrid w:val="0"/>
        <w:spacing w:line="360" w:lineRule="auto"/>
        <w:ind w:firstLine="422" w:firstLineChars="200"/>
        <w:outlineLvl w:val="1"/>
        <w:rPr>
          <w:rFonts w:hint="eastAsia" w:ascii="宋体" w:hAnsi="宋体" w:eastAsia="宋体" w:cs="宋体"/>
          <w:color w:val="000000"/>
          <w:sz w:val="21"/>
          <w:szCs w:val="21"/>
        </w:rPr>
      </w:pPr>
      <w:bookmarkStart w:id="325" w:name="_Toc8337"/>
      <w:bookmarkStart w:id="326" w:name="_Toc26780"/>
      <w:bookmarkStart w:id="327" w:name="_Toc28320"/>
      <w:bookmarkStart w:id="328" w:name="_Toc26273"/>
      <w:bookmarkStart w:id="329" w:name="_Toc4300"/>
      <w:bookmarkStart w:id="330" w:name="_Toc9629"/>
      <w:bookmarkStart w:id="331" w:name="_Toc1706"/>
      <w:bookmarkStart w:id="332" w:name="_Toc9934"/>
      <w:bookmarkStart w:id="333" w:name="_Toc4228"/>
      <w:r>
        <w:rPr>
          <w:rFonts w:hint="eastAsia" w:ascii="宋体" w:hAnsi="宋体" w:eastAsia="宋体" w:cs="宋体"/>
          <w:b/>
          <w:color w:val="000000"/>
          <w:sz w:val="21"/>
          <w:szCs w:val="21"/>
        </w:rPr>
        <w:t>17.不可抗力</w:t>
      </w:r>
      <w:bookmarkEnd w:id="325"/>
      <w:bookmarkEnd w:id="326"/>
      <w:bookmarkEnd w:id="327"/>
      <w:bookmarkEnd w:id="328"/>
      <w:bookmarkEnd w:id="329"/>
      <w:bookmarkEnd w:id="330"/>
      <w:bookmarkEnd w:id="331"/>
      <w:bookmarkEnd w:id="332"/>
      <w:bookmarkEnd w:id="333"/>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17.1 不可抗力是指合同双方不可预见、不可避免、不可克服的自然灾害和社会事件。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17.2 任何一方对由于不可抗力造成的部分或全部不能履行合同不承担违约责任。但迟延履行后发生不可抗力的，不能免除责任。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17.3 遇有不可抗力的一方，应在三日内将事件的情况以书面形式通知另一方，并在事件发生后十日内，向另一方提交合同不能履行或部分不能履行或需要延期履行理由的报告。</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334" w:name="_Toc23880"/>
      <w:bookmarkStart w:id="335" w:name="_Toc26207"/>
      <w:bookmarkStart w:id="336" w:name="_Toc19594"/>
      <w:bookmarkStart w:id="337" w:name="_Toc5664"/>
      <w:bookmarkStart w:id="338" w:name="_Toc23682"/>
      <w:bookmarkStart w:id="339" w:name="_Toc29960"/>
      <w:bookmarkStart w:id="340" w:name="_Toc15044"/>
      <w:bookmarkStart w:id="341" w:name="_Toc28196"/>
      <w:bookmarkStart w:id="342" w:name="_Toc32685"/>
      <w:r>
        <w:rPr>
          <w:rFonts w:hint="eastAsia" w:ascii="宋体" w:hAnsi="宋体" w:eastAsia="宋体" w:cs="宋体"/>
          <w:b/>
          <w:color w:val="000000"/>
          <w:sz w:val="21"/>
          <w:szCs w:val="21"/>
        </w:rPr>
        <w:t>18.争议解决</w:t>
      </w:r>
      <w:bookmarkEnd w:id="334"/>
      <w:bookmarkEnd w:id="335"/>
      <w:bookmarkEnd w:id="336"/>
      <w:bookmarkEnd w:id="337"/>
      <w:bookmarkEnd w:id="338"/>
      <w:bookmarkEnd w:id="339"/>
      <w:bookmarkEnd w:id="340"/>
      <w:bookmarkEnd w:id="341"/>
      <w:bookmarkEnd w:id="342"/>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18.1 合同各方应通过友好协商，解决在执行合同过程中所发生的或与合同有关的一切争端。如从协商开始后十日内仍不能解决，任何一方可以向</w:t>
      </w:r>
      <w:r>
        <w:rPr>
          <w:rFonts w:hint="eastAsia" w:ascii="宋体" w:hAnsi="宋体" w:eastAsia="宋体" w:cs="宋体"/>
          <w:color w:val="000000"/>
          <w:sz w:val="21"/>
          <w:szCs w:val="21"/>
          <w:u w:val="single"/>
        </w:rPr>
        <w:t>项目所在地</w:t>
      </w:r>
      <w:r>
        <w:rPr>
          <w:rFonts w:hint="eastAsia" w:ascii="宋体" w:hAnsi="宋体" w:eastAsia="宋体" w:cs="宋体"/>
          <w:color w:val="000000"/>
          <w:sz w:val="21"/>
          <w:szCs w:val="21"/>
        </w:rPr>
        <w:t>人民法院提起诉讼。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18.2 诉讼发生的费用除法院另有判决外均应由败诉方承担。</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18.3如诉讼事项不影响合同其它部分的履行，则在诉讼期间，除正在进行或诉讼的部分外，合同的其它部分应继续执行。</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343" w:name="_Toc24886"/>
      <w:bookmarkStart w:id="344" w:name="_Toc2171"/>
      <w:bookmarkStart w:id="345" w:name="_Toc1225"/>
      <w:bookmarkStart w:id="346" w:name="_Toc7719"/>
      <w:bookmarkStart w:id="347" w:name="_Toc7592"/>
      <w:bookmarkStart w:id="348" w:name="_Toc10887"/>
      <w:bookmarkStart w:id="349" w:name="_Toc7220"/>
      <w:bookmarkStart w:id="350" w:name="_Toc16267"/>
      <w:bookmarkStart w:id="351" w:name="_Toc1622"/>
      <w:r>
        <w:rPr>
          <w:rFonts w:hint="eastAsia" w:ascii="宋体" w:hAnsi="宋体" w:eastAsia="宋体" w:cs="宋体"/>
          <w:b/>
          <w:color w:val="000000"/>
          <w:sz w:val="21"/>
          <w:szCs w:val="21"/>
        </w:rPr>
        <w:t>19.法律适用</w:t>
      </w:r>
      <w:bookmarkEnd w:id="343"/>
      <w:bookmarkEnd w:id="344"/>
      <w:bookmarkEnd w:id="345"/>
      <w:bookmarkEnd w:id="346"/>
      <w:bookmarkEnd w:id="347"/>
      <w:bookmarkEnd w:id="348"/>
      <w:bookmarkEnd w:id="349"/>
      <w:bookmarkEnd w:id="350"/>
      <w:bookmarkEnd w:id="351"/>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19.1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352" w:name="_Toc5295"/>
      <w:bookmarkStart w:id="353" w:name="_Toc20811"/>
      <w:bookmarkStart w:id="354" w:name="_Toc27081"/>
      <w:bookmarkStart w:id="355" w:name="_Toc12376"/>
      <w:bookmarkStart w:id="356" w:name="_Toc6782"/>
      <w:bookmarkStart w:id="357" w:name="_Toc13655"/>
      <w:bookmarkStart w:id="358" w:name="_Toc19687"/>
      <w:bookmarkStart w:id="359" w:name="_Toc5880"/>
      <w:bookmarkStart w:id="360" w:name="_Toc3773"/>
      <w:r>
        <w:rPr>
          <w:rFonts w:hint="eastAsia" w:ascii="宋体" w:hAnsi="宋体" w:eastAsia="宋体" w:cs="宋体"/>
          <w:b/>
          <w:color w:val="000000"/>
          <w:sz w:val="21"/>
          <w:szCs w:val="21"/>
        </w:rPr>
        <w:t>20.通知</w:t>
      </w:r>
      <w:bookmarkEnd w:id="352"/>
      <w:bookmarkEnd w:id="353"/>
      <w:bookmarkEnd w:id="354"/>
      <w:bookmarkEnd w:id="355"/>
      <w:bookmarkEnd w:id="356"/>
      <w:bookmarkEnd w:id="357"/>
      <w:bookmarkEnd w:id="358"/>
      <w:bookmarkEnd w:id="359"/>
      <w:bookmarkEnd w:id="360"/>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20.1本合同一方给另一方的通知均应采用书面形式，传真或快递送到本合同中规定的对方的地址和办理签收手续</w:t>
      </w:r>
      <w:r>
        <w:rPr>
          <w:rFonts w:hint="eastAsia" w:ascii="宋体" w:hAnsi="宋体" w:eastAsia="宋体" w:cs="宋体"/>
          <w:color w:val="000000"/>
          <w:sz w:val="21"/>
          <w:szCs w:val="21"/>
          <w:lang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20.2通知以送到之日或通知书中规定的生效之日起生效，两者中以较迟之日为准。</w:t>
      </w:r>
    </w:p>
    <w:p>
      <w:pPr>
        <w:numPr>
          <w:ilvl w:val="0"/>
          <w:numId w:val="6"/>
        </w:numPr>
        <w:tabs>
          <w:tab w:val="left" w:pos="1248"/>
          <w:tab w:val="clear" w:pos="312"/>
        </w:tabs>
        <w:adjustRightInd w:val="0"/>
        <w:snapToGrid w:val="0"/>
        <w:spacing w:line="360" w:lineRule="auto"/>
        <w:ind w:firstLine="422" w:firstLineChars="200"/>
        <w:outlineLvl w:val="1"/>
        <w:rPr>
          <w:rFonts w:hint="eastAsia" w:ascii="宋体" w:hAnsi="宋体" w:eastAsia="宋体" w:cs="宋体"/>
          <w:b/>
          <w:color w:val="000000"/>
          <w:sz w:val="21"/>
          <w:szCs w:val="21"/>
          <w:lang w:eastAsia="zh-CN"/>
        </w:rPr>
      </w:pPr>
      <w:bookmarkStart w:id="361" w:name="_Toc23407"/>
      <w:bookmarkStart w:id="362" w:name="_Toc24037"/>
      <w:bookmarkStart w:id="363" w:name="_Toc28468"/>
      <w:bookmarkStart w:id="364" w:name="_Toc30795"/>
      <w:bookmarkStart w:id="365" w:name="_Toc21013"/>
      <w:bookmarkStart w:id="366" w:name="_Toc5979"/>
      <w:bookmarkStart w:id="367" w:name="_Toc30611"/>
      <w:bookmarkStart w:id="368" w:name="_Toc27311"/>
      <w:bookmarkStart w:id="369" w:name="_Toc7985"/>
      <w:r>
        <w:rPr>
          <w:rFonts w:hint="eastAsia" w:ascii="宋体" w:hAnsi="宋体" w:eastAsia="宋体" w:cs="宋体"/>
          <w:b/>
          <w:color w:val="000000"/>
          <w:sz w:val="21"/>
          <w:szCs w:val="21"/>
        </w:rPr>
        <w:t>双方约定的其他事项</w:t>
      </w:r>
      <w:bookmarkEnd w:id="361"/>
      <w:bookmarkEnd w:id="362"/>
      <w:bookmarkEnd w:id="363"/>
      <w:bookmarkEnd w:id="364"/>
      <w:bookmarkEnd w:id="365"/>
      <w:bookmarkEnd w:id="366"/>
      <w:bookmarkEnd w:id="367"/>
      <w:bookmarkEnd w:id="368"/>
      <w:r>
        <w:rPr>
          <w:rFonts w:hint="eastAsia" w:ascii="宋体" w:hAnsi="宋体" w:eastAsia="宋体" w:cs="宋体"/>
          <w:b/>
          <w:color w:val="000000"/>
          <w:sz w:val="21"/>
          <w:szCs w:val="21"/>
          <w:lang w:eastAsia="zh-CN"/>
        </w:rPr>
        <w:t>：</w:t>
      </w:r>
      <w:bookmarkEnd w:id="369"/>
      <w:bookmarkStart w:id="370" w:name="_Toc32490"/>
      <w:bookmarkStart w:id="371" w:name="_Toc437444970"/>
      <w:bookmarkStart w:id="372" w:name="_Toc4538"/>
      <w:bookmarkStart w:id="373" w:name="_Toc13822"/>
      <w:bookmarkStart w:id="374" w:name="_Toc9260"/>
      <w:bookmarkStart w:id="375" w:name="_Toc24687"/>
      <w:bookmarkStart w:id="376" w:name="_Toc15353"/>
      <w:bookmarkStart w:id="377" w:name="_Toc24052"/>
      <w:bookmarkStart w:id="378" w:name="_Toc7070"/>
      <w:bookmarkStart w:id="379" w:name="_Toc20427"/>
      <w:bookmarkStart w:id="380" w:name="_Toc29662"/>
    </w:p>
    <w:p>
      <w:pPr>
        <w:pStyle w:val="2"/>
        <w:numPr>
          <w:ilvl w:val="0"/>
          <w:numId w:val="0"/>
        </w:numPr>
        <w:rPr>
          <w:rFonts w:hint="eastAsia" w:ascii="宋体" w:hAnsi="宋体" w:eastAsia="宋体" w:cs="宋体"/>
          <w:sz w:val="21"/>
          <w:szCs w:val="21"/>
          <w:lang w:eastAsia="zh-CN"/>
        </w:rPr>
      </w:pPr>
    </w:p>
    <w:p>
      <w:pPr>
        <w:tabs>
          <w:tab w:val="left" w:pos="1248"/>
        </w:tabs>
        <w:adjustRightInd w:val="0"/>
        <w:snapToGrid w:val="0"/>
        <w:spacing w:line="360" w:lineRule="auto"/>
        <w:ind w:firstLine="632" w:firstLineChars="300"/>
        <w:outlineLvl w:val="1"/>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br w:type="page"/>
      </w:r>
      <w:r>
        <w:rPr>
          <w:rFonts w:hint="eastAsia" w:ascii="宋体" w:hAnsi="宋体" w:eastAsia="宋体" w:cs="宋体"/>
          <w:b/>
          <w:color w:val="000000"/>
          <w:sz w:val="21"/>
          <w:szCs w:val="21"/>
        </w:rPr>
        <w:t>第</w:t>
      </w:r>
      <w:r>
        <w:rPr>
          <w:rFonts w:hint="eastAsia" w:ascii="宋体" w:hAnsi="宋体" w:eastAsia="宋体" w:cs="宋体"/>
          <w:b/>
          <w:color w:val="000000"/>
          <w:sz w:val="21"/>
          <w:szCs w:val="21"/>
          <w:lang w:eastAsia="zh-CN"/>
        </w:rPr>
        <w:t>三</w:t>
      </w:r>
      <w:r>
        <w:rPr>
          <w:rFonts w:hint="eastAsia" w:ascii="宋体" w:hAnsi="宋体" w:eastAsia="宋体" w:cs="宋体"/>
          <w:b/>
          <w:color w:val="000000"/>
          <w:sz w:val="21"/>
          <w:szCs w:val="21"/>
        </w:rPr>
        <w:t xml:space="preserve">部分 </w:t>
      </w:r>
      <w:bookmarkEnd w:id="370"/>
      <w:bookmarkEnd w:id="371"/>
      <w:bookmarkEnd w:id="372"/>
      <w:bookmarkEnd w:id="373"/>
      <w:bookmarkEnd w:id="374"/>
      <w:bookmarkEnd w:id="375"/>
      <w:bookmarkEnd w:id="376"/>
      <w:bookmarkEnd w:id="377"/>
      <w:bookmarkEnd w:id="378"/>
      <w:bookmarkEnd w:id="379"/>
      <w:bookmarkEnd w:id="380"/>
      <w:bookmarkStart w:id="381" w:name="_Toc2997"/>
      <w:bookmarkStart w:id="382" w:name="_Toc319826220"/>
      <w:r>
        <w:rPr>
          <w:rFonts w:hint="eastAsia" w:ascii="宋体" w:hAnsi="宋体" w:eastAsia="宋体" w:cs="宋体"/>
          <w:b/>
          <w:color w:val="000000"/>
          <w:sz w:val="21"/>
          <w:szCs w:val="21"/>
          <w:lang w:eastAsia="zh-CN"/>
        </w:rPr>
        <w:t>用户需求书/技术规格书</w:t>
      </w:r>
    </w:p>
    <w:p>
      <w:pPr>
        <w:tabs>
          <w:tab w:val="left" w:pos="900"/>
        </w:tabs>
        <w:adjustRightInd w:val="0"/>
        <w:snapToGrid w:val="0"/>
        <w:spacing w:line="360" w:lineRule="auto"/>
        <w:jc w:val="center"/>
        <w:textAlignment w:val="baseline"/>
        <w:outlineLvl w:val="0"/>
        <w:rPr>
          <w:rFonts w:hint="eastAsia" w:ascii="宋体" w:hAnsi="宋体" w:eastAsia="宋体" w:cs="宋体"/>
          <w:color w:val="000000"/>
          <w:sz w:val="21"/>
          <w:szCs w:val="21"/>
        </w:rPr>
      </w:pPr>
      <w:r>
        <w:rPr>
          <w:rFonts w:hint="eastAsia" w:ascii="宋体" w:hAnsi="宋体" w:eastAsia="宋体" w:cs="宋体"/>
          <w:b/>
          <w:color w:val="000000"/>
          <w:sz w:val="21"/>
          <w:szCs w:val="21"/>
        </w:rPr>
        <w:br w:type="page"/>
      </w:r>
      <w:bookmarkStart w:id="383" w:name="_Toc1129"/>
      <w:bookmarkStart w:id="384" w:name="_Toc10676"/>
      <w:bookmarkStart w:id="385" w:name="_Toc14554"/>
      <w:bookmarkStart w:id="386" w:name="_Toc17910"/>
      <w:bookmarkStart w:id="387" w:name="_Toc27008"/>
      <w:bookmarkStart w:id="388" w:name="_Toc22058"/>
      <w:bookmarkStart w:id="389" w:name="_Toc22514"/>
      <w:bookmarkStart w:id="390" w:name="_Toc10459"/>
      <w:bookmarkStart w:id="391" w:name="_Toc28540"/>
      <w:r>
        <w:rPr>
          <w:rFonts w:hint="eastAsia" w:ascii="宋体" w:hAnsi="宋体" w:eastAsia="宋体" w:cs="宋体"/>
          <w:b/>
          <w:color w:val="000000"/>
          <w:sz w:val="21"/>
          <w:szCs w:val="21"/>
        </w:rPr>
        <w:t>第</w:t>
      </w:r>
      <w:r>
        <w:rPr>
          <w:rFonts w:hint="eastAsia" w:ascii="宋体" w:hAnsi="宋体" w:eastAsia="宋体" w:cs="宋体"/>
          <w:b/>
          <w:color w:val="000000"/>
          <w:sz w:val="21"/>
          <w:szCs w:val="21"/>
          <w:lang w:eastAsia="zh-CN"/>
        </w:rPr>
        <w:t>四</w:t>
      </w:r>
      <w:r>
        <w:rPr>
          <w:rFonts w:hint="eastAsia" w:ascii="宋体" w:hAnsi="宋体" w:eastAsia="宋体" w:cs="宋体"/>
          <w:b/>
          <w:color w:val="000000"/>
          <w:sz w:val="21"/>
          <w:szCs w:val="21"/>
        </w:rPr>
        <w:t>部分 合同附件</w:t>
      </w:r>
      <w:bookmarkEnd w:id="381"/>
      <w:bookmarkEnd w:id="382"/>
      <w:bookmarkEnd w:id="383"/>
      <w:bookmarkEnd w:id="384"/>
      <w:bookmarkEnd w:id="385"/>
      <w:bookmarkEnd w:id="386"/>
      <w:bookmarkEnd w:id="387"/>
      <w:bookmarkEnd w:id="388"/>
      <w:bookmarkEnd w:id="389"/>
      <w:bookmarkEnd w:id="390"/>
      <w:bookmarkEnd w:id="391"/>
      <w:bookmarkStart w:id="392" w:name="_Toc437444971"/>
      <w:bookmarkStart w:id="393" w:name="_Toc411417798"/>
      <w:bookmarkStart w:id="394" w:name="_Toc26723"/>
    </w:p>
    <w:p>
      <w:pPr>
        <w:tabs>
          <w:tab w:val="left" w:pos="540"/>
        </w:tabs>
        <w:spacing w:line="360" w:lineRule="auto"/>
        <w:outlineLvl w:val="1"/>
        <w:rPr>
          <w:rFonts w:hint="eastAsia" w:ascii="宋体" w:hAnsi="宋体" w:eastAsia="宋体" w:cs="宋体"/>
          <w:b/>
          <w:bCs/>
          <w:color w:val="000000"/>
          <w:sz w:val="21"/>
          <w:szCs w:val="21"/>
        </w:rPr>
      </w:pPr>
      <w:bookmarkStart w:id="395" w:name="_Toc8687"/>
      <w:bookmarkStart w:id="396" w:name="_Toc20493"/>
      <w:bookmarkStart w:id="397" w:name="_Toc10296"/>
      <w:bookmarkStart w:id="398" w:name="_Toc28100"/>
      <w:bookmarkStart w:id="399" w:name="_Toc27581"/>
      <w:bookmarkStart w:id="400" w:name="_Toc19384"/>
      <w:bookmarkStart w:id="401" w:name="_Toc9430"/>
      <w:bookmarkStart w:id="402" w:name="_Toc5645"/>
      <w:bookmarkStart w:id="403" w:name="_Toc17542"/>
      <w:bookmarkStart w:id="404" w:name="_Toc17490"/>
      <w:r>
        <w:rPr>
          <w:rFonts w:hint="eastAsia" w:ascii="宋体" w:hAnsi="宋体" w:eastAsia="宋体" w:cs="宋体"/>
          <w:b/>
          <w:bCs/>
          <w:color w:val="000000"/>
          <w:sz w:val="21"/>
          <w:szCs w:val="21"/>
        </w:rPr>
        <w:t>附件1 廉政合同</w:t>
      </w:r>
      <w:bookmarkEnd w:id="395"/>
      <w:bookmarkEnd w:id="396"/>
      <w:bookmarkEnd w:id="397"/>
      <w:bookmarkEnd w:id="398"/>
      <w:bookmarkEnd w:id="399"/>
      <w:bookmarkEnd w:id="400"/>
      <w:bookmarkEnd w:id="401"/>
      <w:bookmarkEnd w:id="402"/>
      <w:bookmarkEnd w:id="403"/>
      <w:bookmarkEnd w:id="404"/>
    </w:p>
    <w:p>
      <w:pPr>
        <w:tabs>
          <w:tab w:val="left" w:pos="540"/>
        </w:tabs>
        <w:spacing w:line="360" w:lineRule="auto"/>
        <w:jc w:val="center"/>
        <w:outlineLvl w:val="9"/>
        <w:rPr>
          <w:rFonts w:hint="eastAsia" w:ascii="宋体" w:hAnsi="宋体" w:eastAsia="宋体" w:cs="宋体"/>
          <w:b/>
          <w:bCs/>
          <w:color w:val="000000"/>
          <w:sz w:val="21"/>
          <w:szCs w:val="21"/>
        </w:rPr>
      </w:pPr>
      <w:bookmarkStart w:id="405" w:name="_Toc23736"/>
      <w:bookmarkStart w:id="406" w:name="_Toc20995"/>
      <w:r>
        <w:rPr>
          <w:rFonts w:hint="eastAsia" w:ascii="宋体" w:hAnsi="宋体" w:eastAsia="宋体" w:cs="宋体"/>
          <w:b/>
          <w:color w:val="000000"/>
          <w:sz w:val="21"/>
          <w:szCs w:val="21"/>
        </w:rPr>
        <w:t>廉政合同</w:t>
      </w:r>
      <w:bookmarkEnd w:id="405"/>
      <w:bookmarkEnd w:id="406"/>
    </w:p>
    <w:p>
      <w:pPr>
        <w:spacing w:line="400" w:lineRule="exact"/>
        <w:ind w:left="0" w:firstLine="420" w:firstLineChars="200"/>
        <w:jc w:val="left"/>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根据国家法律、法规以及廉政建设的规定，为做好物资采购中的党风廉政建设，保证采购项目高效优质，保证资金的安全和有效使用以及投资效益，</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rPr>
        <w:t>的项目法人</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sz w:val="21"/>
          <w:szCs w:val="21"/>
        </w:rPr>
        <w:t>(以下称“甲方”)与</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（以下称“乙方”），特订立如下协议书。</w:t>
      </w:r>
      <w:bookmarkStart w:id="407" w:name="_Toc59900969"/>
      <w:bookmarkStart w:id="408" w:name="_Toc59896701"/>
    </w:p>
    <w:p>
      <w:pPr>
        <w:spacing w:line="400" w:lineRule="exact"/>
        <w:ind w:left="0" w:firstLine="422" w:firstLineChars="200"/>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第一条 甲乙双方的权利和义务</w:t>
      </w:r>
      <w:bookmarkEnd w:id="407"/>
      <w:bookmarkEnd w:id="408"/>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（一）严格遵守党和国家有关法律法规及湖南省、长沙市的相关规定。</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（二）严格执行</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rPr>
        <w:t>的合同文件（以下称“主合同”），自觉按合同办事。</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（三）双方的业务活动坚持公开、公正、诚信、透明的原则（除法律认定的商业秘密和合同文件另有规定之外），不得损害国家和集体利益，违反相关法律法规及规章制度。</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（四）建立健全廉政制度，开展廉政教育，设立廉政告示牌，公布举报电话，监督并认真查处违法违纪行为。</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（五）发现对方在业务活动中有违反廉政规定的行为，有及时提醒对方纠正的权利和义务。</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（六）发现对方严重违反本合同义务条款的行为，有向其上级有关部门举报、建议给予处理并要求告知处理结果的权利。</w:t>
      </w:r>
    </w:p>
    <w:p>
      <w:pPr>
        <w:spacing w:line="400" w:lineRule="exact"/>
        <w:ind w:left="0" w:firstLine="422" w:firstLineChars="200"/>
        <w:outlineLvl w:val="9"/>
        <w:rPr>
          <w:rFonts w:hint="eastAsia" w:ascii="宋体" w:hAnsi="宋体" w:eastAsia="宋体" w:cs="宋体"/>
          <w:b/>
          <w:color w:val="000000"/>
          <w:sz w:val="21"/>
          <w:szCs w:val="21"/>
        </w:rPr>
      </w:pPr>
      <w:bookmarkStart w:id="409" w:name="_Toc59896702"/>
      <w:bookmarkStart w:id="410" w:name="_Toc59900970"/>
      <w:r>
        <w:rPr>
          <w:rFonts w:hint="eastAsia" w:ascii="宋体" w:hAnsi="宋体" w:eastAsia="宋体" w:cs="宋体"/>
          <w:b/>
          <w:color w:val="000000"/>
          <w:sz w:val="21"/>
          <w:szCs w:val="21"/>
        </w:rPr>
        <w:t>第二条 甲方的义务</w:t>
      </w:r>
      <w:bookmarkEnd w:id="409"/>
      <w:bookmarkEnd w:id="410"/>
    </w:p>
    <w:p>
      <w:pPr>
        <w:tabs>
          <w:tab w:val="left" w:pos="0"/>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（一）甲方及其工作人员不得索要或接受乙方的礼金、有价证券和贵重物品，不得在乙方报销任何应由甲方或个人支付的费用等。</w:t>
      </w:r>
    </w:p>
    <w:p>
      <w:pPr>
        <w:tabs>
          <w:tab w:val="left" w:pos="0"/>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（二）甲方工作人员不得参加乙方安排的超标准宴请和娱乐活动；不得接受乙方提供的通讯工具、交通工具和高档办公用品等。</w:t>
      </w:r>
    </w:p>
    <w:p>
      <w:pPr>
        <w:tabs>
          <w:tab w:val="left" w:pos="0"/>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（三）甲方及其工作人员不得要求或者接受乙方为其住房装修、婚丧嫁娶活动、配偶子女的工作安排以及出国出境、旅游等提供方便等。</w:t>
      </w:r>
    </w:p>
    <w:p>
      <w:pPr>
        <w:spacing w:line="400" w:lineRule="exact"/>
        <w:ind w:left="0" w:firstLine="422" w:firstLineChars="200"/>
        <w:outlineLvl w:val="9"/>
        <w:rPr>
          <w:rFonts w:hint="eastAsia" w:ascii="宋体" w:hAnsi="宋体" w:eastAsia="宋体" w:cs="宋体"/>
          <w:b/>
          <w:color w:val="000000"/>
          <w:sz w:val="21"/>
          <w:szCs w:val="21"/>
        </w:rPr>
      </w:pPr>
      <w:bookmarkStart w:id="411" w:name="_Toc59896703"/>
      <w:bookmarkStart w:id="412" w:name="_Toc59900971"/>
      <w:r>
        <w:rPr>
          <w:rFonts w:hint="eastAsia" w:ascii="宋体" w:hAnsi="宋体" w:eastAsia="宋体" w:cs="宋体"/>
          <w:b/>
          <w:color w:val="000000"/>
          <w:sz w:val="21"/>
          <w:szCs w:val="21"/>
        </w:rPr>
        <w:t>第三条 乙方的义务</w:t>
      </w:r>
      <w:bookmarkEnd w:id="411"/>
      <w:bookmarkEnd w:id="412"/>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（一）乙方不得以任何理由向甲方及其工作人员行贿或馈赠礼金、有价证券、贵重礼品。</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（二）乙方不得以任何名义为甲方及其工作人员报销应由甲方单位或个人支付的任何费用。</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（三）乙方不得以任何理由安排甲方工作人员参加超标准宴请及娱乐活动。</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（四）乙方不得为甲方单位和个人购置或提供通讯工具、交通工具和高档办公用品等。</w:t>
      </w:r>
    </w:p>
    <w:p>
      <w:pPr>
        <w:spacing w:line="400" w:lineRule="exact"/>
        <w:ind w:left="0" w:firstLine="422" w:firstLineChars="200"/>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第四条 违约责任</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的所有项目进行投标的处罚。</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第五条</w:t>
      </w:r>
      <w:r>
        <w:rPr>
          <w:rFonts w:hint="eastAsia" w:ascii="宋体" w:hAnsi="宋体" w:eastAsia="宋体" w:cs="宋体"/>
          <w:color w:val="000000"/>
          <w:sz w:val="21"/>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第六条</w:t>
      </w:r>
      <w:r>
        <w:rPr>
          <w:rFonts w:hint="eastAsia" w:ascii="宋体" w:hAnsi="宋体" w:eastAsia="宋体" w:cs="宋体"/>
          <w:color w:val="000000"/>
          <w:sz w:val="21"/>
          <w:szCs w:val="21"/>
        </w:rPr>
        <w:t xml:space="preserve"> 本合同有效期为甲乙双方签署之日起至主合同完全履行完毕之日止。</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第七条</w:t>
      </w:r>
      <w:r>
        <w:rPr>
          <w:rFonts w:hint="eastAsia" w:ascii="宋体" w:hAnsi="宋体" w:eastAsia="宋体" w:cs="宋体"/>
          <w:color w:val="000000"/>
          <w:sz w:val="21"/>
          <w:szCs w:val="21"/>
        </w:rPr>
        <w:t xml:space="preserve"> 本合同作为主合同的附件，与主合同具有同等的法律效力，经甲乙双方及双方的监督单位签署立即生效。</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bCs/>
          <w:color w:val="000000"/>
          <w:sz w:val="21"/>
          <w:szCs w:val="21"/>
        </w:rPr>
        <w:t>第八条</w:t>
      </w:r>
      <w:r>
        <w:rPr>
          <w:rFonts w:hint="eastAsia" w:ascii="宋体" w:hAnsi="宋体" w:eastAsia="宋体" w:cs="宋体"/>
          <w:color w:val="000000"/>
          <w:sz w:val="21"/>
          <w:szCs w:val="21"/>
        </w:rPr>
        <w:t>发现有违反相关要求的，可通过以下途径举报：</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（1）监督举报电话（限短信方式）：15367896029，15367896120。</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（2）举报邮箱：yygsjbyx2015@163.com。</w:t>
      </w:r>
    </w:p>
    <w:p>
      <w:pPr>
        <w:spacing w:line="400" w:lineRule="exact"/>
        <w:ind w:left="0" w:firstLine="420" w:firstLineChars="200"/>
        <w:outlineLvl w:val="9"/>
        <w:rPr>
          <w:rFonts w:hint="eastAsia" w:ascii="宋体" w:hAnsi="宋体" w:eastAsia="宋体" w:cs="宋体"/>
          <w:color w:val="000000"/>
          <w:sz w:val="21"/>
          <w:szCs w:val="21"/>
        </w:rPr>
      </w:pPr>
    </w:p>
    <w:p>
      <w:pPr>
        <w:spacing w:line="400" w:lineRule="exact"/>
        <w:ind w:left="0" w:firstLine="420" w:firstLineChars="200"/>
        <w:outlineLvl w:val="9"/>
        <w:rPr>
          <w:rFonts w:hint="eastAsia" w:ascii="宋体" w:hAnsi="宋体" w:eastAsia="宋体" w:cs="宋体"/>
          <w:color w:val="000000"/>
          <w:sz w:val="21"/>
          <w:szCs w:val="21"/>
        </w:rPr>
      </w:pPr>
    </w:p>
    <w:p>
      <w:pPr>
        <w:spacing w:line="400" w:lineRule="exact"/>
        <w:ind w:left="0" w:firstLine="420" w:firstLineChars="200"/>
        <w:outlineLvl w:val="9"/>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甲方单位：</w:t>
      </w:r>
      <w:r>
        <w:rPr>
          <w:rFonts w:hint="eastAsia" w:ascii="宋体" w:hAnsi="宋体" w:eastAsia="宋体" w:cs="宋体"/>
          <w:bCs/>
          <w:color w:val="000000"/>
          <w:sz w:val="21"/>
          <w:szCs w:val="21"/>
          <w:u w:val="single"/>
        </w:rPr>
        <w:t xml:space="preserve">  （盖章）   </w:t>
      </w:r>
      <w:r>
        <w:rPr>
          <w:rFonts w:hint="eastAsia" w:ascii="宋体" w:hAnsi="宋体" w:eastAsia="宋体" w:cs="宋体"/>
          <w:bCs/>
          <w:color w:val="000000"/>
          <w:sz w:val="21"/>
          <w:szCs w:val="21"/>
        </w:rPr>
        <w:t xml:space="preserve">          乙方单位：</w:t>
      </w:r>
      <w:r>
        <w:rPr>
          <w:rFonts w:hint="eastAsia" w:ascii="宋体" w:hAnsi="宋体" w:eastAsia="宋体" w:cs="宋体"/>
          <w:bCs/>
          <w:color w:val="000000"/>
          <w:sz w:val="21"/>
          <w:szCs w:val="21"/>
          <w:u w:val="single"/>
        </w:rPr>
        <w:t xml:space="preserve"> （盖章）    </w:t>
      </w:r>
    </w:p>
    <w:p>
      <w:pPr>
        <w:spacing w:line="400" w:lineRule="exact"/>
        <w:ind w:left="0" w:firstLine="420" w:firstLineChars="200"/>
        <w:outlineLvl w:val="9"/>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法定代表人或授权代表（签字）：    法定代表人或授权代表（签字）：</w:t>
      </w:r>
    </w:p>
    <w:p>
      <w:pPr>
        <w:spacing w:line="400" w:lineRule="exact"/>
        <w:ind w:left="0" w:firstLine="420" w:firstLineChars="200"/>
        <w:outlineLvl w:val="9"/>
        <w:rPr>
          <w:rFonts w:hint="eastAsia" w:ascii="宋体" w:hAnsi="宋体" w:eastAsia="宋体" w:cs="宋体"/>
          <w:bCs/>
          <w:color w:val="000000"/>
          <w:sz w:val="21"/>
          <w:szCs w:val="21"/>
        </w:rPr>
      </w:pPr>
    </w:p>
    <w:p>
      <w:pPr>
        <w:spacing w:line="400" w:lineRule="exact"/>
        <w:ind w:left="0" w:firstLine="420" w:firstLineChars="200"/>
        <w:outlineLvl w:val="9"/>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电  话：</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 xml:space="preserve">  电  话：</w:t>
      </w:r>
      <w:r>
        <w:rPr>
          <w:rFonts w:hint="eastAsia" w:ascii="宋体" w:hAnsi="宋体" w:eastAsia="宋体" w:cs="宋体"/>
          <w:bCs/>
          <w:color w:val="000000"/>
          <w:sz w:val="21"/>
          <w:szCs w:val="21"/>
          <w:u w:val="single"/>
          <w:lang w:val="en-US" w:eastAsia="zh-CN"/>
        </w:rPr>
        <w:t xml:space="preserve">              </w:t>
      </w:r>
      <w:r>
        <w:rPr>
          <w:rFonts w:hint="eastAsia" w:ascii="宋体" w:hAnsi="宋体" w:eastAsia="宋体" w:cs="宋体"/>
          <w:bCs/>
          <w:color w:val="000000"/>
          <w:sz w:val="21"/>
          <w:szCs w:val="21"/>
          <w:lang w:val="en-US" w:eastAsia="zh-CN"/>
        </w:rPr>
        <w:t xml:space="preserve"> </w:t>
      </w:r>
    </w:p>
    <w:p>
      <w:pPr>
        <w:spacing w:line="400" w:lineRule="exact"/>
        <w:ind w:left="0" w:firstLine="420" w:firstLineChars="200"/>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甲方监督单位：</w:t>
      </w:r>
      <w:r>
        <w:rPr>
          <w:rFonts w:hint="eastAsia" w:ascii="宋体" w:hAnsi="宋体" w:eastAsia="宋体" w:cs="宋体"/>
          <w:bCs/>
          <w:color w:val="000000"/>
          <w:sz w:val="21"/>
          <w:szCs w:val="21"/>
          <w:u w:val="single"/>
        </w:rPr>
        <w:t xml:space="preserve">（盖章） </w:t>
      </w: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 xml:space="preserve">  乙方监督单位：</w:t>
      </w:r>
      <w:r>
        <w:rPr>
          <w:rFonts w:hint="eastAsia" w:ascii="宋体" w:hAnsi="宋体" w:eastAsia="宋体" w:cs="宋体"/>
          <w:bCs/>
          <w:color w:val="000000"/>
          <w:sz w:val="21"/>
          <w:szCs w:val="21"/>
          <w:u w:val="single"/>
        </w:rPr>
        <w:t xml:space="preserve">（盖章） </w:t>
      </w:r>
    </w:p>
    <w:p>
      <w:pPr>
        <w:tabs>
          <w:tab w:val="left" w:pos="540"/>
        </w:tabs>
        <w:spacing w:line="500" w:lineRule="exact"/>
        <w:jc w:val="center"/>
        <w:rPr>
          <w:rFonts w:hint="eastAsia" w:ascii="宋体" w:hAnsi="宋体" w:eastAsia="宋体" w:cs="宋体"/>
          <w:b/>
          <w:color w:val="000000"/>
          <w:sz w:val="21"/>
          <w:szCs w:val="21"/>
        </w:rPr>
      </w:pPr>
    </w:p>
    <w:p>
      <w:pPr>
        <w:snapToGrid w:val="0"/>
        <w:spacing w:line="360" w:lineRule="auto"/>
        <w:outlineLvl w:val="1"/>
        <w:rPr>
          <w:rFonts w:hint="eastAsia" w:ascii="宋体" w:hAnsi="宋体" w:eastAsia="宋体" w:cs="宋体"/>
          <w:b/>
          <w:bCs/>
          <w:color w:val="000000"/>
          <w:sz w:val="21"/>
          <w:szCs w:val="21"/>
        </w:rPr>
      </w:pPr>
      <w:r>
        <w:rPr>
          <w:rFonts w:hint="eastAsia" w:ascii="宋体" w:hAnsi="宋体" w:eastAsia="宋体" w:cs="宋体"/>
          <w:color w:val="000000"/>
          <w:sz w:val="21"/>
          <w:szCs w:val="21"/>
          <w:u w:val="single"/>
        </w:rPr>
        <w:br w:type="page"/>
      </w:r>
      <w:bookmarkStart w:id="413" w:name="_Toc17301"/>
      <w:bookmarkStart w:id="414" w:name="_Toc16704"/>
      <w:bookmarkStart w:id="415" w:name="_Toc27458"/>
      <w:bookmarkStart w:id="416" w:name="_Toc5299"/>
      <w:bookmarkStart w:id="417" w:name="_Toc10587"/>
      <w:bookmarkStart w:id="418" w:name="_Toc19369"/>
      <w:bookmarkStart w:id="419" w:name="_Toc23981"/>
      <w:bookmarkStart w:id="420" w:name="_Toc28569"/>
      <w:bookmarkStart w:id="421" w:name="_Toc10932"/>
      <w:r>
        <w:rPr>
          <w:rFonts w:hint="eastAsia" w:ascii="宋体" w:hAnsi="宋体" w:eastAsia="宋体" w:cs="宋体"/>
          <w:b/>
          <w:bCs/>
          <w:color w:val="000000"/>
          <w:sz w:val="21"/>
          <w:szCs w:val="21"/>
        </w:rPr>
        <w:t>附件</w:t>
      </w:r>
      <w:bookmarkEnd w:id="392"/>
      <w:bookmarkEnd w:id="393"/>
      <w:bookmarkEnd w:id="394"/>
      <w:r>
        <w:rPr>
          <w:rFonts w:hint="eastAsia" w:ascii="宋体" w:hAnsi="宋体" w:eastAsia="宋体" w:cs="宋体"/>
          <w:b/>
          <w:bCs/>
          <w:color w:val="000000"/>
          <w:sz w:val="21"/>
          <w:szCs w:val="21"/>
        </w:rPr>
        <w:t>2 签约合同价清单</w:t>
      </w:r>
      <w:bookmarkEnd w:id="413"/>
      <w:bookmarkEnd w:id="414"/>
      <w:bookmarkEnd w:id="415"/>
      <w:bookmarkEnd w:id="416"/>
      <w:bookmarkEnd w:id="417"/>
      <w:bookmarkEnd w:id="418"/>
      <w:bookmarkEnd w:id="419"/>
      <w:bookmarkEnd w:id="420"/>
      <w:bookmarkEnd w:id="421"/>
    </w:p>
    <w:p>
      <w:pPr>
        <w:adjustRightInd w:val="0"/>
        <w:snapToGrid w:val="0"/>
        <w:spacing w:line="360" w:lineRule="auto"/>
        <w:outlineLvl w:val="9"/>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1、价格汇总表</w:t>
      </w:r>
    </w:p>
    <w:tbl>
      <w:tblPr>
        <w:tblStyle w:val="47"/>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85"/>
        <w:gridCol w:w="6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83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序号</w:t>
            </w:r>
          </w:p>
        </w:tc>
        <w:tc>
          <w:tcPr>
            <w:tcW w:w="118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项目名称</w:t>
            </w:r>
          </w:p>
        </w:tc>
        <w:tc>
          <w:tcPr>
            <w:tcW w:w="6446"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color w:val="00000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w:t>
            </w:r>
          </w:p>
        </w:tc>
        <w:tc>
          <w:tcPr>
            <w:tcW w:w="118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签约合同价</w:t>
            </w:r>
          </w:p>
        </w:tc>
        <w:tc>
          <w:tcPr>
            <w:tcW w:w="6446" w:type="dxa"/>
            <w:noWrap w:val="0"/>
            <w:vAlign w:val="center"/>
          </w:tcPr>
          <w:p>
            <w:pPr>
              <w:adjustRightInd w:val="0"/>
              <w:snapToGrid w:val="0"/>
              <w:spacing w:line="360" w:lineRule="auto"/>
              <w:jc w:val="left"/>
              <w:outlineLvl w:val="9"/>
              <w:rPr>
                <w:rFonts w:hint="eastAsia" w:ascii="宋体" w:hAnsi="宋体" w:eastAsia="宋体" w:cs="宋体"/>
                <w:color w:val="000000"/>
                <w:sz w:val="21"/>
                <w:szCs w:val="21"/>
                <w:u w:val="none"/>
                <w:lang w:val="en-US" w:eastAsia="zh-CN" w:bidi="ar"/>
              </w:rPr>
            </w:pPr>
            <w:r>
              <w:rPr>
                <w:rFonts w:hint="eastAsia" w:ascii="宋体" w:hAnsi="宋体" w:eastAsia="宋体" w:cs="宋体"/>
                <w:color w:val="000000"/>
                <w:sz w:val="21"/>
                <w:szCs w:val="21"/>
                <w:u w:val="none"/>
                <w:lang w:eastAsia="zh-CN" w:bidi="ar"/>
              </w:rPr>
              <w:t>大写：</w:t>
            </w:r>
            <w:r>
              <w:rPr>
                <w:rFonts w:hint="eastAsia" w:ascii="宋体" w:hAnsi="宋体" w:eastAsia="宋体" w:cs="宋体"/>
                <w:color w:val="000000"/>
                <w:sz w:val="21"/>
                <w:szCs w:val="21"/>
                <w:u w:val="none"/>
                <w:lang w:val="en-US" w:eastAsia="zh-CN" w:bidi="ar"/>
              </w:rPr>
              <w:t xml:space="preserve"> </w:t>
            </w:r>
          </w:p>
          <w:p>
            <w:pPr>
              <w:adjustRightInd w:val="0"/>
              <w:snapToGrid w:val="0"/>
              <w:spacing w:line="360" w:lineRule="auto"/>
              <w:jc w:val="left"/>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color w:val="000000"/>
                <w:sz w:val="21"/>
                <w:szCs w:val="21"/>
                <w:u w:val="none"/>
                <w:lang w:eastAsia="zh-CN" w:bidi="ar"/>
              </w:rPr>
              <w:t>小写：</w:t>
            </w:r>
            <w:r>
              <w:rPr>
                <w:rFonts w:hint="eastAsia" w:ascii="宋体" w:hAnsi="宋体" w:eastAsia="宋体" w:cs="宋体"/>
                <w:color w:val="00000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2</w:t>
            </w:r>
          </w:p>
        </w:tc>
        <w:tc>
          <w:tcPr>
            <w:tcW w:w="118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供货期</w:t>
            </w:r>
          </w:p>
        </w:tc>
        <w:tc>
          <w:tcPr>
            <w:tcW w:w="6446" w:type="dxa"/>
            <w:noWrap w:val="0"/>
            <w:vAlign w:val="center"/>
          </w:tcPr>
          <w:p>
            <w:pPr>
              <w:adjustRightInd w:val="0"/>
              <w:snapToGrid w:val="0"/>
              <w:spacing w:line="360" w:lineRule="auto"/>
              <w:jc w:val="both"/>
              <w:outlineLvl w:val="9"/>
              <w:rPr>
                <w:rFonts w:hint="eastAsia" w:ascii="宋体" w:hAnsi="宋体" w:eastAsia="宋体" w:cs="宋体"/>
                <w:b w:val="0"/>
                <w:bCs w:val="0"/>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3</w:t>
            </w:r>
          </w:p>
        </w:tc>
        <w:tc>
          <w:tcPr>
            <w:tcW w:w="118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质保期</w:t>
            </w:r>
          </w:p>
        </w:tc>
        <w:tc>
          <w:tcPr>
            <w:tcW w:w="6446" w:type="dxa"/>
            <w:noWrap w:val="0"/>
            <w:vAlign w:val="center"/>
          </w:tcPr>
          <w:p>
            <w:pPr>
              <w:adjustRightInd w:val="0"/>
              <w:snapToGrid w:val="0"/>
              <w:spacing w:line="360" w:lineRule="auto"/>
              <w:jc w:val="both"/>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color w:val="000000"/>
                <w:sz w:val="21"/>
                <w:szCs w:val="21"/>
              </w:rPr>
              <w:t>质保期</w:t>
            </w:r>
            <w:r>
              <w:rPr>
                <w:rFonts w:hint="eastAsia" w:ascii="宋体" w:hAnsi="宋体" w:eastAsia="宋体" w:cs="宋体"/>
                <w:color w:val="000000"/>
                <w:sz w:val="21"/>
                <w:szCs w:val="21"/>
                <w:lang w:eastAsia="zh-CN"/>
              </w:rPr>
              <w:t>为</w:t>
            </w:r>
            <w:r>
              <w:rPr>
                <w:rFonts w:hint="eastAsia" w:ascii="宋体" w:hAnsi="宋体" w:eastAsia="宋体" w:cs="宋体"/>
                <w:i w:val="0"/>
                <w:iCs w:val="0"/>
                <w:color w:val="000000"/>
                <w:sz w:val="21"/>
                <w:szCs w:val="21"/>
                <w:u w:val="single"/>
                <w:lang w:val="en-US" w:eastAsia="zh-CN"/>
              </w:rPr>
              <w:t xml:space="preserve">   </w:t>
            </w:r>
            <w:r>
              <w:rPr>
                <w:rFonts w:hint="eastAsia" w:ascii="宋体" w:hAnsi="宋体" w:eastAsia="宋体" w:cs="宋体"/>
                <w:color w:val="000000"/>
                <w:sz w:val="21"/>
                <w:szCs w:val="21"/>
              </w:rPr>
              <w:t>个月</w:t>
            </w:r>
            <w:r>
              <w:rPr>
                <w:rFonts w:hint="eastAsia" w:ascii="宋体" w:hAnsi="宋体" w:eastAsia="宋体" w:cs="宋体"/>
                <w:b w:val="0"/>
                <w:bCs w:val="0"/>
                <w:color w:val="000000"/>
                <w:sz w:val="21"/>
                <w:szCs w:val="21"/>
                <w:vertAlign w:val="baseline"/>
                <w:lang w:val="en-US" w:eastAsia="zh-CN"/>
              </w:rPr>
              <w:t>，</w:t>
            </w:r>
            <w:r>
              <w:rPr>
                <w:rFonts w:hint="eastAsia" w:ascii="宋体" w:hAnsi="宋体" w:eastAsia="宋体" w:cs="宋体"/>
                <w:b w:val="0"/>
                <w:bCs w:val="0"/>
                <w:color w:val="000000"/>
                <w:sz w:val="21"/>
                <w:szCs w:val="21"/>
                <w:vertAlign w:val="baseline"/>
                <w:lang w:eastAsia="zh-CN"/>
              </w:rPr>
              <w:t>如所供货物资的原品牌生产商质保期高于</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vertAlign w:val="baseline"/>
                <w:lang w:eastAsia="zh-CN"/>
              </w:rPr>
              <w:t>个月的，按原品牌生产商承诺的质保期执行。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4</w:t>
            </w:r>
          </w:p>
        </w:tc>
        <w:tc>
          <w:tcPr>
            <w:tcW w:w="118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备注</w:t>
            </w:r>
          </w:p>
        </w:tc>
        <w:tc>
          <w:tcPr>
            <w:tcW w:w="6446"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w:t>
            </w:r>
          </w:p>
        </w:tc>
      </w:tr>
    </w:tbl>
    <w:p>
      <w:pPr>
        <w:numPr>
          <w:ilvl w:val="0"/>
          <w:numId w:val="0"/>
        </w:numPr>
        <w:adjustRightInd w:val="0"/>
        <w:snapToGrid w:val="0"/>
        <w:spacing w:line="360" w:lineRule="auto"/>
        <w:outlineLvl w:val="9"/>
        <w:rPr>
          <w:rFonts w:hint="eastAsia" w:ascii="宋体" w:hAnsi="宋体" w:eastAsia="宋体" w:cs="宋体"/>
          <w:b/>
          <w:bCs/>
          <w:color w:val="000000"/>
          <w:sz w:val="21"/>
          <w:szCs w:val="21"/>
          <w:lang w:val="en-US" w:eastAsia="zh-CN"/>
        </w:rPr>
      </w:pPr>
    </w:p>
    <w:p>
      <w:pPr>
        <w:numPr>
          <w:ilvl w:val="0"/>
          <w:numId w:val="0"/>
        </w:numPr>
        <w:adjustRightInd w:val="0"/>
        <w:snapToGrid w:val="0"/>
        <w:spacing w:line="360" w:lineRule="auto"/>
        <w:outlineLvl w:val="9"/>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2、分项价格表</w:t>
      </w:r>
    </w:p>
    <w:p>
      <w:pPr>
        <w:autoSpaceDE w:val="0"/>
        <w:autoSpaceDN w:val="0"/>
        <w:snapToGrid w:val="0"/>
        <w:spacing w:line="360" w:lineRule="auto"/>
        <w:textAlignment w:val="bottom"/>
        <w:outlineLvl w:val="1"/>
        <w:rPr>
          <w:rFonts w:hint="eastAsia" w:ascii="宋体" w:hAnsi="宋体" w:eastAsia="宋体" w:cs="宋体"/>
          <w:b/>
          <w:color w:val="000000"/>
          <w:sz w:val="21"/>
          <w:szCs w:val="21"/>
        </w:rPr>
      </w:pPr>
      <w:bookmarkStart w:id="422" w:name="_Toc25242"/>
      <w:bookmarkStart w:id="423" w:name="_Toc8773"/>
      <w:bookmarkStart w:id="424" w:name="_Toc30819"/>
      <w:bookmarkStart w:id="425" w:name="_Toc18004"/>
      <w:bookmarkStart w:id="426" w:name="_Toc6990"/>
      <w:bookmarkStart w:id="427" w:name="_Toc22473"/>
      <w:bookmarkStart w:id="428" w:name="_Toc16036"/>
      <w:bookmarkStart w:id="429" w:name="_Toc14609"/>
      <w:bookmarkStart w:id="430" w:name="_Toc7997"/>
      <w:bookmarkStart w:id="431" w:name="_Toc11819"/>
      <w:bookmarkStart w:id="432" w:name="_Toc319826223"/>
      <w:bookmarkStart w:id="433" w:name="_Toc437444972"/>
    </w:p>
    <w:p>
      <w:pPr>
        <w:autoSpaceDE w:val="0"/>
        <w:autoSpaceDN w:val="0"/>
        <w:snapToGrid w:val="0"/>
        <w:spacing w:line="360" w:lineRule="auto"/>
        <w:textAlignment w:val="bottom"/>
        <w:outlineLvl w:val="1"/>
        <w:rPr>
          <w:rFonts w:hint="eastAsia" w:ascii="宋体" w:hAnsi="宋体" w:eastAsia="宋体" w:cs="宋体"/>
          <w:b/>
          <w:color w:val="000000"/>
          <w:sz w:val="21"/>
          <w:szCs w:val="21"/>
        </w:rPr>
      </w:pPr>
    </w:p>
    <w:p>
      <w:pPr>
        <w:autoSpaceDE w:val="0"/>
        <w:autoSpaceDN w:val="0"/>
        <w:snapToGrid w:val="0"/>
        <w:spacing w:line="360" w:lineRule="auto"/>
        <w:textAlignment w:val="bottom"/>
        <w:outlineLvl w:val="1"/>
        <w:rPr>
          <w:rFonts w:hint="eastAsia" w:ascii="宋体" w:hAnsi="宋体" w:eastAsia="宋体" w:cs="宋体"/>
          <w:b/>
          <w:color w:val="000000"/>
          <w:sz w:val="21"/>
          <w:szCs w:val="21"/>
        </w:rPr>
      </w:pPr>
    </w:p>
    <w:p>
      <w:pPr>
        <w:autoSpaceDE w:val="0"/>
        <w:autoSpaceDN w:val="0"/>
        <w:snapToGrid w:val="0"/>
        <w:spacing w:line="360" w:lineRule="auto"/>
        <w:textAlignment w:val="bottom"/>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rPr>
        <w:t>附件3 澄清与答疑文件</w:t>
      </w:r>
      <w:bookmarkEnd w:id="422"/>
      <w:bookmarkEnd w:id="423"/>
      <w:bookmarkEnd w:id="424"/>
      <w:bookmarkEnd w:id="425"/>
      <w:bookmarkEnd w:id="426"/>
      <w:bookmarkEnd w:id="427"/>
      <w:bookmarkEnd w:id="428"/>
      <w:bookmarkEnd w:id="429"/>
      <w:bookmarkEnd w:id="430"/>
    </w:p>
    <w:p>
      <w:pPr>
        <w:autoSpaceDE w:val="0"/>
        <w:autoSpaceDN w:val="0"/>
        <w:snapToGrid w:val="0"/>
        <w:spacing w:line="360" w:lineRule="auto"/>
        <w:textAlignment w:val="bottom"/>
        <w:outlineLvl w:val="9"/>
        <w:rPr>
          <w:rFonts w:hint="eastAsia" w:ascii="宋体" w:hAnsi="宋体" w:eastAsia="宋体" w:cs="宋体"/>
          <w:b w:val="0"/>
          <w:bCs/>
          <w:color w:val="000000"/>
          <w:sz w:val="21"/>
          <w:szCs w:val="21"/>
          <w:u w:val="single"/>
          <w:lang w:val="en-US" w:eastAsia="zh-CN"/>
        </w:rPr>
      </w:pPr>
      <w:r>
        <w:rPr>
          <w:rFonts w:hint="eastAsia" w:ascii="宋体" w:hAnsi="宋体" w:eastAsia="宋体" w:cs="宋体"/>
          <w:b w:val="0"/>
          <w:bCs/>
          <w:color w:val="000000"/>
          <w:sz w:val="21"/>
          <w:szCs w:val="21"/>
          <w:u w:val="single"/>
          <w:lang w:val="en-US" w:eastAsia="zh-CN"/>
        </w:rPr>
        <w:t xml:space="preserve">             </w:t>
      </w:r>
      <w:bookmarkEnd w:id="431"/>
      <w:bookmarkEnd w:id="432"/>
      <w:bookmarkEnd w:id="433"/>
      <w:bookmarkStart w:id="434" w:name="_Toc9021"/>
      <w:bookmarkStart w:id="435" w:name="_Toc1557"/>
      <w:bookmarkStart w:id="436" w:name="_Toc1864"/>
      <w:bookmarkStart w:id="437" w:name="_Toc20438"/>
      <w:bookmarkStart w:id="438" w:name="_Toc31041"/>
      <w:bookmarkStart w:id="439" w:name="_Toc8160"/>
      <w:bookmarkStart w:id="440" w:name="_Toc9374"/>
      <w:bookmarkStart w:id="441" w:name="_Toc23537"/>
      <w:bookmarkStart w:id="442" w:name="_Toc18700"/>
    </w:p>
    <w:p>
      <w:pPr>
        <w:autoSpaceDE w:val="0"/>
        <w:autoSpaceDN w:val="0"/>
        <w:snapToGrid w:val="0"/>
        <w:spacing w:line="360" w:lineRule="auto"/>
        <w:textAlignment w:val="bottom"/>
        <w:outlineLvl w:val="9"/>
        <w:rPr>
          <w:rFonts w:hint="eastAsia" w:ascii="宋体" w:hAnsi="宋体" w:eastAsia="宋体" w:cs="宋体"/>
          <w:b w:val="0"/>
          <w:bCs/>
          <w:color w:val="000000"/>
          <w:sz w:val="21"/>
          <w:szCs w:val="21"/>
          <w:u w:val="single"/>
          <w:lang w:val="en-US" w:eastAsia="zh-CN"/>
        </w:rPr>
      </w:pPr>
    </w:p>
    <w:p>
      <w:pPr>
        <w:autoSpaceDE w:val="0"/>
        <w:autoSpaceDN w:val="0"/>
        <w:snapToGrid w:val="0"/>
        <w:spacing w:line="360" w:lineRule="auto"/>
        <w:textAlignment w:val="bottom"/>
        <w:outlineLvl w:val="9"/>
        <w:rPr>
          <w:rFonts w:hint="eastAsia" w:ascii="宋体" w:hAnsi="宋体" w:eastAsia="宋体" w:cs="宋体"/>
          <w:b/>
          <w:color w:val="000000"/>
          <w:sz w:val="21"/>
          <w:szCs w:val="21"/>
        </w:rPr>
      </w:pPr>
    </w:p>
    <w:p>
      <w:pPr>
        <w:autoSpaceDE w:val="0"/>
        <w:autoSpaceDN w:val="0"/>
        <w:snapToGrid w:val="0"/>
        <w:spacing w:line="360" w:lineRule="auto"/>
        <w:textAlignment w:val="bottom"/>
        <w:outlineLvl w:val="9"/>
        <w:rPr>
          <w:rFonts w:hint="eastAsia" w:ascii="宋体" w:hAnsi="宋体" w:eastAsia="宋体" w:cs="宋体"/>
          <w:b/>
          <w:color w:val="000000"/>
          <w:sz w:val="21"/>
          <w:szCs w:val="21"/>
        </w:rPr>
      </w:pPr>
    </w:p>
    <w:p>
      <w:pPr>
        <w:autoSpaceDE w:val="0"/>
        <w:autoSpaceDN w:val="0"/>
        <w:snapToGrid w:val="0"/>
        <w:spacing w:line="360" w:lineRule="auto"/>
        <w:textAlignment w:val="bottom"/>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附件4 售后服务承诺书</w:t>
      </w:r>
      <w:bookmarkEnd w:id="434"/>
      <w:bookmarkEnd w:id="435"/>
      <w:bookmarkEnd w:id="436"/>
      <w:bookmarkEnd w:id="437"/>
      <w:bookmarkEnd w:id="438"/>
      <w:bookmarkEnd w:id="439"/>
      <w:bookmarkEnd w:id="440"/>
      <w:bookmarkEnd w:id="441"/>
      <w:bookmarkEnd w:id="442"/>
      <w:bookmarkStart w:id="443" w:name="_Toc18507"/>
      <w:bookmarkStart w:id="444" w:name="_Toc437444974"/>
      <w:bookmarkStart w:id="445" w:name="_Toc319826224"/>
    </w:p>
    <w:p>
      <w:pPr>
        <w:autoSpaceDE w:val="0"/>
        <w:autoSpaceDN w:val="0"/>
        <w:snapToGrid w:val="0"/>
        <w:spacing w:line="360" w:lineRule="auto"/>
        <w:textAlignment w:val="bottom"/>
        <w:outlineLvl w:val="9"/>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u w:val="single"/>
          <w:lang w:val="en-US" w:eastAsia="zh-CN"/>
        </w:rPr>
        <w:t xml:space="preserve">             </w:t>
      </w:r>
    </w:p>
    <w:bookmarkEnd w:id="443"/>
    <w:bookmarkEnd w:id="444"/>
    <w:bookmarkEnd w:id="445"/>
    <w:p>
      <w:pPr>
        <w:autoSpaceDE w:val="0"/>
        <w:autoSpaceDN w:val="0"/>
        <w:snapToGrid w:val="0"/>
        <w:spacing w:line="360" w:lineRule="auto"/>
        <w:textAlignment w:val="bottom"/>
        <w:outlineLvl w:val="1"/>
        <w:rPr>
          <w:rFonts w:hint="eastAsia" w:ascii="宋体" w:hAnsi="宋体" w:eastAsia="宋体" w:cs="宋体"/>
          <w:b/>
          <w:color w:val="000000"/>
          <w:sz w:val="21"/>
          <w:szCs w:val="21"/>
        </w:rPr>
      </w:pPr>
      <w:bookmarkStart w:id="446" w:name="_Toc9442"/>
      <w:bookmarkStart w:id="447" w:name="_Toc17255"/>
      <w:bookmarkStart w:id="448" w:name="_Toc319826225"/>
      <w:bookmarkStart w:id="449" w:name="_Toc26224"/>
      <w:bookmarkStart w:id="450" w:name="_Toc31412"/>
      <w:bookmarkStart w:id="451" w:name="_Toc17822"/>
      <w:bookmarkStart w:id="452" w:name="_Toc6349"/>
      <w:bookmarkStart w:id="453" w:name="_Toc2215"/>
      <w:bookmarkStart w:id="454" w:name="_Toc18966"/>
      <w:bookmarkStart w:id="455" w:name="_Toc28250"/>
      <w:bookmarkStart w:id="456" w:name="_Toc24384"/>
    </w:p>
    <w:p>
      <w:pPr>
        <w:autoSpaceDE w:val="0"/>
        <w:autoSpaceDN w:val="0"/>
        <w:snapToGrid w:val="0"/>
        <w:spacing w:line="360" w:lineRule="auto"/>
        <w:jc w:val="center"/>
        <w:textAlignment w:val="bottom"/>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rPr>
        <w:br w:type="page"/>
      </w:r>
      <w:r>
        <w:rPr>
          <w:rFonts w:hint="eastAsia" w:ascii="宋体" w:hAnsi="宋体" w:eastAsia="宋体" w:cs="宋体"/>
          <w:b/>
          <w:color w:val="000000"/>
          <w:sz w:val="21"/>
          <w:szCs w:val="21"/>
        </w:rPr>
        <w:t>第</w:t>
      </w:r>
      <w:r>
        <w:rPr>
          <w:rFonts w:hint="eastAsia" w:ascii="宋体" w:hAnsi="宋体" w:eastAsia="宋体" w:cs="宋体"/>
          <w:b/>
          <w:color w:val="000000"/>
          <w:sz w:val="21"/>
          <w:szCs w:val="21"/>
          <w:lang w:eastAsia="zh-CN"/>
        </w:rPr>
        <w:t>五</w:t>
      </w:r>
      <w:r>
        <w:rPr>
          <w:rFonts w:hint="eastAsia" w:ascii="宋体" w:hAnsi="宋体" w:eastAsia="宋体" w:cs="宋体"/>
          <w:b/>
          <w:color w:val="000000"/>
          <w:sz w:val="21"/>
          <w:szCs w:val="21"/>
        </w:rPr>
        <w:t>部分 合同附录</w:t>
      </w:r>
      <w:bookmarkEnd w:id="446"/>
      <w:bookmarkEnd w:id="447"/>
      <w:bookmarkEnd w:id="448"/>
      <w:bookmarkEnd w:id="449"/>
      <w:bookmarkEnd w:id="450"/>
      <w:bookmarkEnd w:id="451"/>
      <w:bookmarkEnd w:id="452"/>
      <w:bookmarkEnd w:id="453"/>
      <w:bookmarkEnd w:id="454"/>
      <w:bookmarkEnd w:id="455"/>
      <w:bookmarkEnd w:id="456"/>
      <w:bookmarkStart w:id="457" w:name="_Toc22409"/>
      <w:bookmarkStart w:id="458" w:name="_Toc437444976"/>
      <w:bookmarkStart w:id="459" w:name="_Toc411417807"/>
    </w:p>
    <w:p>
      <w:pPr>
        <w:adjustRightInd w:val="0"/>
        <w:snapToGrid w:val="0"/>
        <w:spacing w:line="360" w:lineRule="auto"/>
        <w:outlineLvl w:val="1"/>
        <w:rPr>
          <w:rFonts w:hint="eastAsia" w:ascii="宋体" w:hAnsi="宋体" w:eastAsia="宋体" w:cs="宋体"/>
          <w:b/>
          <w:bCs/>
          <w:color w:val="000000"/>
          <w:sz w:val="21"/>
          <w:szCs w:val="21"/>
        </w:rPr>
      </w:pPr>
      <w:bookmarkStart w:id="460" w:name="_Toc20623"/>
      <w:bookmarkStart w:id="461" w:name="_Toc13541"/>
      <w:bookmarkStart w:id="462" w:name="_Toc25204"/>
      <w:bookmarkStart w:id="463" w:name="_Toc18820"/>
      <w:bookmarkStart w:id="464" w:name="_Toc8938"/>
      <w:bookmarkStart w:id="465" w:name="_Toc20137"/>
      <w:bookmarkStart w:id="466" w:name="_Toc8857"/>
      <w:bookmarkStart w:id="467" w:name="_Toc10903"/>
      <w:bookmarkStart w:id="468" w:name="_Toc1243"/>
      <w:r>
        <w:rPr>
          <w:rFonts w:hint="eastAsia" w:ascii="宋体" w:hAnsi="宋体" w:eastAsia="宋体" w:cs="宋体"/>
          <w:b/>
          <w:bCs/>
          <w:color w:val="000000"/>
          <w:sz w:val="21"/>
          <w:szCs w:val="21"/>
        </w:rPr>
        <w:t>附录1 授权委托书</w:t>
      </w:r>
      <w:bookmarkEnd w:id="457"/>
      <w:bookmarkEnd w:id="458"/>
      <w:bookmarkEnd w:id="459"/>
      <w:r>
        <w:rPr>
          <w:rFonts w:hint="eastAsia" w:ascii="宋体" w:hAnsi="宋体" w:eastAsia="宋体" w:cs="宋体"/>
          <w:b/>
          <w:bCs/>
          <w:color w:val="000000"/>
          <w:sz w:val="21"/>
          <w:szCs w:val="21"/>
        </w:rPr>
        <w:t>（格式）</w:t>
      </w:r>
      <w:bookmarkEnd w:id="460"/>
      <w:bookmarkEnd w:id="461"/>
      <w:bookmarkEnd w:id="462"/>
      <w:bookmarkEnd w:id="463"/>
      <w:bookmarkEnd w:id="464"/>
      <w:bookmarkEnd w:id="465"/>
      <w:bookmarkEnd w:id="466"/>
      <w:bookmarkEnd w:id="467"/>
      <w:bookmarkEnd w:id="468"/>
    </w:p>
    <w:p>
      <w:pPr>
        <w:snapToGrid w:val="0"/>
        <w:spacing w:line="360" w:lineRule="auto"/>
        <w:jc w:val="center"/>
        <w:rPr>
          <w:rFonts w:hint="eastAsia" w:ascii="宋体" w:hAnsi="宋体" w:eastAsia="宋体" w:cs="宋体"/>
          <w:b/>
          <w:color w:val="000000"/>
          <w:sz w:val="21"/>
          <w:szCs w:val="21"/>
        </w:rPr>
      </w:pPr>
    </w:p>
    <w:p>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授权委托书</w:t>
      </w:r>
    </w:p>
    <w:p>
      <w:pPr>
        <w:snapToGrid w:val="0"/>
        <w:spacing w:line="360" w:lineRule="auto"/>
        <w:rPr>
          <w:rFonts w:hint="eastAsia" w:ascii="宋体" w:hAnsi="宋体" w:eastAsia="宋体" w:cs="宋体"/>
          <w:b/>
          <w:color w:val="000000"/>
          <w:sz w:val="21"/>
          <w:szCs w:val="21"/>
        </w:rPr>
      </w:pP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本授权书声明：注册于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（国家名称）的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（乙方全称）在下面签字的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（法定代表人姓名、职务）代表本公司授权在下面签字的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（被授权人的姓名、职务）为本公司的合法代表，就合同编号为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合同》（以下简称“合同”）的签约、执行和质量保证期服务、售后服务期服务等，并以本公司名义处理一切与之有关的事务。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本授权书于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日签字生效，特此声明。</w:t>
      </w:r>
    </w:p>
    <w:p>
      <w:pPr>
        <w:snapToGrid w:val="0"/>
        <w:spacing w:line="360" w:lineRule="auto"/>
        <w:rPr>
          <w:rFonts w:hint="eastAsia" w:ascii="宋体" w:hAnsi="宋体" w:eastAsia="宋体" w:cs="宋体"/>
          <w:color w:val="000000"/>
          <w:sz w:val="21"/>
          <w:szCs w:val="21"/>
        </w:rPr>
      </w:pP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授权代表（被授权人，即授权代理人）签字：</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乙方全称（公章）：</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乙方地址：</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p>
    <w:p>
      <w:pPr>
        <w:snapToGrid w:val="0"/>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附：</w:t>
      </w:r>
      <w:r>
        <w:rPr>
          <w:rFonts w:hint="eastAsia" w:ascii="宋体" w:hAnsi="宋体" w:eastAsia="宋体" w:cs="宋体"/>
          <w:color w:val="000000"/>
          <w:sz w:val="21"/>
          <w:szCs w:val="21"/>
        </w:rPr>
        <w:t>授权人的法定代表人证明材料复印件（加盖单位公章）、授权人和被授权人的身份证彩色影印件（加盖单位公章）</w:t>
      </w:r>
    </w:p>
    <w:p>
      <w:pPr>
        <w:adjustRightInd w:val="0"/>
        <w:snapToGrid w:val="0"/>
        <w:spacing w:line="360" w:lineRule="auto"/>
        <w:outlineLvl w:val="1"/>
        <w:rPr>
          <w:rFonts w:hint="eastAsia" w:ascii="宋体" w:hAnsi="宋体" w:eastAsia="宋体" w:cs="宋体"/>
          <w:b/>
          <w:bCs/>
          <w:color w:val="000000"/>
          <w:sz w:val="21"/>
          <w:szCs w:val="21"/>
        </w:rPr>
      </w:pPr>
      <w:r>
        <w:rPr>
          <w:rFonts w:hint="eastAsia" w:ascii="宋体" w:hAnsi="宋体" w:eastAsia="宋体" w:cs="宋体"/>
          <w:bCs/>
          <w:color w:val="000000"/>
          <w:sz w:val="21"/>
          <w:szCs w:val="21"/>
        </w:rPr>
        <w:br w:type="page"/>
      </w:r>
      <w:bookmarkStart w:id="469" w:name="_Toc437444977"/>
      <w:bookmarkStart w:id="470" w:name="_Toc16781"/>
      <w:bookmarkStart w:id="471" w:name="_Toc319826226"/>
      <w:bookmarkStart w:id="472" w:name="_Toc6815"/>
      <w:bookmarkStart w:id="473" w:name="_Toc12472"/>
      <w:bookmarkStart w:id="474" w:name="_Toc209"/>
      <w:bookmarkStart w:id="475" w:name="_Toc9771"/>
      <w:bookmarkStart w:id="476" w:name="_Toc20786"/>
      <w:bookmarkStart w:id="477" w:name="_Toc24234"/>
      <w:bookmarkStart w:id="478" w:name="_Toc12241"/>
      <w:bookmarkStart w:id="479" w:name="_Toc6255"/>
      <w:bookmarkStart w:id="480" w:name="_Toc31338"/>
      <w:r>
        <w:rPr>
          <w:rFonts w:hint="eastAsia" w:ascii="宋体" w:hAnsi="宋体" w:eastAsia="宋体" w:cs="宋体"/>
          <w:b/>
          <w:bCs/>
          <w:color w:val="000000"/>
          <w:sz w:val="21"/>
          <w:szCs w:val="21"/>
        </w:rPr>
        <w:t>附录2 银行履约保函</w:t>
      </w:r>
      <w:bookmarkEnd w:id="469"/>
      <w:bookmarkEnd w:id="470"/>
      <w:bookmarkEnd w:id="471"/>
      <w:r>
        <w:rPr>
          <w:rFonts w:hint="eastAsia" w:ascii="宋体" w:hAnsi="宋体" w:eastAsia="宋体" w:cs="宋体"/>
          <w:b/>
          <w:bCs/>
          <w:color w:val="000000"/>
          <w:sz w:val="21"/>
          <w:szCs w:val="21"/>
        </w:rPr>
        <w:t>（格式）</w:t>
      </w:r>
      <w:bookmarkEnd w:id="472"/>
      <w:bookmarkEnd w:id="473"/>
      <w:bookmarkEnd w:id="474"/>
      <w:bookmarkEnd w:id="475"/>
      <w:bookmarkEnd w:id="476"/>
      <w:bookmarkEnd w:id="477"/>
      <w:bookmarkEnd w:id="478"/>
      <w:bookmarkEnd w:id="479"/>
      <w:bookmarkEnd w:id="480"/>
    </w:p>
    <w:p>
      <w:pPr>
        <w:snapToGrid w:val="0"/>
        <w:spacing w:line="360" w:lineRule="auto"/>
        <w:jc w:val="center"/>
        <w:rPr>
          <w:rFonts w:hint="eastAsia" w:ascii="宋体" w:hAnsi="宋体" w:eastAsia="宋体" w:cs="宋体"/>
          <w:b/>
          <w:color w:val="000000"/>
          <w:sz w:val="21"/>
          <w:szCs w:val="21"/>
        </w:rPr>
      </w:pPr>
    </w:p>
    <w:p>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银行履约保函</w:t>
      </w:r>
    </w:p>
    <w:p>
      <w:pPr>
        <w:snapToGrid w:val="0"/>
        <w:spacing w:line="360" w:lineRule="auto"/>
        <w:ind w:right="480" w:firstLine="420" w:firstLineChars="2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pPr>
        <w:snapToGrid w:val="0"/>
        <w:spacing w:line="360" w:lineRule="auto"/>
        <w:ind w:right="48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                                              保函编号：</w:t>
      </w:r>
      <w:r>
        <w:rPr>
          <w:rFonts w:hint="eastAsia" w:ascii="宋体" w:hAnsi="宋体" w:eastAsia="宋体" w:cs="宋体"/>
          <w:color w:val="000000"/>
          <w:sz w:val="21"/>
          <w:szCs w:val="21"/>
          <w:u w:val="single"/>
        </w:rPr>
        <w:t xml:space="preserve">             </w:t>
      </w:r>
    </w:p>
    <w:p>
      <w:pPr>
        <w:snapToGrid w:val="0"/>
        <w:spacing w:line="360" w:lineRule="auto"/>
        <w:ind w:right="480"/>
        <w:rPr>
          <w:rFonts w:hint="eastAsia" w:ascii="宋体" w:hAnsi="宋体" w:eastAsia="宋体" w:cs="宋体"/>
          <w:color w:val="000000"/>
          <w:sz w:val="21"/>
          <w:szCs w:val="21"/>
        </w:rPr>
      </w:pP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（甲方名称）：</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鉴于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（甲方名称，以下简称“你方”）与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（乙方名称，以下简称“乙方”）于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日协商一致共同签订合同编号为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合同》（以下简称“合同”）。 我方愿意无条件地、不可撤销地就乙方履行与你方签订的合同，向你方提供连带责任担保。</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1.担保金额为人民币（大写）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元（小写：¥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 担保有效期自本保函生效之日起至合同约定执行计划中供货、安装、调试最晚之日止。</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3.在本担保有效期内，因乙方违反合同约定的义务给你方造成经济损失时，我方在收到你方以书面形式提出的在担保金额内的赔偿要求后，在7个工作日内无条件支付。</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4.你方和乙方按合同约定变更合同时，我方承担本担保规定的义务不变。</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5.因本保函发生的纠纷，可由双方协商解决，协商不成的，任何一方均可提请在甲方所在地仲裁委员会仲裁。</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6.本保函自我方法定代表人或授权代理人签字并加盖公章之日起生效。</w:t>
      </w:r>
    </w:p>
    <w:p>
      <w:pPr>
        <w:adjustRightInd w:val="0"/>
        <w:snapToGrid w:val="0"/>
        <w:spacing w:line="360" w:lineRule="auto"/>
        <w:ind w:left="15" w:leftChars="7" w:firstLine="352" w:firstLineChars="168"/>
        <w:rPr>
          <w:rFonts w:hint="eastAsia" w:ascii="宋体" w:hAnsi="宋体" w:eastAsia="宋体" w:cs="宋体"/>
          <w:color w:val="000000"/>
          <w:sz w:val="21"/>
          <w:szCs w:val="21"/>
        </w:rPr>
      </w:pP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担保人：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（盖单位章）</w:t>
      </w:r>
    </w:p>
    <w:p>
      <w:pPr>
        <w:adjustRightInd w:val="0"/>
        <w:snapToGrid w:val="0"/>
        <w:spacing w:line="360" w:lineRule="auto"/>
        <w:ind w:left="15" w:leftChars="7" w:firstLine="352" w:firstLineChars="168"/>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法定代表人或授权代理人：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（签字）</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地址：</w:t>
      </w:r>
      <w:r>
        <w:rPr>
          <w:rFonts w:hint="eastAsia" w:ascii="宋体" w:hAnsi="宋体" w:eastAsia="宋体" w:cs="宋体"/>
          <w:color w:val="000000"/>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邮政编码： </w:t>
      </w:r>
      <w:r>
        <w:rPr>
          <w:rFonts w:hint="eastAsia" w:ascii="宋体" w:hAnsi="宋体" w:eastAsia="宋体" w:cs="宋体"/>
          <w:color w:val="000000"/>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电话： </w:t>
      </w:r>
      <w:r>
        <w:rPr>
          <w:rFonts w:hint="eastAsia" w:ascii="宋体" w:hAnsi="宋体" w:eastAsia="宋体" w:cs="宋体"/>
          <w:color w:val="000000"/>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传真：</w:t>
      </w:r>
      <w:r>
        <w:rPr>
          <w:rFonts w:hint="eastAsia" w:ascii="宋体" w:hAnsi="宋体" w:eastAsia="宋体" w:cs="宋体"/>
          <w:color w:val="000000"/>
          <w:sz w:val="21"/>
          <w:szCs w:val="21"/>
          <w:u w:val="single"/>
        </w:rPr>
        <w:t xml:space="preserve">           </w:t>
      </w:r>
    </w:p>
    <w:p>
      <w:pPr>
        <w:pStyle w:val="13"/>
        <w:rPr>
          <w:rFonts w:hint="eastAsia" w:ascii="宋体" w:hAnsi="宋体" w:eastAsia="宋体" w:cs="宋体"/>
          <w:sz w:val="21"/>
          <w:szCs w:val="21"/>
        </w:rPr>
        <w:sectPr>
          <w:footerReference r:id="rId10" w:type="default"/>
          <w:pgSz w:w="11906" w:h="16838"/>
          <w:pgMar w:top="1440" w:right="1797" w:bottom="1440" w:left="1797" w:header="851" w:footer="851" w:gutter="0"/>
          <w:pgNumType w:fmt="decimal"/>
          <w:cols w:space="720" w:num="1"/>
          <w:docGrid w:linePitch="312" w:charSpace="0"/>
        </w:sect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bookmarkEnd w:id="157"/>
      <w:bookmarkEnd w:id="158"/>
    </w:p>
    <w:p>
      <w:pPr>
        <w:keepNext w:val="0"/>
        <w:keepLines w:val="0"/>
        <w:pageBreakBefore w:val="0"/>
        <w:kinsoku/>
        <w:wordWrap/>
        <w:overflowPunct/>
        <w:topLinePunct w:val="0"/>
        <w:bidi w:val="0"/>
        <w:spacing w:after="240"/>
        <w:jc w:val="center"/>
        <w:outlineLvl w:val="9"/>
        <w:rPr>
          <w:rFonts w:hint="eastAsia" w:ascii="宋体" w:hAnsi="宋体" w:eastAsia="宋体" w:cs="宋体"/>
          <w:b/>
          <w:bCs/>
          <w:sz w:val="32"/>
          <w:szCs w:val="32"/>
        </w:rPr>
      </w:pPr>
      <w:bookmarkStart w:id="481" w:name="_Toc20891"/>
      <w:bookmarkStart w:id="482" w:name="_Toc29654"/>
      <w:bookmarkStart w:id="483" w:name="_Toc14277"/>
      <w:bookmarkStart w:id="484" w:name="_Toc5097"/>
      <w:r>
        <w:rPr>
          <w:rFonts w:hint="eastAsia" w:ascii="宋体" w:hAnsi="宋体" w:eastAsia="宋体" w:cs="宋体"/>
          <w:b/>
          <w:bCs/>
          <w:sz w:val="32"/>
          <w:szCs w:val="32"/>
        </w:rPr>
        <w:pict>
          <v:shape id="文本框 1" o:spid="_x0000_s1026" o:spt="202" type="#_x0000_t202" style="position:absolute;left:0pt;margin-left:336.75pt;margin-top:30.3pt;height:33pt;width:87.75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r>
        <w:rPr>
          <w:rFonts w:hint="eastAsia" w:ascii="宋体" w:hAnsi="宋体" w:eastAsia="宋体" w:cs="宋体"/>
          <w:b/>
          <w:bCs/>
          <w:sz w:val="32"/>
          <w:szCs w:val="32"/>
        </w:rPr>
        <w:t>第六章</w:t>
      </w:r>
      <w:bookmarkStart w:id="485" w:name="_Toc14891079"/>
      <w:r>
        <w:rPr>
          <w:rFonts w:hint="eastAsia" w:ascii="宋体" w:hAnsi="宋体" w:eastAsia="宋体" w:cs="宋体"/>
          <w:b/>
          <w:bCs/>
          <w:sz w:val="32"/>
          <w:szCs w:val="32"/>
        </w:rPr>
        <w:t xml:space="preserve">  响应文件组成</w:t>
      </w:r>
      <w:bookmarkEnd w:id="481"/>
      <w:bookmarkEnd w:id="482"/>
      <w:bookmarkEnd w:id="483"/>
      <w:bookmarkEnd w:id="484"/>
      <w:bookmarkEnd w:id="485"/>
    </w:p>
    <w:p>
      <w:pPr>
        <w:keepNext w:val="0"/>
        <w:keepLines w:val="0"/>
        <w:pageBreakBefore w:val="0"/>
        <w:kinsoku/>
        <w:wordWrap/>
        <w:overflowPunct/>
        <w:topLinePunct w:val="0"/>
        <w:bidi w:val="0"/>
        <w:spacing w:line="360" w:lineRule="auto"/>
        <w:outlineLvl w:val="9"/>
        <w:rPr>
          <w:rFonts w:ascii="宋体" w:hAnsi="宋体"/>
          <w:b/>
          <w:bCs/>
          <w:sz w:val="52"/>
          <w:szCs w:val="52"/>
        </w:rPr>
      </w:pPr>
    </w:p>
    <w:p>
      <w:pPr>
        <w:pStyle w:val="13"/>
        <w:keepNext w:val="0"/>
        <w:keepLines w:val="0"/>
        <w:pageBreakBefore w:val="0"/>
        <w:kinsoku/>
        <w:wordWrap/>
        <w:overflowPunct/>
        <w:topLinePunct w:val="0"/>
        <w:bidi w:val="0"/>
        <w:spacing w:line="360" w:lineRule="auto"/>
        <w:outlineLvl w:val="9"/>
        <w:rPr>
          <w:rFonts w:ascii="宋体" w:hAnsi="宋体"/>
        </w:rPr>
      </w:pPr>
    </w:p>
    <w:p>
      <w:pPr>
        <w:keepNext w:val="0"/>
        <w:keepLines w:val="0"/>
        <w:pageBreakBefore w:val="0"/>
        <w:kinsoku/>
        <w:wordWrap/>
        <w:overflowPunct/>
        <w:topLinePunct w:val="0"/>
        <w:bidi w:val="0"/>
        <w:spacing w:line="360" w:lineRule="auto"/>
        <w:jc w:val="center"/>
        <w:outlineLvl w:val="9"/>
        <w:rPr>
          <w:rFonts w:ascii="宋体" w:hAnsi="宋体"/>
          <w:b/>
          <w:bCs/>
          <w:sz w:val="52"/>
          <w:szCs w:val="52"/>
        </w:rPr>
      </w:pPr>
      <w:r>
        <w:rPr>
          <w:rFonts w:hint="eastAsia" w:ascii="宋体" w:hAnsi="宋体"/>
          <w:b/>
          <w:bCs/>
          <w:sz w:val="52"/>
          <w:szCs w:val="52"/>
        </w:rPr>
        <w:t>自主竞争性谈判</w:t>
      </w:r>
    </w:p>
    <w:p>
      <w:pPr>
        <w:keepNext w:val="0"/>
        <w:keepLines w:val="0"/>
        <w:pageBreakBefore w:val="0"/>
        <w:kinsoku/>
        <w:wordWrap/>
        <w:overflowPunct/>
        <w:topLinePunct w:val="0"/>
        <w:bidi w:val="0"/>
        <w:adjustRightInd w:val="0"/>
        <w:snapToGrid w:val="0"/>
        <w:spacing w:line="360" w:lineRule="auto"/>
        <w:jc w:val="center"/>
        <w:outlineLvl w:val="9"/>
        <w:rPr>
          <w:rFonts w:ascii="宋体" w:hAnsi="宋体"/>
          <w:b/>
          <w:bCs/>
          <w:sz w:val="52"/>
          <w:szCs w:val="52"/>
        </w:rPr>
      </w:pPr>
      <w:r>
        <w:rPr>
          <w:rFonts w:hint="eastAsia" w:ascii="宋体" w:hAnsi="宋体"/>
          <w:b/>
          <w:bCs/>
          <w:sz w:val="52"/>
          <w:szCs w:val="52"/>
        </w:rPr>
        <w:t>响应文件</w:t>
      </w:r>
    </w:p>
    <w:p>
      <w:pPr>
        <w:keepNext w:val="0"/>
        <w:keepLines w:val="0"/>
        <w:pageBreakBefore w:val="0"/>
        <w:kinsoku/>
        <w:wordWrap/>
        <w:overflowPunct/>
        <w:topLinePunct w:val="0"/>
        <w:bidi w:val="0"/>
        <w:spacing w:line="360" w:lineRule="auto"/>
        <w:outlineLvl w:val="9"/>
        <w:rPr>
          <w:rFonts w:ascii="宋体" w:hAnsi="宋体"/>
          <w:sz w:val="28"/>
          <w:szCs w:val="28"/>
        </w:rPr>
      </w:pPr>
    </w:p>
    <w:p>
      <w:pPr>
        <w:pStyle w:val="25"/>
        <w:keepNext w:val="0"/>
        <w:keepLines w:val="0"/>
        <w:pageBreakBefore w:val="0"/>
        <w:kinsoku/>
        <w:wordWrap/>
        <w:overflowPunct/>
        <w:topLinePunct w:val="0"/>
        <w:bidi w:val="0"/>
        <w:outlineLvl w:val="9"/>
        <w:rPr>
          <w:rFonts w:hAnsi="宋体"/>
          <w:b/>
          <w:sz w:val="32"/>
          <w:szCs w:val="32"/>
        </w:rPr>
      </w:pPr>
    </w:p>
    <w:p>
      <w:pPr>
        <w:pStyle w:val="25"/>
        <w:keepNext w:val="0"/>
        <w:keepLines w:val="0"/>
        <w:pageBreakBefore w:val="0"/>
        <w:kinsoku/>
        <w:wordWrap/>
        <w:overflowPunct/>
        <w:topLinePunct w:val="0"/>
        <w:bidi w:val="0"/>
        <w:adjustRightInd w:val="0"/>
        <w:snapToGrid w:val="0"/>
        <w:spacing w:line="360" w:lineRule="auto"/>
        <w:outlineLvl w:val="9"/>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outlineLvl w:val="9"/>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outlineLvl w:val="9"/>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jc w:val="center"/>
        <w:outlineLvl w:val="9"/>
        <w:rPr>
          <w:rFonts w:hAnsi="宋体"/>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keepNext w:val="0"/>
        <w:keepLines w:val="0"/>
        <w:pageBreakBefore w:val="0"/>
        <w:kinsoku/>
        <w:wordWrap/>
        <w:overflowPunct/>
        <w:topLinePunct w:val="0"/>
        <w:bidi w:val="0"/>
        <w:spacing w:line="360" w:lineRule="exact"/>
        <w:outlineLvl w:val="9"/>
        <w:rPr>
          <w:rFonts w:ascii="宋体" w:hAnsi="宋体"/>
          <w:b/>
        </w:rPr>
      </w:pPr>
    </w:p>
    <w:p>
      <w:pPr>
        <w:keepNext w:val="0"/>
        <w:keepLines w:val="0"/>
        <w:pageBreakBefore w:val="0"/>
        <w:kinsoku/>
        <w:wordWrap/>
        <w:overflowPunct/>
        <w:topLinePunct w:val="0"/>
        <w:bidi w:val="0"/>
        <w:adjustRightInd w:val="0"/>
        <w:snapToGrid w:val="0"/>
        <w:spacing w:line="360" w:lineRule="auto"/>
        <w:jc w:val="center"/>
        <w:outlineLvl w:val="9"/>
        <w:rPr>
          <w:rFonts w:ascii="宋体" w:hAnsi="宋体"/>
          <w:b/>
          <w:sz w:val="32"/>
          <w:szCs w:val="32"/>
        </w:rPr>
        <w:sectPr>
          <w:pgSz w:w="11906" w:h="16838"/>
          <w:pgMar w:top="1440" w:right="1797" w:bottom="1440" w:left="1797" w:header="851" w:footer="851" w:gutter="0"/>
          <w:pgNumType w:fmt="decimal"/>
          <w:cols w:space="720" w:num="1"/>
          <w:docGrid w:linePitch="312" w:charSpace="0"/>
        </w:sectPr>
      </w:pPr>
    </w:p>
    <w:p>
      <w:pPr>
        <w:keepNext w:val="0"/>
        <w:keepLines w:val="0"/>
        <w:pageBreakBefore w:val="0"/>
        <w:widowControl/>
        <w:kinsoku/>
        <w:wordWrap/>
        <w:overflowPunct/>
        <w:topLinePunct w:val="0"/>
        <w:bidi w:val="0"/>
        <w:spacing w:line="360" w:lineRule="auto"/>
        <w:jc w:val="center"/>
        <w:outlineLvl w:val="9"/>
        <w:rPr>
          <w:rFonts w:ascii="宋体" w:hAnsi="宋体" w:cs="宋体"/>
          <w:b/>
          <w:bCs/>
          <w:sz w:val="32"/>
          <w:szCs w:val="32"/>
        </w:rPr>
      </w:pPr>
      <w:r>
        <w:rPr>
          <w:rFonts w:hint="eastAsia" w:ascii="宋体" w:hAnsi="宋体"/>
          <w:b/>
          <w:sz w:val="32"/>
          <w:szCs w:val="32"/>
        </w:rPr>
        <w:t>目   录</w:t>
      </w:r>
    </w:p>
    <w:p>
      <w:pPr>
        <w:keepNext w:val="0"/>
        <w:keepLines w:val="0"/>
        <w:pageBreakBefore w:val="0"/>
        <w:kinsoku/>
        <w:wordWrap/>
        <w:overflowPunct/>
        <w:topLinePunct w:val="0"/>
        <w:bidi w:val="0"/>
        <w:adjustRightInd w:val="0"/>
        <w:snapToGrid w:val="0"/>
        <w:spacing w:line="360" w:lineRule="auto"/>
        <w:ind w:firstLine="480" w:firstLineChars="200"/>
        <w:outlineLvl w:val="9"/>
        <w:rPr>
          <w:rFonts w:ascii="宋体" w:hAnsi="宋体"/>
          <w:sz w:val="24"/>
        </w:rPr>
      </w:pP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一、谈判承诺书</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二、法定代表人身份证明书</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三、授权委托书</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四、谈判单位资格证明文件</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五、报价一览表</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六、分项价格表</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七、其他资料（如有）</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outlineLvl w:val="1"/>
        <w:rPr>
          <w:rFonts w:ascii="宋体" w:hAnsi="宋体"/>
          <w:b/>
          <w:sz w:val="32"/>
          <w:szCs w:val="32"/>
        </w:rPr>
      </w:pPr>
      <w:r>
        <w:rPr>
          <w:rFonts w:hint="eastAsia" w:ascii="宋体" w:hAnsi="宋体"/>
          <w:sz w:val="24"/>
        </w:rPr>
        <w:br w:type="page"/>
      </w:r>
      <w:bookmarkStart w:id="486" w:name="_Toc14530"/>
      <w:bookmarkStart w:id="487" w:name="_Toc32600"/>
      <w:bookmarkStart w:id="488" w:name="_Toc32569"/>
      <w:bookmarkStart w:id="489" w:name="_Toc24865"/>
      <w:r>
        <w:rPr>
          <w:rFonts w:hint="eastAsia" w:ascii="宋体" w:hAnsi="宋体" w:cs="宋体"/>
          <w:b/>
          <w:sz w:val="32"/>
          <w:szCs w:val="32"/>
        </w:rPr>
        <w:t>一、谈判承诺书</w:t>
      </w:r>
      <w:bookmarkEnd w:id="486"/>
      <w:bookmarkEnd w:id="487"/>
      <w:bookmarkEnd w:id="488"/>
      <w:bookmarkEnd w:id="489"/>
    </w:p>
    <w:p>
      <w:pPr>
        <w:keepNext w:val="0"/>
        <w:keepLines w:val="0"/>
        <w:pageBreakBefore w:val="0"/>
        <w:kinsoku/>
        <w:wordWrap/>
        <w:overflowPunct/>
        <w:topLinePunct w:val="0"/>
        <w:bidi w:val="0"/>
        <w:adjustRightInd w:val="0"/>
        <w:snapToGrid w:val="0"/>
        <w:spacing w:line="360" w:lineRule="auto"/>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outlineLvl w:val="9"/>
        <w:rPr>
          <w:rFonts w:ascii="宋体" w:hAnsi="宋体"/>
          <w:szCs w:val="21"/>
        </w:rPr>
      </w:pPr>
      <w:r>
        <w:rPr>
          <w:rFonts w:hint="eastAsia" w:ascii="宋体" w:hAnsi="宋体"/>
          <w:szCs w:val="21"/>
        </w:rPr>
        <w:t>致</w:t>
      </w:r>
      <w:r>
        <w:rPr>
          <w:rFonts w:hint="eastAsia" w:ascii="宋体" w:hAnsi="宋体"/>
          <w:szCs w:val="21"/>
          <w:lang w:eastAsia="zh-CN"/>
        </w:rPr>
        <w:t>（</w:t>
      </w:r>
      <w:r>
        <w:rPr>
          <w:rFonts w:hint="eastAsia" w:ascii="宋体" w:hAnsi="宋体"/>
          <w:szCs w:val="21"/>
        </w:rPr>
        <w:t>采购单位</w:t>
      </w:r>
      <w:r>
        <w:rPr>
          <w:rFonts w:hint="eastAsia" w:ascii="宋体" w:hAnsi="宋体"/>
          <w:szCs w:val="21"/>
          <w:lang w:eastAsia="zh-CN"/>
        </w:rPr>
        <w:t>）</w:t>
      </w:r>
      <w:r>
        <w:rPr>
          <w:rFonts w:hint="eastAsia" w:ascii="宋体" w:hAnsi="宋体"/>
          <w:szCs w:val="21"/>
        </w:rPr>
        <w:t>：</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u w:val="single"/>
          <w:lang w:eastAsia="zh-CN"/>
        </w:rPr>
        <w:t>（</w:t>
      </w:r>
      <w:r>
        <w:rPr>
          <w:rFonts w:hint="eastAsia" w:ascii="宋体" w:hAnsi="宋体"/>
          <w:szCs w:val="21"/>
        </w:rPr>
        <w:t>项目名称</w:t>
      </w:r>
      <w:r>
        <w:rPr>
          <w:rFonts w:hint="eastAsia" w:ascii="宋体" w:hAnsi="宋体"/>
          <w:szCs w:val="21"/>
          <w:lang w:eastAsia="zh-CN"/>
        </w:rPr>
        <w:t>）</w:t>
      </w:r>
      <w:r>
        <w:rPr>
          <w:rFonts w:hint="eastAsia" w:ascii="宋体" w:hAnsi="宋体"/>
          <w:szCs w:val="21"/>
        </w:rPr>
        <w:t>的竞争性谈判文件（谈判项目编号：         ）的全部内容，知悉参加竞争性谈判的风险，我方承诺接受谈判文件的全部条款且无任何异议。</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一、参与本项目竞争性谈判活动系本公司自愿行为。</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日历天内</w:t>
      </w:r>
      <w:r>
        <w:rPr>
          <w:rFonts w:hint="eastAsia" w:hAnsi="宋体"/>
          <w:lang w:eastAsia="zh-CN"/>
        </w:rPr>
        <w:t>（</w:t>
      </w:r>
      <w:r>
        <w:rPr>
          <w:rFonts w:hint="eastAsia" w:hAnsi="宋体"/>
        </w:rPr>
        <w:t>响应文件有效期</w:t>
      </w:r>
      <w:r>
        <w:rPr>
          <w:rFonts w:hint="eastAsia" w:hAnsi="宋体"/>
          <w:lang w:eastAsia="zh-CN"/>
        </w:rPr>
        <w:t>）</w:t>
      </w:r>
      <w:r>
        <w:rPr>
          <w:rFonts w:hint="eastAsia" w:hAnsi="宋体"/>
        </w:rPr>
        <w:t>遵守本响应文件中的承诺且在此期限期满之前均具有法律约束力。</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bCs/>
        </w:rPr>
      </w:pPr>
      <w:r>
        <w:rPr>
          <w:rFonts w:hint="eastAsia" w:hAnsi="宋体"/>
        </w:rPr>
        <w:t>三、我方提交的响应文件均为正本</w:t>
      </w:r>
      <w:r>
        <w:rPr>
          <w:rFonts w:hint="eastAsia" w:hAnsi="宋体"/>
          <w:u w:val="single"/>
          <w:lang w:val="en-US" w:eastAsia="zh-CN"/>
        </w:rPr>
        <w:t xml:space="preserve">   </w:t>
      </w:r>
      <w:r>
        <w:rPr>
          <w:rFonts w:hint="eastAsia" w:hAnsi="宋体"/>
        </w:rPr>
        <w:t>份和副本</w:t>
      </w:r>
      <w:r>
        <w:rPr>
          <w:rFonts w:hint="eastAsia" w:hAnsi="宋体"/>
          <w:u w:val="single"/>
          <w:lang w:val="en-US" w:eastAsia="zh-CN"/>
        </w:rPr>
        <w:t xml:space="preserve">   </w:t>
      </w:r>
      <w:r>
        <w:rPr>
          <w:rFonts w:hint="eastAsia" w:hAnsi="宋体"/>
        </w:rPr>
        <w:t>份，电子文件（包括响应文件全部内容）</w:t>
      </w:r>
      <w:r>
        <w:rPr>
          <w:rFonts w:hint="eastAsia" w:hAnsi="宋体"/>
          <w:u w:val="single"/>
          <w:lang w:val="en-US" w:eastAsia="zh-CN"/>
        </w:rPr>
        <w:t xml:space="preserve">   </w:t>
      </w:r>
      <w:r>
        <w:rPr>
          <w:rFonts w:hint="eastAsia" w:hAnsi="宋体"/>
        </w:rPr>
        <w:t>份，并保证响应文件提供的数据和材料是真实、准确的，且无低于成本的恶意报价行为。否则，愿承担由此引起的一切</w:t>
      </w:r>
      <w:r>
        <w:rPr>
          <w:rFonts w:hint="eastAsia" w:hAnsi="宋体"/>
          <w:bCs/>
        </w:rPr>
        <w:t>法律责任。</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四、遵守贵司各项管理制度和谈判现场纪律，服从现场工作人员管理，自觉维护贵司谈判活动秩序。</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五、保证没有组织、参与围标、串标行为。</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六、不与采购单位或者谈判评审小组成员私下联络和串通以牟取中选；不以他人名义参与谈判或者以其他方式弄虚作假骗取中选；不在谈判结束后进行虚假、恶意质疑和投诉。</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七、我方承诺，若贵方需要，我方愿意提供任何与本次谈判有关的数据、情况和技术资料。</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九、我方承诺在参与本次竞争性谈判过程中，若出现本文件第26条规定之情形，我方无条件接受条款规定作出的处罚。</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十、我方承诺完全响应本文件第四章“用户需求书”及第五章“合同格式条款”内的全部内容。</w:t>
      </w:r>
    </w:p>
    <w:p>
      <w:pPr>
        <w:keepNext w:val="0"/>
        <w:keepLines w:val="0"/>
        <w:pageBreakBefore w:val="0"/>
        <w:kinsoku/>
        <w:wordWrap/>
        <w:overflowPunct/>
        <w:topLinePunct w:val="0"/>
        <w:bidi w:val="0"/>
        <w:ind w:firstLine="420" w:firstLineChars="200"/>
        <w:outlineLvl w:val="9"/>
        <w:rPr>
          <w:rFonts w:ascii="宋体" w:hAnsi="宋体"/>
          <w:szCs w:val="21"/>
        </w:rPr>
      </w:pPr>
      <w:r>
        <w:rPr>
          <w:rFonts w:hint="eastAsia" w:ascii="宋体" w:hAnsi="宋体"/>
          <w:szCs w:val="21"/>
        </w:rPr>
        <w:t>十一、如有违反本承诺书内容的行为，愿意承担由此产生的法律责任及后果。</w:t>
      </w:r>
    </w:p>
    <w:p>
      <w:pPr>
        <w:keepNext w:val="0"/>
        <w:keepLines w:val="0"/>
        <w:pageBreakBefore w:val="0"/>
        <w:kinsoku/>
        <w:wordWrap/>
        <w:overflowPunct/>
        <w:topLinePunct w:val="0"/>
        <w:bidi w:val="0"/>
        <w:adjustRightInd w:val="0"/>
        <w:snapToGrid w:val="0"/>
        <w:spacing w:line="360" w:lineRule="auto"/>
        <w:ind w:right="24"/>
        <w:outlineLvl w:val="9"/>
        <w:rPr>
          <w:rFonts w:ascii="宋体" w:hAnsi="宋体"/>
          <w:bCs/>
          <w:szCs w:val="21"/>
        </w:rPr>
      </w:pPr>
    </w:p>
    <w:p>
      <w:pPr>
        <w:pStyle w:val="25"/>
        <w:keepNext w:val="0"/>
        <w:keepLines w:val="0"/>
        <w:pageBreakBefore w:val="0"/>
        <w:kinsoku/>
        <w:wordWrap/>
        <w:overflowPunct/>
        <w:topLinePunct w:val="0"/>
        <w:bidi w:val="0"/>
        <w:adjustRightInd w:val="0"/>
        <w:snapToGrid w:val="0"/>
        <w:spacing w:line="360" w:lineRule="auto"/>
        <w:outlineLvl w:val="9"/>
        <w:rPr>
          <w:rFonts w:hAnsi="宋体"/>
        </w:rPr>
      </w:pPr>
    </w:p>
    <w:p>
      <w:pPr>
        <w:pStyle w:val="25"/>
        <w:keepNext w:val="0"/>
        <w:keepLines w:val="0"/>
        <w:pageBreakBefore w:val="0"/>
        <w:kinsoku/>
        <w:wordWrap/>
        <w:overflowPunct/>
        <w:topLinePunct w:val="0"/>
        <w:bidi w:val="0"/>
        <w:adjustRightInd w:val="0"/>
        <w:snapToGrid w:val="0"/>
        <w:spacing w:line="360" w:lineRule="auto"/>
        <w:outlineLvl w:val="9"/>
        <w:rPr>
          <w:rFonts w:hAnsi="宋体"/>
        </w:rPr>
      </w:pPr>
    </w:p>
    <w:p>
      <w:pPr>
        <w:keepNext w:val="0"/>
        <w:keepLines w:val="0"/>
        <w:pageBreakBefore w:val="0"/>
        <w:kinsoku/>
        <w:wordWrap/>
        <w:overflowPunct/>
        <w:topLinePunct w:val="0"/>
        <w:bidi w:val="0"/>
        <w:spacing w:line="360" w:lineRule="auto"/>
        <w:outlineLvl w:val="9"/>
        <w:rPr>
          <w:rFonts w:ascii="宋体" w:hAnsi="宋体"/>
          <w:szCs w:val="21"/>
          <w:u w:val="single"/>
        </w:rPr>
      </w:pPr>
      <w:r>
        <w:rPr>
          <w:rFonts w:hint="eastAsia" w:ascii="宋体" w:hAnsi="宋体"/>
          <w:szCs w:val="21"/>
        </w:rPr>
        <w:t>谈判单位名称：</w:t>
      </w:r>
      <w:r>
        <w:rPr>
          <w:rFonts w:hint="eastAsia" w:ascii="宋体" w:hAnsi="宋体"/>
          <w:szCs w:val="21"/>
          <w:u w:val="single"/>
        </w:rPr>
        <w:t xml:space="preserve">    （盖单位章）    </w:t>
      </w:r>
    </w:p>
    <w:p>
      <w:pPr>
        <w:keepNext w:val="0"/>
        <w:keepLines w:val="0"/>
        <w:pageBreakBefore w:val="0"/>
        <w:kinsoku/>
        <w:wordWrap/>
        <w:overflowPunct/>
        <w:topLinePunct w:val="0"/>
        <w:bidi w:val="0"/>
        <w:spacing w:line="360" w:lineRule="auto"/>
        <w:outlineLvl w:val="9"/>
        <w:rPr>
          <w:rFonts w:ascii="宋体" w:hAnsi="宋体"/>
          <w:szCs w:val="21"/>
        </w:rPr>
      </w:pPr>
      <w:r>
        <w:rPr>
          <w:rFonts w:hint="eastAsia" w:ascii="宋体" w:hAnsi="宋体"/>
          <w:szCs w:val="21"/>
        </w:rPr>
        <w:t>法定代表人</w:t>
      </w:r>
      <w:r>
        <w:rPr>
          <w:rFonts w:hint="eastAsia" w:ascii="宋体" w:hAnsi="宋体"/>
          <w:szCs w:val="21"/>
          <w:lang w:eastAsia="zh-CN"/>
        </w:rPr>
        <w:t>（</w:t>
      </w:r>
      <w:r>
        <w:rPr>
          <w:rFonts w:hint="eastAsia" w:ascii="宋体" w:hAnsi="宋体"/>
          <w:szCs w:val="21"/>
        </w:rPr>
        <w:t>签字或盖章</w:t>
      </w:r>
      <w:r>
        <w:rPr>
          <w:rFonts w:hint="eastAsia" w:ascii="宋体" w:hAnsi="宋体"/>
          <w:szCs w:val="21"/>
          <w:lang w:eastAsia="zh-CN"/>
        </w:rPr>
        <w:t>）</w:t>
      </w:r>
      <w:r>
        <w:rPr>
          <w:rFonts w:hint="eastAsia" w:ascii="宋体" w:hAnsi="宋体"/>
          <w:szCs w:val="21"/>
        </w:rPr>
        <w:t>：</w:t>
      </w:r>
      <w:r>
        <w:rPr>
          <w:rFonts w:hint="eastAsia" w:ascii="宋体" w:hAnsi="宋体"/>
          <w:szCs w:val="21"/>
          <w:u w:val="single"/>
        </w:rPr>
        <w:t xml:space="preserve">               </w:t>
      </w:r>
    </w:p>
    <w:p>
      <w:pPr>
        <w:keepNext w:val="0"/>
        <w:keepLines w:val="0"/>
        <w:pageBreakBefore w:val="0"/>
        <w:kinsoku/>
        <w:wordWrap/>
        <w:overflowPunct/>
        <w:topLinePunct w:val="0"/>
        <w:bidi w:val="0"/>
        <w:spacing w:line="360" w:lineRule="auto"/>
        <w:outlineLvl w:val="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kinsoku/>
        <w:wordWrap/>
        <w:overflowPunct/>
        <w:topLinePunct w:val="0"/>
        <w:bidi w:val="0"/>
        <w:adjustRightInd w:val="0"/>
        <w:snapToGrid w:val="0"/>
        <w:spacing w:line="360" w:lineRule="auto"/>
        <w:ind w:right="24"/>
        <w:outlineLvl w:val="9"/>
        <w:rPr>
          <w:rFonts w:ascii="宋体" w:hAnsi="宋体"/>
          <w:bCs/>
          <w:szCs w:val="21"/>
        </w:rPr>
      </w:pPr>
    </w:p>
    <w:p>
      <w:pPr>
        <w:keepNext w:val="0"/>
        <w:keepLines w:val="0"/>
        <w:pageBreakBefore w:val="0"/>
        <w:kinsoku/>
        <w:wordWrap/>
        <w:overflowPunct/>
        <w:topLinePunct w:val="0"/>
        <w:bidi w:val="0"/>
        <w:adjustRightInd w:val="0"/>
        <w:snapToGrid w:val="0"/>
        <w:spacing w:line="360" w:lineRule="auto"/>
        <w:ind w:right="24"/>
        <w:outlineLvl w:val="9"/>
        <w:rPr>
          <w:rFonts w:ascii="宋体" w:hAnsi="宋体"/>
          <w:bCs/>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outlineLvl w:val="1"/>
        <w:rPr>
          <w:rFonts w:ascii="宋体" w:hAnsi="宋体" w:cs="宋体"/>
          <w:b/>
          <w:sz w:val="32"/>
          <w:szCs w:val="32"/>
        </w:rPr>
      </w:pPr>
      <w:bookmarkStart w:id="490" w:name="_Toc31277"/>
      <w:bookmarkStart w:id="491" w:name="_Toc24714"/>
      <w:bookmarkStart w:id="492" w:name="_Toc1313"/>
      <w:bookmarkStart w:id="493" w:name="_Toc3026"/>
      <w:r>
        <w:rPr>
          <w:rFonts w:hint="eastAsia" w:ascii="宋体" w:hAnsi="宋体" w:cs="宋体"/>
          <w:b/>
          <w:sz w:val="32"/>
          <w:szCs w:val="32"/>
        </w:rPr>
        <w:t>二、法定代表人身份证明书</w:t>
      </w:r>
      <w:bookmarkEnd w:id="490"/>
      <w:bookmarkEnd w:id="491"/>
      <w:bookmarkEnd w:id="492"/>
      <w:bookmarkEnd w:id="493"/>
    </w:p>
    <w:p>
      <w:pPr>
        <w:keepNext w:val="0"/>
        <w:keepLines w:val="0"/>
        <w:pageBreakBefore w:val="0"/>
        <w:kinsoku/>
        <w:wordWrap/>
        <w:overflowPunct/>
        <w:topLinePunct w:val="0"/>
        <w:bidi w:val="0"/>
        <w:snapToGrid w:val="0"/>
        <w:spacing w:line="480" w:lineRule="auto"/>
        <w:outlineLvl w:val="9"/>
        <w:rPr>
          <w:rFonts w:ascii="宋体" w:hAnsi="宋体"/>
          <w:szCs w:val="21"/>
        </w:rPr>
      </w:pPr>
    </w:p>
    <w:p>
      <w:pPr>
        <w:keepNext w:val="0"/>
        <w:keepLines w:val="0"/>
        <w:pageBreakBefore w:val="0"/>
        <w:kinsoku/>
        <w:wordWrap/>
        <w:overflowPunct/>
        <w:topLinePunct w:val="0"/>
        <w:autoSpaceDE w:val="0"/>
        <w:autoSpaceDN w:val="0"/>
        <w:bidi w:val="0"/>
        <w:adjustRightInd w:val="0"/>
        <w:snapToGrid w:val="0"/>
        <w:spacing w:beforeLines="50" w:line="360" w:lineRule="auto"/>
        <w:jc w:val="left"/>
        <w:outlineLvl w:val="9"/>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beforeLines="50" w:line="360" w:lineRule="auto"/>
        <w:jc w:val="left"/>
        <w:outlineLvl w:val="9"/>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keepNext w:val="0"/>
        <w:keepLines w:val="0"/>
        <w:pageBreakBefore w:val="0"/>
        <w:kinsoku/>
        <w:wordWrap/>
        <w:overflowPunct/>
        <w:topLinePunct w:val="0"/>
        <w:bidi w:val="0"/>
        <w:spacing w:line="360" w:lineRule="auto"/>
        <w:outlineLvl w:val="9"/>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kinsoku/>
        <w:wordWrap/>
        <w:overflowPunct/>
        <w:topLinePunct w:val="0"/>
        <w:autoSpaceDE w:val="0"/>
        <w:autoSpaceDN w:val="0"/>
        <w:bidi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keepNext w:val="0"/>
        <w:keepLines w:val="0"/>
        <w:pageBreakBefore w:val="0"/>
        <w:kinsoku/>
        <w:wordWrap/>
        <w:overflowPunct/>
        <w:topLinePunct w:val="0"/>
        <w:autoSpaceDE w:val="0"/>
        <w:autoSpaceDN w:val="0"/>
        <w:bidi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特此证明。</w:t>
      </w:r>
    </w:p>
    <w:p>
      <w:pPr>
        <w:keepNext w:val="0"/>
        <w:keepLines w:val="0"/>
        <w:pageBreakBefore w:val="0"/>
        <w:kinsoku/>
        <w:wordWrap/>
        <w:overflowPunct/>
        <w:topLinePunct w:val="0"/>
        <w:autoSpaceDE w:val="0"/>
        <w:autoSpaceDN w:val="0"/>
        <w:bidi w:val="0"/>
        <w:adjustRightInd w:val="0"/>
        <w:snapToGrid w:val="0"/>
        <w:spacing w:line="360" w:lineRule="auto"/>
        <w:jc w:val="left"/>
        <w:outlineLvl w:val="9"/>
        <w:rPr>
          <w:rFonts w:ascii="宋体" w:hAnsi="宋体"/>
          <w:szCs w:val="21"/>
        </w:rPr>
      </w:pPr>
      <w:r>
        <w:rPr>
          <w:rFonts w:ascii="宋体" w:hAnsi="宋体"/>
          <w:szCs w:val="21"/>
        </w:rPr>
        <w:pict>
          <v:rect id="矩形 4" o:spid="_x0000_s1027" o:spt="1" style="position:absolute;left:0pt;margin-left:222.1pt;margin-top:11.5pt;height:96.15pt;width:185.5pt;z-index:-2516439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szCs w:val="21"/>
        </w:rPr>
        <w:pict>
          <v:rect id="矩形 3" o:spid="_x0000_s1028" o:spt="1" style="position:absolute;left:0pt;margin-left:-8.8pt;margin-top:11.5pt;height:96.15pt;width:185.5pt;z-index:-2516449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keepNext w:val="0"/>
        <w:keepLines w:val="0"/>
        <w:pageBreakBefore w:val="0"/>
        <w:kinsoku/>
        <w:wordWrap/>
        <w:overflowPunct/>
        <w:topLinePunct w:val="0"/>
        <w:bidi w:val="0"/>
        <w:snapToGrid w:val="0"/>
        <w:outlineLvl w:val="9"/>
        <w:rPr>
          <w:rFonts w:ascii="宋体" w:hAnsi="宋体"/>
          <w:szCs w:val="21"/>
        </w:rPr>
      </w:pPr>
    </w:p>
    <w:p>
      <w:pPr>
        <w:keepNext w:val="0"/>
        <w:keepLines w:val="0"/>
        <w:pageBreakBefore w:val="0"/>
        <w:kinsoku/>
        <w:wordWrap/>
        <w:overflowPunct/>
        <w:topLinePunct w:val="0"/>
        <w:autoSpaceDE w:val="0"/>
        <w:autoSpaceDN w:val="0"/>
        <w:bidi w:val="0"/>
        <w:adjustRightInd w:val="0"/>
        <w:snapToGrid w:val="0"/>
        <w:spacing w:line="360" w:lineRule="auto"/>
        <w:jc w:val="left"/>
        <w:outlineLvl w:val="9"/>
        <w:rPr>
          <w:rFonts w:ascii="宋体" w:hAnsi="宋体"/>
          <w:szCs w:val="21"/>
        </w:rPr>
      </w:pPr>
    </w:p>
    <w:p>
      <w:pPr>
        <w:keepNext w:val="0"/>
        <w:keepLines w:val="0"/>
        <w:pageBreakBefore w:val="0"/>
        <w:kinsoku/>
        <w:wordWrap/>
        <w:overflowPunct/>
        <w:topLinePunct w:val="0"/>
        <w:autoSpaceDE w:val="0"/>
        <w:autoSpaceDN w:val="0"/>
        <w:bidi w:val="0"/>
        <w:adjustRightInd w:val="0"/>
        <w:snapToGrid w:val="0"/>
        <w:spacing w:line="360" w:lineRule="auto"/>
        <w:jc w:val="left"/>
        <w:outlineLvl w:val="9"/>
        <w:rPr>
          <w:rFonts w:ascii="宋体" w:hAnsi="宋体"/>
          <w:szCs w:val="21"/>
        </w:rPr>
      </w:pPr>
    </w:p>
    <w:p>
      <w:pPr>
        <w:keepNext w:val="0"/>
        <w:keepLines w:val="0"/>
        <w:pageBreakBefore w:val="0"/>
        <w:kinsoku/>
        <w:wordWrap/>
        <w:overflowPunct/>
        <w:topLinePunct w:val="0"/>
        <w:autoSpaceDE w:val="0"/>
        <w:autoSpaceDN w:val="0"/>
        <w:bidi w:val="0"/>
        <w:adjustRightInd w:val="0"/>
        <w:snapToGrid w:val="0"/>
        <w:spacing w:line="360" w:lineRule="auto"/>
        <w:jc w:val="left"/>
        <w:outlineLvl w:val="9"/>
        <w:rPr>
          <w:rFonts w:ascii="宋体" w:hAnsi="宋体"/>
          <w:szCs w:val="21"/>
        </w:rPr>
      </w:pPr>
    </w:p>
    <w:p>
      <w:pPr>
        <w:keepNext w:val="0"/>
        <w:keepLines w:val="0"/>
        <w:pageBreakBefore w:val="0"/>
        <w:kinsoku/>
        <w:wordWrap/>
        <w:overflowPunct/>
        <w:topLinePunct w:val="0"/>
        <w:autoSpaceDE w:val="0"/>
        <w:autoSpaceDN w:val="0"/>
        <w:bidi w:val="0"/>
        <w:adjustRightInd w:val="0"/>
        <w:snapToGrid w:val="0"/>
        <w:spacing w:line="360" w:lineRule="auto"/>
        <w:jc w:val="left"/>
        <w:outlineLvl w:val="9"/>
        <w:rPr>
          <w:rFonts w:ascii="宋体" w:hAnsi="宋体"/>
          <w:szCs w:val="21"/>
        </w:rPr>
      </w:pPr>
    </w:p>
    <w:p>
      <w:pPr>
        <w:keepNext w:val="0"/>
        <w:keepLines w:val="0"/>
        <w:pageBreakBefore w:val="0"/>
        <w:kinsoku/>
        <w:wordWrap/>
        <w:overflowPunct/>
        <w:topLinePunct w:val="0"/>
        <w:autoSpaceDE w:val="0"/>
        <w:autoSpaceDN w:val="0"/>
        <w:bidi w:val="0"/>
        <w:adjustRightInd w:val="0"/>
        <w:snapToGrid w:val="0"/>
        <w:spacing w:line="360" w:lineRule="auto"/>
        <w:jc w:val="left"/>
        <w:outlineLvl w:val="9"/>
        <w:rPr>
          <w:rFonts w:ascii="宋体" w:hAnsi="宋体"/>
          <w:szCs w:val="21"/>
        </w:rPr>
      </w:pPr>
      <w:r>
        <w:rPr>
          <w:rFonts w:hint="eastAsia" w:ascii="宋体" w:hAnsi="宋体"/>
          <w:b/>
          <w:szCs w:val="21"/>
        </w:rPr>
        <w:t>备注：上述证件复印件可另附页，另附页时，证件复印件均须加盖单位公章。</w:t>
      </w:r>
    </w:p>
    <w:p>
      <w:pPr>
        <w:keepNext w:val="0"/>
        <w:keepLines w:val="0"/>
        <w:pageBreakBefore w:val="0"/>
        <w:kinsoku/>
        <w:wordWrap/>
        <w:overflowPunct/>
        <w:topLinePunct w:val="0"/>
        <w:bidi w:val="0"/>
        <w:snapToGrid w:val="0"/>
        <w:outlineLvl w:val="9"/>
        <w:rPr>
          <w:rFonts w:ascii="宋体" w:hAnsi="宋体"/>
          <w:szCs w:val="21"/>
        </w:rPr>
      </w:pPr>
    </w:p>
    <w:p>
      <w:pPr>
        <w:keepNext w:val="0"/>
        <w:keepLines w:val="0"/>
        <w:pageBreakBefore w:val="0"/>
        <w:kinsoku/>
        <w:wordWrap/>
        <w:overflowPunct/>
        <w:topLinePunct w:val="0"/>
        <w:bidi w:val="0"/>
        <w:snapToGrid w:val="0"/>
        <w:outlineLvl w:val="9"/>
        <w:rPr>
          <w:rFonts w:ascii="宋体" w:hAnsi="宋体"/>
          <w:szCs w:val="21"/>
        </w:rPr>
      </w:pPr>
    </w:p>
    <w:p>
      <w:pPr>
        <w:keepNext w:val="0"/>
        <w:keepLines w:val="0"/>
        <w:pageBreakBefore w:val="0"/>
        <w:kinsoku/>
        <w:wordWrap/>
        <w:overflowPunct/>
        <w:topLinePunct w:val="0"/>
        <w:bidi w:val="0"/>
        <w:snapToGrid w:val="0"/>
        <w:outlineLvl w:val="9"/>
        <w:rPr>
          <w:rFonts w:ascii="宋体" w:hAnsi="宋体"/>
          <w:szCs w:val="21"/>
        </w:rPr>
      </w:pPr>
    </w:p>
    <w:p>
      <w:pPr>
        <w:keepNext w:val="0"/>
        <w:keepLines w:val="0"/>
        <w:pageBreakBefore w:val="0"/>
        <w:kinsoku/>
        <w:wordWrap/>
        <w:overflowPunct/>
        <w:topLinePunct w:val="0"/>
        <w:bidi w:val="0"/>
        <w:snapToGrid w:val="0"/>
        <w:outlineLvl w:val="9"/>
        <w:rPr>
          <w:rFonts w:ascii="宋体" w:hAnsi="宋体"/>
          <w:szCs w:val="21"/>
        </w:rPr>
      </w:pPr>
    </w:p>
    <w:p>
      <w:pPr>
        <w:keepNext w:val="0"/>
        <w:keepLines w:val="0"/>
        <w:pageBreakBefore w:val="0"/>
        <w:kinsoku/>
        <w:wordWrap/>
        <w:overflowPunct/>
        <w:topLinePunct w:val="0"/>
        <w:bidi w:val="0"/>
        <w:snapToGrid w:val="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ascii="宋体" w:hAnsi="宋体"/>
          <w:u w:val="single"/>
        </w:rPr>
        <w:t xml:space="preserve">    （盖单位章）    </w:t>
      </w:r>
    </w:p>
    <w:p>
      <w:pPr>
        <w:keepNext w:val="0"/>
        <w:keepLines w:val="0"/>
        <w:pageBreakBefore w:val="0"/>
        <w:kinsoku/>
        <w:wordWrap/>
        <w:overflowPunct/>
        <w:topLinePunct w:val="0"/>
        <w:bidi w:val="0"/>
        <w:spacing w:line="360" w:lineRule="auto"/>
        <w:outlineLvl w:val="9"/>
        <w:rPr>
          <w:rFonts w:ascii="宋体" w:hAnsi="宋体"/>
        </w:rPr>
      </w:pPr>
      <w:r>
        <w:rPr>
          <w:rFonts w:hint="eastAsia" w:ascii="宋体" w:hAnsi="宋体"/>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kinsoku/>
        <w:wordWrap/>
        <w:overflowPunct/>
        <w:topLinePunct w:val="0"/>
        <w:bidi w:val="0"/>
        <w:adjustRightInd w:val="0"/>
        <w:snapToGrid w:val="0"/>
        <w:spacing w:line="360" w:lineRule="auto"/>
        <w:ind w:right="24"/>
        <w:jc w:val="center"/>
        <w:outlineLvl w:val="9"/>
        <w:rPr>
          <w:rFonts w:hint="eastAsia" w:ascii="宋体" w:hAnsi="宋体" w:eastAsia="宋体" w:cs="宋体"/>
          <w:b/>
          <w:sz w:val="32"/>
          <w:szCs w:val="32"/>
        </w:rPr>
      </w:pPr>
      <w:r>
        <w:rPr>
          <w:rFonts w:ascii="宋体" w:hAnsi="宋体"/>
          <w:bCs/>
          <w:sz w:val="24"/>
        </w:rPr>
        <w:br w:type="page"/>
      </w:r>
      <w:bookmarkStart w:id="494" w:name="_Toc21066"/>
      <w:bookmarkStart w:id="495" w:name="_Toc761"/>
      <w:bookmarkStart w:id="496" w:name="_Toc8518"/>
      <w:bookmarkStart w:id="497" w:name="_Toc14170"/>
      <w:r>
        <w:rPr>
          <w:rFonts w:hint="eastAsia" w:ascii="宋体" w:hAnsi="宋体" w:eastAsia="宋体" w:cs="宋体"/>
          <w:b/>
          <w:sz w:val="32"/>
          <w:szCs w:val="32"/>
        </w:rPr>
        <w:t>三、授权委托书</w:t>
      </w:r>
      <w:bookmarkEnd w:id="494"/>
      <w:bookmarkEnd w:id="495"/>
      <w:bookmarkEnd w:id="496"/>
      <w:bookmarkEnd w:id="497"/>
    </w:p>
    <w:p>
      <w:pPr>
        <w:keepNext w:val="0"/>
        <w:keepLines w:val="0"/>
        <w:pageBreakBefore w:val="0"/>
        <w:kinsoku/>
        <w:wordWrap/>
        <w:overflowPunct/>
        <w:topLinePunct w:val="0"/>
        <w:bidi w:val="0"/>
        <w:adjustRightInd w:val="0"/>
        <w:snapToGrid w:val="0"/>
        <w:spacing w:line="360" w:lineRule="auto"/>
        <w:jc w:val="center"/>
        <w:outlineLvl w:val="9"/>
        <w:rPr>
          <w:rFonts w:ascii="宋体" w:hAnsi="宋体"/>
          <w:b/>
          <w:sz w:val="28"/>
          <w:szCs w:val="28"/>
        </w:rPr>
      </w:pPr>
    </w:p>
    <w:p>
      <w:pPr>
        <w:keepNext w:val="0"/>
        <w:keepLines w:val="0"/>
        <w:pageBreakBefore w:val="0"/>
        <w:kinsoku/>
        <w:wordWrap/>
        <w:overflowPunct/>
        <w:topLinePunct w:val="0"/>
        <w:autoSpaceDE w:val="0"/>
        <w:autoSpaceDN w:val="0"/>
        <w:bidi w:val="0"/>
        <w:adjustRightInd w:val="0"/>
        <w:snapToGrid w:val="0"/>
        <w:spacing w:beforeLines="50" w:line="360" w:lineRule="auto"/>
        <w:ind w:firstLine="420" w:firstLineChars="200"/>
        <w:outlineLvl w:val="9"/>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keepNext w:val="0"/>
        <w:keepLines w:val="0"/>
        <w:pageBreakBefore w:val="0"/>
        <w:kinsoku/>
        <w:wordWrap/>
        <w:overflowPunct/>
        <w:topLinePunct w:val="0"/>
        <w:bidi w:val="0"/>
        <w:spacing w:line="360" w:lineRule="auto"/>
        <w:ind w:firstLine="435"/>
        <w:outlineLvl w:val="9"/>
        <w:rPr>
          <w:rFonts w:ascii="宋体" w:hAnsi="宋体" w:cs="宋体"/>
          <w:kern w:val="0"/>
          <w:szCs w:val="21"/>
        </w:rPr>
      </w:pPr>
    </w:p>
    <w:p>
      <w:pPr>
        <w:keepNext w:val="0"/>
        <w:keepLines w:val="0"/>
        <w:pageBreakBefore w:val="0"/>
        <w:kinsoku/>
        <w:wordWrap/>
        <w:overflowPunct/>
        <w:topLinePunct w:val="0"/>
        <w:bidi w:val="0"/>
        <w:spacing w:line="360" w:lineRule="auto"/>
        <w:ind w:firstLine="435"/>
        <w:outlineLvl w:val="9"/>
        <w:rPr>
          <w:rFonts w:ascii="宋体" w:hAnsi="宋体" w:cs="宋体"/>
          <w:kern w:val="0"/>
          <w:szCs w:val="21"/>
        </w:rPr>
      </w:pPr>
    </w:p>
    <w:p>
      <w:pPr>
        <w:keepNext w:val="0"/>
        <w:keepLines w:val="0"/>
        <w:pageBreakBefore w:val="0"/>
        <w:kinsoku/>
        <w:wordWrap/>
        <w:overflowPunct/>
        <w:topLinePunct w:val="0"/>
        <w:bidi w:val="0"/>
        <w:spacing w:line="360" w:lineRule="auto"/>
        <w:ind w:firstLine="435"/>
        <w:outlineLvl w:val="9"/>
        <w:rPr>
          <w:rFonts w:ascii="宋体" w:hAnsi="宋体" w:cs="宋体"/>
          <w:kern w:val="0"/>
          <w:szCs w:val="21"/>
        </w:rPr>
      </w:pPr>
    </w:p>
    <w:p>
      <w:pPr>
        <w:keepNext w:val="0"/>
        <w:keepLines w:val="0"/>
        <w:pageBreakBefore w:val="0"/>
        <w:kinsoku/>
        <w:wordWrap/>
        <w:overflowPunct/>
        <w:topLinePunct w:val="0"/>
        <w:bidi w:val="0"/>
        <w:spacing w:line="360" w:lineRule="auto"/>
        <w:ind w:firstLine="435"/>
        <w:outlineLvl w:val="9"/>
        <w:rPr>
          <w:rFonts w:ascii="宋体" w:hAnsi="宋体" w:cs="宋体"/>
          <w:kern w:val="0"/>
          <w:szCs w:val="21"/>
        </w:rPr>
      </w:pPr>
      <w:r>
        <w:rPr>
          <w:rFonts w:hint="eastAsia" w:ascii="宋体" w:hAnsi="宋体" w:cs="宋体"/>
          <w:kern w:val="0"/>
          <w:szCs w:val="21"/>
        </w:rPr>
        <w:t>代理人无转委托权。</w:t>
      </w:r>
    </w:p>
    <w:p>
      <w:pPr>
        <w:keepNext w:val="0"/>
        <w:keepLines w:val="0"/>
        <w:pageBreakBefore w:val="0"/>
        <w:kinsoku/>
        <w:wordWrap/>
        <w:overflowPunct/>
        <w:topLinePunct w:val="0"/>
        <w:bidi w:val="0"/>
        <w:spacing w:line="360" w:lineRule="auto"/>
        <w:ind w:firstLine="435"/>
        <w:outlineLvl w:val="9"/>
        <w:rPr>
          <w:rFonts w:ascii="宋体" w:hAnsi="宋体"/>
          <w:szCs w:val="21"/>
        </w:rPr>
      </w:pPr>
      <w:r>
        <w:rPr>
          <w:rFonts w:hint="eastAsia" w:ascii="宋体" w:hAnsi="宋体"/>
          <w:szCs w:val="21"/>
        </w:rPr>
        <w:t>本授权书于年月日签字生效，特此声明。</w:t>
      </w:r>
    </w:p>
    <w:p>
      <w:pPr>
        <w:keepNext w:val="0"/>
        <w:keepLines w:val="0"/>
        <w:pageBreakBefore w:val="0"/>
        <w:kinsoku/>
        <w:wordWrap/>
        <w:overflowPunct/>
        <w:topLinePunct w:val="0"/>
        <w:bidi w:val="0"/>
        <w:adjustRightInd w:val="0"/>
        <w:snapToGrid w:val="0"/>
        <w:spacing w:beforeLines="50" w:line="360" w:lineRule="auto"/>
        <w:ind w:firstLine="420" w:firstLineChars="200"/>
        <w:outlineLvl w:val="9"/>
        <w:rPr>
          <w:rFonts w:ascii="宋体" w:hAnsi="宋体"/>
          <w:szCs w:val="21"/>
        </w:rPr>
      </w:pPr>
      <w:r>
        <w:rPr>
          <w:rFonts w:ascii="宋体" w:hAnsi="宋体"/>
          <w:szCs w:val="21"/>
        </w:rPr>
        <w:pict>
          <v:rect id="矩形 6" o:spid="_x0000_s1029" o:spt="1" style="position:absolute;left:0pt;margin-left:-9pt;margin-top:1.45pt;height:102.35pt;width:111.1pt;z-index:-2516408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">
            <v:path arrowok="t"/>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矩形 7" o:spid="_x0000_s1030" o:spt="1" style="position:absolute;left:0pt;margin-left:272.1pt;margin-top:0.3pt;height:100.1pt;width:122.5pt;z-index:-2516387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">
            <v:path arrowok="t"/>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v:textbox>
          </v:rect>
        </w:pict>
      </w:r>
      <w:r>
        <w:rPr>
          <w:rFonts w:ascii="宋体" w:hAnsi="宋体"/>
          <w:szCs w:val="21"/>
        </w:rPr>
        <w:pict>
          <v:rect id="矩形 5" o:spid="_x0000_s1031" o:spt="1" style="position:absolute;left:0pt;flip:x;margin-left:133.45pt;margin-top:1.35pt;height:100.65pt;width:112.85pt;z-index:-2516398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">
            <v:path arrowok="t"/>
            <v:fill focussize="0,0"/>
            <v:stroke/>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p>
    <w:p>
      <w:pPr>
        <w:keepNext w:val="0"/>
        <w:keepLines w:val="0"/>
        <w:pageBreakBefore w:val="0"/>
        <w:kinsoku/>
        <w:wordWrap/>
        <w:overflowPunct/>
        <w:topLinePunct w:val="0"/>
        <w:autoSpaceDE w:val="0"/>
        <w:autoSpaceDN w:val="0"/>
        <w:bidi w:val="0"/>
        <w:adjustRightInd w:val="0"/>
        <w:snapToGrid w:val="0"/>
        <w:spacing w:line="360" w:lineRule="auto"/>
        <w:jc w:val="left"/>
        <w:outlineLvl w:val="9"/>
        <w:rPr>
          <w:rFonts w:ascii="宋体" w:hAnsi="宋体"/>
          <w:szCs w:val="21"/>
        </w:rPr>
      </w:pPr>
      <w:r>
        <w:rPr>
          <w:rFonts w:hint="eastAsia" w:ascii="宋体" w:hAnsi="宋体"/>
          <w:b/>
          <w:szCs w:val="21"/>
        </w:rPr>
        <w:t xml:space="preserve">备注：上述证件复印件可另附页，另附页时，证件复印件均须加盖单位公章。 </w:t>
      </w: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ascii="宋体" w:hAnsi="宋体"/>
          <w:u w:val="single"/>
        </w:rPr>
        <w:t xml:space="preserve">    （盖单位章）    </w:t>
      </w: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keepNext w:val="0"/>
        <w:keepLines w:val="0"/>
        <w:pageBreakBefore w:val="0"/>
        <w:kinsoku/>
        <w:wordWrap/>
        <w:overflowPunct/>
        <w:topLinePunct w:val="0"/>
        <w:bidi w:val="0"/>
        <w:spacing w:line="360" w:lineRule="auto"/>
        <w:outlineLvl w:val="9"/>
        <w:rPr>
          <w:rFonts w:ascii="宋体" w:hAnsi="宋体"/>
          <w:szCs w:val="21"/>
        </w:rPr>
        <w:sectPr>
          <w:pgSz w:w="11906" w:h="16838"/>
          <w:pgMar w:top="1440" w:right="1797" w:bottom="1440" w:left="1797" w:header="851" w:footer="851" w:gutter="0"/>
          <w:pgNumType w:fmt="decimal"/>
          <w:cols w:space="720" w:num="1"/>
          <w:docGrid w:linePitch="312" w:charSpace="0"/>
        </w:sectPr>
      </w:pPr>
      <w:r>
        <w:rPr>
          <w:rFonts w:hint="eastAsia" w:ascii="宋体" w:hAnsi="宋体"/>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outlineLvl w:val="1"/>
        <w:rPr>
          <w:rFonts w:hint="eastAsia" w:ascii="宋体" w:hAnsi="宋体" w:eastAsia="宋体" w:cs="宋体"/>
          <w:b/>
          <w:sz w:val="32"/>
          <w:szCs w:val="32"/>
        </w:rPr>
      </w:pPr>
      <w:bookmarkStart w:id="498" w:name="_Toc18944"/>
      <w:bookmarkStart w:id="499" w:name="_Toc2295"/>
      <w:bookmarkStart w:id="500" w:name="_Toc19933"/>
      <w:bookmarkStart w:id="501" w:name="_Toc11357"/>
      <w:r>
        <w:rPr>
          <w:rFonts w:hint="eastAsia" w:ascii="宋体" w:hAnsi="宋体" w:eastAsia="宋体" w:cs="宋体"/>
          <w:b/>
          <w:sz w:val="32"/>
          <w:szCs w:val="32"/>
        </w:rPr>
        <w:t>四、谈判单位资格证明文件</w:t>
      </w:r>
      <w:bookmarkEnd w:id="498"/>
      <w:bookmarkEnd w:id="499"/>
      <w:bookmarkEnd w:id="500"/>
      <w:bookmarkEnd w:id="501"/>
    </w:p>
    <w:p>
      <w:pPr>
        <w:keepNext w:val="0"/>
        <w:keepLines w:val="0"/>
        <w:pageBreakBefore w:val="0"/>
        <w:kinsoku/>
        <w:wordWrap/>
        <w:overflowPunct/>
        <w:topLinePunct w:val="0"/>
        <w:bidi w:val="0"/>
        <w:adjustRightInd w:val="0"/>
        <w:snapToGrid w:val="0"/>
        <w:spacing w:line="360" w:lineRule="auto"/>
        <w:outlineLvl w:val="9"/>
        <w:rPr>
          <w:rFonts w:ascii="宋体" w:hAnsi="宋体"/>
          <w:bCs/>
          <w:szCs w:val="21"/>
        </w:rPr>
      </w:pP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szCs w:val="21"/>
          <w:lang w:eastAsia="zh-CN"/>
        </w:rPr>
      </w:pPr>
      <w:r>
        <w:rPr>
          <w:rFonts w:hint="eastAsia" w:ascii="宋体" w:hAnsi="宋体" w:cs="宋体"/>
          <w:iCs/>
        </w:rPr>
        <w:t>1.谈判单位须为具有独立法人资格、自主经营、独立核算的公司。</w:t>
      </w:r>
      <w:r>
        <w:rPr>
          <w:rFonts w:hint="eastAsia" w:ascii="宋体" w:hAnsi="宋体"/>
          <w:iCs/>
        </w:rPr>
        <w:t>须提供营业执照副本复印件（须加盖谈判单位公章）</w:t>
      </w:r>
      <w:r>
        <w:rPr>
          <w:rFonts w:hint="eastAsia" w:ascii="宋体" w:hAnsi="宋体"/>
          <w:iCs/>
          <w:lang w:eastAsia="zh-CN"/>
        </w:rPr>
        <w:t>；</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color w:val="000000"/>
          <w:szCs w:val="21"/>
          <w:lang w:eastAsia="zh-CN"/>
        </w:rPr>
      </w:pPr>
      <w:r>
        <w:rPr>
          <w:rFonts w:hint="eastAsia" w:ascii="宋体" w:hAnsi="宋体" w:cs="宋体"/>
          <w:color w:val="000000"/>
          <w:szCs w:val="21"/>
        </w:rPr>
        <w:t>2.谈判单位须为上汽大通的制造商或经销商或代理商，须提供资格证明文件</w:t>
      </w:r>
      <w:r>
        <w:rPr>
          <w:rFonts w:hint="eastAsia" w:ascii="宋体" w:hAnsi="宋体"/>
          <w:iCs/>
        </w:rPr>
        <w:t>复印件（须加盖谈判单位公章）</w:t>
      </w:r>
      <w:r>
        <w:rPr>
          <w:rFonts w:hint="eastAsia" w:ascii="宋体" w:hAnsi="宋体" w:cs="宋体"/>
          <w:color w:val="000000"/>
          <w:szCs w:val="21"/>
          <w:lang w:eastAsia="zh-CN"/>
        </w:rPr>
        <w:t>；</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bCs/>
          <w:szCs w:val="21"/>
          <w:lang w:eastAsia="zh-CN"/>
        </w:rPr>
      </w:pPr>
      <w:r>
        <w:rPr>
          <w:rFonts w:hint="eastAsia" w:ascii="宋体" w:hAnsi="宋体"/>
          <w:bCs/>
          <w:szCs w:val="21"/>
        </w:rPr>
        <w:t>3.谈判单位在本项目响应文件递交截止之日前36个月内，在经营活动中没有重大违法记录，须提供加盖谈判单位公章的相关证明文件</w:t>
      </w:r>
      <w:r>
        <w:rPr>
          <w:rFonts w:hint="eastAsia" w:ascii="宋体" w:hAnsi="宋体"/>
          <w:bCs/>
          <w:szCs w:val="21"/>
          <w:lang w:eastAsia="zh-CN"/>
        </w:rPr>
        <w:t>；</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kern w:val="0"/>
          <w:szCs w:val="21"/>
        </w:rPr>
      </w:pPr>
      <w:r>
        <w:rPr>
          <w:rFonts w:hint="eastAsia" w:ascii="宋体" w:hAnsi="宋体" w:cs="宋体"/>
          <w:iCs/>
        </w:rPr>
        <w:t>4.</w:t>
      </w:r>
      <w:r>
        <w:rPr>
          <w:rFonts w:hint="eastAsia" w:ascii="宋体" w:hAnsi="宋体" w:cs="宋体"/>
          <w:kern w:val="0"/>
          <w:szCs w:val="21"/>
        </w:rPr>
        <w:t>谈判单位认为与本项目资格条件有关的其它证明文件（如有，格式自拟）。</w:t>
      </w:r>
    </w:p>
    <w:p>
      <w:pPr>
        <w:keepNext w:val="0"/>
        <w:keepLines w:val="0"/>
        <w:pageBreakBefore w:val="0"/>
        <w:kinsoku/>
        <w:wordWrap/>
        <w:overflowPunct/>
        <w:topLinePunct w:val="0"/>
        <w:bidi w:val="0"/>
        <w:adjustRightInd w:val="0"/>
        <w:snapToGrid w:val="0"/>
        <w:spacing w:line="360" w:lineRule="auto"/>
        <w:ind w:firstLine="422" w:firstLineChars="200"/>
        <w:outlineLvl w:val="9"/>
        <w:rPr>
          <w:rFonts w:ascii="宋体" w:hAnsi="宋体"/>
          <w:b/>
          <w:bCs/>
          <w:szCs w:val="21"/>
        </w:rPr>
      </w:pPr>
    </w:p>
    <w:p>
      <w:pPr>
        <w:keepNext w:val="0"/>
        <w:keepLines w:val="0"/>
        <w:pageBreakBefore w:val="0"/>
        <w:kinsoku/>
        <w:wordWrap/>
        <w:overflowPunct/>
        <w:topLinePunct w:val="0"/>
        <w:bidi w:val="0"/>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备注：</w:t>
      </w:r>
    </w:p>
    <w:p>
      <w:pPr>
        <w:keepNext w:val="0"/>
        <w:keepLines w:val="0"/>
        <w:pageBreakBefore w:val="0"/>
        <w:kinsoku/>
        <w:wordWrap/>
        <w:overflowPunct/>
        <w:topLinePunct w:val="0"/>
        <w:bidi w:val="0"/>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1、上述证明文件复印件均须加盖谈判单位公章。</w:t>
      </w:r>
    </w:p>
    <w:p>
      <w:pPr>
        <w:keepNext w:val="0"/>
        <w:keepLines w:val="0"/>
        <w:pageBreakBefore w:val="0"/>
        <w:kinsoku/>
        <w:wordWrap/>
        <w:overflowPunct/>
        <w:topLinePunct w:val="0"/>
        <w:bidi w:val="0"/>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2、上述证明文件原件须用文件袋单独包装，在响应文件递交的同时一并提交。</w:t>
      </w:r>
    </w:p>
    <w:p>
      <w:pPr>
        <w:pStyle w:val="13"/>
        <w:keepNext w:val="0"/>
        <w:keepLines w:val="0"/>
        <w:pageBreakBefore w:val="0"/>
        <w:kinsoku/>
        <w:wordWrap/>
        <w:overflowPunct/>
        <w:topLinePunct w:val="0"/>
        <w:bidi w:val="0"/>
        <w:outlineLvl w:val="9"/>
        <w:rPr>
          <w:rFonts w:ascii="宋体" w:hAnsi="宋体"/>
        </w:rPr>
      </w:pPr>
    </w:p>
    <w:p>
      <w:pPr>
        <w:pStyle w:val="13"/>
        <w:keepNext w:val="0"/>
        <w:keepLines w:val="0"/>
        <w:pageBreakBefore w:val="0"/>
        <w:kinsoku/>
        <w:wordWrap/>
        <w:overflowPunct/>
        <w:topLinePunct w:val="0"/>
        <w:bidi w:val="0"/>
        <w:outlineLvl w:val="9"/>
        <w:rPr>
          <w:rFonts w:ascii="宋体" w:hAnsi="宋体"/>
        </w:rPr>
        <w:sectPr>
          <w:pgSz w:w="11906" w:h="16838"/>
          <w:pgMar w:top="1440" w:right="1797" w:bottom="1440" w:left="1797" w:header="851" w:footer="851" w:gutter="0"/>
          <w:pgNumType w:fmt="decimal"/>
          <w:cols w:space="720" w:num="1"/>
        </w:sectPr>
      </w:pPr>
    </w:p>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outlineLvl w:val="1"/>
        <w:rPr>
          <w:rFonts w:hint="eastAsia" w:ascii="宋体" w:hAnsi="宋体" w:eastAsia="宋体" w:cs="宋体"/>
          <w:b/>
          <w:sz w:val="32"/>
          <w:szCs w:val="32"/>
        </w:rPr>
      </w:pPr>
      <w:bookmarkStart w:id="502" w:name="_Toc25553"/>
      <w:bookmarkStart w:id="503" w:name="_Toc5387"/>
      <w:bookmarkStart w:id="504" w:name="_Toc15835"/>
      <w:bookmarkStart w:id="505" w:name="_Toc12228"/>
      <w:r>
        <w:rPr>
          <w:rFonts w:hint="eastAsia" w:ascii="宋体" w:hAnsi="宋体" w:eastAsia="宋体" w:cs="宋体"/>
          <w:b/>
          <w:sz w:val="32"/>
          <w:szCs w:val="32"/>
        </w:rPr>
        <w:t>五、报价一览表</w:t>
      </w:r>
      <w:bookmarkEnd w:id="502"/>
      <w:bookmarkEnd w:id="503"/>
      <w:bookmarkEnd w:id="504"/>
      <w:bookmarkEnd w:id="505"/>
    </w:p>
    <w:p>
      <w:pPr>
        <w:keepNext w:val="0"/>
        <w:keepLines w:val="0"/>
        <w:pageBreakBefore w:val="0"/>
        <w:kinsoku/>
        <w:wordWrap/>
        <w:overflowPunct/>
        <w:topLinePunct w:val="0"/>
        <w:bidi w:val="0"/>
        <w:adjustRightInd w:val="0"/>
        <w:snapToGrid w:val="0"/>
        <w:jc w:val="right"/>
        <w:outlineLvl w:val="9"/>
        <w:rPr>
          <w:rFonts w:ascii="宋体" w:hAnsi="宋体"/>
          <w:sz w:val="24"/>
        </w:rPr>
      </w:pPr>
    </w:p>
    <w:tbl>
      <w:tblPr>
        <w:tblStyle w:val="46"/>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9"/>
        <w:gridCol w:w="3311"/>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8" w:hRule="atLeast"/>
        </w:trPr>
        <w:tc>
          <w:tcPr>
            <w:tcW w:w="1909" w:type="dxa"/>
            <w:vAlign w:val="center"/>
          </w:tcPr>
          <w:p>
            <w:pPr>
              <w:keepNext w:val="0"/>
              <w:keepLines w:val="0"/>
              <w:pageBreakBefore w:val="0"/>
              <w:tabs>
                <w:tab w:val="left" w:pos="403"/>
                <w:tab w:val="center" w:pos="3781"/>
              </w:tabs>
              <w:kinsoku/>
              <w:wordWrap/>
              <w:overflowPunct/>
              <w:topLinePunct w:val="0"/>
              <w:bidi w:val="0"/>
              <w:spacing w:line="420" w:lineRule="exact"/>
              <w:ind w:right="-5206" w:rightChars="-2479" w:firstLine="315" w:firstLineChars="150"/>
              <w:outlineLvl w:val="9"/>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6911" w:type="dxa"/>
            <w:gridSpan w:val="2"/>
            <w:vAlign w:val="center"/>
          </w:tcPr>
          <w:p>
            <w:pPr>
              <w:keepNext w:val="0"/>
              <w:keepLines w:val="0"/>
              <w:pageBreakBefore w:val="0"/>
              <w:kinsoku/>
              <w:wordWrap/>
              <w:overflowPunct/>
              <w:topLinePunct w:val="0"/>
              <w:bidi w:val="0"/>
              <w:spacing w:line="420" w:lineRule="exact"/>
              <w:jc w:val="center"/>
              <w:outlineLvl w:val="9"/>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909" w:type="dxa"/>
            <w:vAlign w:val="center"/>
          </w:tcPr>
          <w:p>
            <w:pPr>
              <w:keepNext w:val="0"/>
              <w:keepLines w:val="0"/>
              <w:pageBreakBefore w:val="0"/>
              <w:tabs>
                <w:tab w:val="left" w:pos="403"/>
                <w:tab w:val="center" w:pos="3781"/>
              </w:tabs>
              <w:kinsoku/>
              <w:wordWrap/>
              <w:overflowPunct/>
              <w:topLinePunct w:val="0"/>
              <w:bidi w:val="0"/>
              <w:spacing w:line="420" w:lineRule="exact"/>
              <w:ind w:right="-5206" w:rightChars="-2479" w:firstLine="315" w:firstLineChars="150"/>
              <w:outlineLvl w:val="9"/>
              <w:rPr>
                <w:rFonts w:ascii="宋体" w:hAnsi="宋体"/>
                <w:szCs w:val="21"/>
              </w:rPr>
            </w:pPr>
            <w:r>
              <w:rPr>
                <w:rFonts w:hint="eastAsia" w:ascii="宋体" w:hAnsi="宋体"/>
                <w:szCs w:val="21"/>
              </w:rPr>
              <w:t>项目</w:t>
            </w:r>
            <w:r>
              <w:rPr>
                <w:rFonts w:ascii="宋体" w:hAnsi="宋体"/>
                <w:szCs w:val="21"/>
              </w:rPr>
              <w:t>编号</w:t>
            </w:r>
          </w:p>
        </w:tc>
        <w:tc>
          <w:tcPr>
            <w:tcW w:w="6911" w:type="dxa"/>
            <w:gridSpan w:val="2"/>
            <w:vAlign w:val="center"/>
          </w:tcPr>
          <w:p>
            <w:pPr>
              <w:keepNext w:val="0"/>
              <w:keepLines w:val="0"/>
              <w:pageBreakBefore w:val="0"/>
              <w:kinsoku/>
              <w:wordWrap/>
              <w:overflowPunct/>
              <w:topLinePunct w:val="0"/>
              <w:bidi w:val="0"/>
              <w:spacing w:line="420" w:lineRule="exact"/>
              <w:jc w:val="center"/>
              <w:outlineLvl w:val="9"/>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909" w:type="dxa"/>
            <w:vAlign w:val="center"/>
          </w:tcPr>
          <w:p>
            <w:pPr>
              <w:keepNext w:val="0"/>
              <w:keepLines w:val="0"/>
              <w:pageBreakBefore w:val="0"/>
              <w:kinsoku/>
              <w:wordWrap/>
              <w:overflowPunct/>
              <w:topLinePunct w:val="0"/>
              <w:bidi w:val="0"/>
              <w:spacing w:line="420" w:lineRule="exact"/>
              <w:jc w:val="center"/>
              <w:outlineLvl w:val="9"/>
              <w:rPr>
                <w:rFonts w:ascii="宋体" w:hAnsi="宋体"/>
                <w:color w:val="FF0000"/>
                <w:szCs w:val="21"/>
              </w:rPr>
            </w:pPr>
            <w:r>
              <w:rPr>
                <w:rFonts w:hint="eastAsia" w:ascii="宋体" w:hAnsi="宋体"/>
                <w:color w:val="auto"/>
                <w:szCs w:val="21"/>
              </w:rPr>
              <w:t>供货期</w:t>
            </w:r>
          </w:p>
        </w:tc>
        <w:tc>
          <w:tcPr>
            <w:tcW w:w="6911" w:type="dxa"/>
            <w:gridSpan w:val="2"/>
            <w:vAlign w:val="center"/>
          </w:tcPr>
          <w:p>
            <w:pPr>
              <w:keepNext w:val="0"/>
              <w:keepLines w:val="0"/>
              <w:pageBreakBefore w:val="0"/>
              <w:kinsoku/>
              <w:wordWrap/>
              <w:overflowPunct/>
              <w:topLinePunct w:val="0"/>
              <w:bidi w:val="0"/>
              <w:jc w:val="center"/>
              <w:outlineLvl w:val="9"/>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9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olor w:val="auto"/>
                <w:szCs w:val="21"/>
                <w:lang w:val="en-US" w:eastAsia="zh-CN"/>
              </w:rPr>
            </w:pPr>
            <w:r>
              <w:rPr>
                <w:rFonts w:hint="eastAsia" w:ascii="宋体" w:hAnsi="宋体" w:cs="宋体"/>
                <w:color w:val="000000"/>
                <w:szCs w:val="21"/>
                <w:lang w:eastAsia="zh-CN"/>
              </w:rPr>
              <w:t>①</w:t>
            </w:r>
            <w:r>
              <w:rPr>
                <w:rFonts w:hint="eastAsia" w:ascii="宋体" w:hAnsi="宋体" w:cs="宋体"/>
                <w:color w:val="000000"/>
                <w:szCs w:val="21"/>
              </w:rPr>
              <w:t>1号线</w:t>
            </w:r>
            <w:r>
              <w:rPr>
                <w:rFonts w:hint="eastAsia" w:ascii="宋体" w:hAnsi="宋体" w:cs="宋体"/>
                <w:color w:val="000000"/>
                <w:szCs w:val="21"/>
                <w:lang w:eastAsia="zh-CN"/>
              </w:rPr>
              <w:t>清单</w:t>
            </w:r>
            <w:r>
              <w:rPr>
                <w:rFonts w:hint="eastAsia" w:ascii="宋体" w:hAnsi="宋体" w:cs="宋体"/>
                <w:color w:val="000000"/>
                <w:szCs w:val="21"/>
              </w:rPr>
              <w:t>报价</w:t>
            </w:r>
          </w:p>
        </w:tc>
        <w:tc>
          <w:tcPr>
            <w:tcW w:w="3311" w:type="dxa"/>
            <w:tcBorders>
              <w:right w:val="single" w:color="auto" w:sz="4" w:space="0"/>
            </w:tcBorders>
            <w:vAlign w:val="center"/>
          </w:tcPr>
          <w:p>
            <w:pPr>
              <w:keepNext w:val="0"/>
              <w:keepLines w:val="0"/>
              <w:pageBreakBefore w:val="0"/>
              <w:kinsoku/>
              <w:wordWrap/>
              <w:overflowPunct/>
              <w:topLinePunct w:val="0"/>
              <w:bidi w:val="0"/>
              <w:jc w:val="center"/>
              <w:outlineLvl w:val="9"/>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600" w:type="dxa"/>
            <w:tcBorders>
              <w:left w:val="single" w:color="auto" w:sz="4" w:space="0"/>
            </w:tcBorders>
            <w:vAlign w:val="center"/>
          </w:tcPr>
          <w:p>
            <w:pPr>
              <w:keepNext w:val="0"/>
              <w:keepLines w:val="0"/>
              <w:pageBreakBefore w:val="0"/>
              <w:kinsoku/>
              <w:wordWrap/>
              <w:overflowPunct/>
              <w:topLinePunct w:val="0"/>
              <w:bidi w:val="0"/>
              <w:spacing w:line="420" w:lineRule="exact"/>
              <w:jc w:val="center"/>
              <w:outlineLvl w:val="9"/>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909" w:type="dxa"/>
            <w:vAlign w:val="center"/>
          </w:tcPr>
          <w:p>
            <w:pPr>
              <w:keepNext w:val="0"/>
              <w:keepLines w:val="0"/>
              <w:pageBreakBefore w:val="0"/>
              <w:kinsoku/>
              <w:wordWrap/>
              <w:overflowPunct/>
              <w:topLinePunct w:val="0"/>
              <w:bidi w:val="0"/>
              <w:spacing w:line="420" w:lineRule="exact"/>
              <w:jc w:val="center"/>
              <w:outlineLvl w:val="9"/>
              <w:rPr>
                <w:rFonts w:hint="eastAsia" w:ascii="宋体" w:hAnsi="宋体"/>
                <w:color w:val="auto"/>
                <w:szCs w:val="21"/>
              </w:rPr>
            </w:pPr>
            <w:r>
              <w:rPr>
                <w:rFonts w:hint="eastAsia" w:ascii="宋体" w:hAnsi="宋体" w:cs="宋体"/>
                <w:color w:val="000000"/>
                <w:szCs w:val="21"/>
                <w:lang w:eastAsia="zh-CN"/>
              </w:rPr>
              <w:t>②</w:t>
            </w:r>
            <w:r>
              <w:rPr>
                <w:rFonts w:hint="eastAsia" w:ascii="宋体" w:hAnsi="宋体" w:cs="宋体"/>
                <w:color w:val="000000"/>
                <w:szCs w:val="21"/>
              </w:rPr>
              <w:t>2号线</w:t>
            </w:r>
            <w:r>
              <w:rPr>
                <w:rFonts w:hint="eastAsia" w:ascii="宋体" w:hAnsi="宋体" w:cs="宋体"/>
                <w:color w:val="000000"/>
                <w:szCs w:val="21"/>
                <w:lang w:eastAsia="zh-CN"/>
              </w:rPr>
              <w:t>清单</w:t>
            </w:r>
            <w:r>
              <w:rPr>
                <w:rFonts w:hint="eastAsia" w:ascii="宋体" w:hAnsi="宋体" w:cs="宋体"/>
                <w:color w:val="000000"/>
                <w:szCs w:val="21"/>
              </w:rPr>
              <w:t>报价</w:t>
            </w:r>
          </w:p>
        </w:tc>
        <w:tc>
          <w:tcPr>
            <w:tcW w:w="3311" w:type="dxa"/>
            <w:tcBorders>
              <w:right w:val="single" w:color="auto" w:sz="4" w:space="0"/>
            </w:tcBorders>
            <w:vAlign w:val="center"/>
          </w:tcPr>
          <w:p>
            <w:pPr>
              <w:keepNext w:val="0"/>
              <w:keepLines w:val="0"/>
              <w:pageBreakBefore w:val="0"/>
              <w:kinsoku/>
              <w:wordWrap/>
              <w:overflowPunct/>
              <w:topLinePunct w:val="0"/>
              <w:bidi w:val="0"/>
              <w:jc w:val="center"/>
              <w:outlineLvl w:val="9"/>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600" w:type="dxa"/>
            <w:tcBorders>
              <w:left w:val="single" w:color="auto" w:sz="4" w:space="0"/>
            </w:tcBorders>
            <w:vAlign w:val="center"/>
          </w:tcPr>
          <w:p>
            <w:pPr>
              <w:keepNext w:val="0"/>
              <w:keepLines w:val="0"/>
              <w:pageBreakBefore w:val="0"/>
              <w:kinsoku/>
              <w:wordWrap/>
              <w:overflowPunct/>
              <w:topLinePunct w:val="0"/>
              <w:bidi w:val="0"/>
              <w:spacing w:line="420" w:lineRule="exact"/>
              <w:jc w:val="center"/>
              <w:outlineLvl w:val="9"/>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1909" w:type="dxa"/>
            <w:vAlign w:val="center"/>
          </w:tcPr>
          <w:p>
            <w:pPr>
              <w:keepNext w:val="0"/>
              <w:keepLines w:val="0"/>
              <w:pageBreakBefore w:val="0"/>
              <w:kinsoku/>
              <w:wordWrap/>
              <w:overflowPunct/>
              <w:topLinePunct w:val="0"/>
              <w:bidi w:val="0"/>
              <w:spacing w:line="420" w:lineRule="exact"/>
              <w:jc w:val="center"/>
              <w:outlineLvl w:val="9"/>
              <w:rPr>
                <w:rFonts w:ascii="宋体" w:hAnsi="宋体"/>
                <w:b/>
                <w:szCs w:val="21"/>
              </w:rPr>
            </w:pPr>
            <w:r>
              <w:rPr>
                <w:rFonts w:hint="eastAsia" w:ascii="宋体" w:hAnsi="宋体"/>
                <w:b/>
                <w:szCs w:val="21"/>
              </w:rPr>
              <w:t>谈判</w:t>
            </w:r>
            <w:r>
              <w:rPr>
                <w:rFonts w:ascii="宋体" w:hAnsi="宋体"/>
                <w:b/>
                <w:szCs w:val="21"/>
              </w:rPr>
              <w:t>总报价</w:t>
            </w:r>
          </w:p>
          <w:p>
            <w:pPr>
              <w:keepNext w:val="0"/>
              <w:keepLines w:val="0"/>
              <w:pageBreakBefore w:val="0"/>
              <w:kinsoku/>
              <w:wordWrap/>
              <w:overflowPunct/>
              <w:topLinePunct w:val="0"/>
              <w:bidi w:val="0"/>
              <w:spacing w:line="420" w:lineRule="exact"/>
              <w:jc w:val="center"/>
              <w:outlineLvl w:val="9"/>
              <w:rPr>
                <w:rFonts w:hint="default" w:ascii="宋体" w:hAnsi="宋体"/>
                <w:b/>
                <w:szCs w:val="21"/>
                <w:lang w:val="en-US"/>
              </w:rPr>
            </w:pPr>
            <w:r>
              <w:rPr>
                <w:rFonts w:hint="eastAsia" w:ascii="宋体" w:hAnsi="宋体" w:cs="宋体"/>
                <w:color w:val="000000"/>
                <w:szCs w:val="21"/>
                <w:lang w:eastAsia="zh-CN"/>
              </w:rPr>
              <w:t>①</w:t>
            </w:r>
            <w:r>
              <w:rPr>
                <w:rFonts w:hint="eastAsia" w:ascii="宋体" w:hAnsi="宋体" w:cs="宋体"/>
                <w:color w:val="000000"/>
                <w:szCs w:val="21"/>
                <w:lang w:val="en-US" w:eastAsia="zh-CN"/>
              </w:rPr>
              <w:t>+</w:t>
            </w:r>
            <w:r>
              <w:rPr>
                <w:rFonts w:hint="eastAsia" w:ascii="宋体" w:hAnsi="宋体" w:cs="宋体"/>
                <w:color w:val="000000"/>
                <w:szCs w:val="21"/>
                <w:lang w:eastAsia="zh-CN"/>
              </w:rPr>
              <w:t>②</w:t>
            </w:r>
          </w:p>
        </w:tc>
        <w:tc>
          <w:tcPr>
            <w:tcW w:w="3311" w:type="dxa"/>
            <w:tcBorders>
              <w:right w:val="single" w:color="auto" w:sz="4" w:space="0"/>
            </w:tcBorders>
            <w:vAlign w:val="center"/>
          </w:tcPr>
          <w:p>
            <w:pPr>
              <w:keepNext w:val="0"/>
              <w:keepLines w:val="0"/>
              <w:pageBreakBefore w:val="0"/>
              <w:kinsoku/>
              <w:wordWrap/>
              <w:overflowPunct/>
              <w:topLinePunct w:val="0"/>
              <w:bidi w:val="0"/>
              <w:jc w:val="center"/>
              <w:outlineLvl w:val="9"/>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600" w:type="dxa"/>
            <w:tcBorders>
              <w:left w:val="single" w:color="auto" w:sz="4" w:space="0"/>
            </w:tcBorders>
            <w:vAlign w:val="center"/>
          </w:tcPr>
          <w:p>
            <w:pPr>
              <w:keepNext w:val="0"/>
              <w:keepLines w:val="0"/>
              <w:pageBreakBefore w:val="0"/>
              <w:kinsoku/>
              <w:wordWrap/>
              <w:overflowPunct/>
              <w:topLinePunct w:val="0"/>
              <w:bidi w:val="0"/>
              <w:spacing w:line="420" w:lineRule="exact"/>
              <w:jc w:val="center"/>
              <w:outlineLvl w:val="9"/>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1909" w:type="dxa"/>
            <w:vAlign w:val="center"/>
          </w:tcPr>
          <w:p>
            <w:pPr>
              <w:spacing w:line="420" w:lineRule="exact"/>
              <w:jc w:val="center"/>
              <w:rPr>
                <w:rFonts w:hint="eastAsia" w:ascii="宋体" w:hAnsi="宋体" w:cs="宋体"/>
                <w:color w:val="auto"/>
                <w:szCs w:val="21"/>
                <w:lang w:eastAsia="zh-CN"/>
              </w:rPr>
            </w:pPr>
            <w:r>
              <w:rPr>
                <w:rFonts w:hint="eastAsia" w:ascii="宋体" w:hAnsi="宋体" w:cs="宋体"/>
                <w:color w:val="auto"/>
                <w:szCs w:val="21"/>
              </w:rPr>
              <w:t>质保期</w:t>
            </w:r>
          </w:p>
        </w:tc>
        <w:tc>
          <w:tcPr>
            <w:tcW w:w="6911" w:type="dxa"/>
            <w:gridSpan w:val="2"/>
            <w:vAlign w:val="center"/>
          </w:tcPr>
          <w:p>
            <w:pPr>
              <w:keepNext w:val="0"/>
              <w:keepLines w:val="0"/>
              <w:pageBreakBefore w:val="0"/>
              <w:kinsoku/>
              <w:wordWrap/>
              <w:overflowPunct/>
              <w:topLinePunct w:val="0"/>
              <w:bidi w:val="0"/>
              <w:spacing w:line="420" w:lineRule="exact"/>
              <w:jc w:val="center"/>
              <w:outlineLvl w:val="9"/>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1909" w:type="dxa"/>
            <w:vAlign w:val="center"/>
          </w:tcPr>
          <w:p>
            <w:pPr>
              <w:keepNext w:val="0"/>
              <w:keepLines w:val="0"/>
              <w:pageBreakBefore w:val="0"/>
              <w:kinsoku/>
              <w:wordWrap/>
              <w:overflowPunct/>
              <w:topLinePunct w:val="0"/>
              <w:bidi w:val="0"/>
              <w:spacing w:line="420" w:lineRule="exact"/>
              <w:jc w:val="center"/>
              <w:outlineLvl w:val="9"/>
              <w:rPr>
                <w:rFonts w:ascii="宋体" w:hAnsi="宋体"/>
                <w:szCs w:val="21"/>
              </w:rPr>
            </w:pPr>
            <w:r>
              <w:rPr>
                <w:rFonts w:ascii="宋体" w:hAnsi="宋体"/>
                <w:szCs w:val="21"/>
              </w:rPr>
              <w:t>备  注</w:t>
            </w:r>
          </w:p>
        </w:tc>
        <w:tc>
          <w:tcPr>
            <w:tcW w:w="6911" w:type="dxa"/>
            <w:gridSpan w:val="2"/>
            <w:vAlign w:val="center"/>
          </w:tcPr>
          <w:p>
            <w:pPr>
              <w:keepNext w:val="0"/>
              <w:keepLines w:val="0"/>
              <w:pageBreakBefore w:val="0"/>
              <w:kinsoku/>
              <w:wordWrap/>
              <w:overflowPunct/>
              <w:topLinePunct w:val="0"/>
              <w:bidi w:val="0"/>
              <w:spacing w:line="420" w:lineRule="exact"/>
              <w:outlineLvl w:val="9"/>
              <w:rPr>
                <w:rFonts w:ascii="宋体" w:hAnsi="宋体"/>
                <w:szCs w:val="21"/>
              </w:rPr>
            </w:pPr>
          </w:p>
        </w:tc>
      </w:tr>
    </w:tbl>
    <w:p>
      <w:pPr>
        <w:keepNext w:val="0"/>
        <w:keepLines w:val="0"/>
        <w:pageBreakBefore w:val="0"/>
        <w:kinsoku/>
        <w:wordWrap/>
        <w:overflowPunct/>
        <w:topLinePunct w:val="0"/>
        <w:bidi w:val="0"/>
        <w:adjustRightInd w:val="0"/>
        <w:snapToGrid w:val="0"/>
        <w:spacing w:line="360" w:lineRule="auto"/>
        <w:outlineLvl w:val="9"/>
        <w:rPr>
          <w:rFonts w:ascii="宋体" w:hAnsi="宋体"/>
          <w:b/>
          <w:szCs w:val="21"/>
        </w:rPr>
      </w:pPr>
      <w:r>
        <w:rPr>
          <w:rFonts w:hint="eastAsia" w:ascii="宋体" w:hAnsi="宋体"/>
          <w:b/>
          <w:szCs w:val="21"/>
        </w:rPr>
        <w:t>注：</w:t>
      </w:r>
    </w:p>
    <w:p>
      <w:pPr>
        <w:keepNext w:val="0"/>
        <w:keepLines w:val="0"/>
        <w:pageBreakBefore w:val="0"/>
        <w:kinsoku/>
        <w:wordWrap/>
        <w:overflowPunct/>
        <w:topLinePunct w:val="0"/>
        <w:bidi w:val="0"/>
        <w:adjustRightInd w:val="0"/>
        <w:snapToGrid w:val="0"/>
        <w:spacing w:line="360" w:lineRule="auto"/>
        <w:ind w:firstLine="422" w:firstLineChars="200"/>
        <w:outlineLvl w:val="9"/>
        <w:rPr>
          <w:rFonts w:ascii="宋体" w:hAnsi="宋体"/>
          <w:b/>
          <w:szCs w:val="21"/>
        </w:rPr>
      </w:pPr>
      <w:r>
        <w:rPr>
          <w:rFonts w:hint="eastAsia" w:ascii="宋体" w:hAnsi="宋体"/>
          <w:b/>
          <w:szCs w:val="21"/>
        </w:rPr>
        <w:t>1.所有报价保留小数点后两位，小数点后第三位“四舍五入”。</w:t>
      </w:r>
    </w:p>
    <w:p>
      <w:pPr>
        <w:numPr>
          <w:ilvl w:val="0"/>
          <w:numId w:val="0"/>
        </w:numPr>
        <w:adjustRightInd w:val="0"/>
        <w:snapToGrid w:val="0"/>
        <w:spacing w:line="360" w:lineRule="auto"/>
        <w:ind w:firstLine="422" w:firstLineChars="200"/>
        <w:rPr>
          <w:rFonts w:hint="eastAsia" w:ascii="宋体" w:hAnsi="宋体"/>
          <w:b/>
          <w:szCs w:val="21"/>
        </w:rPr>
      </w:pPr>
      <w:r>
        <w:rPr>
          <w:rFonts w:hint="eastAsia" w:ascii="宋体" w:hAnsi="宋体"/>
          <w:b/>
          <w:szCs w:val="21"/>
        </w:rPr>
        <w:t>2.本表内“谈判总报价”是包含了货物所有隐含的运输费、保险费、安装调试费、管理费、税金和利润等其他</w:t>
      </w:r>
      <w:r>
        <w:rPr>
          <w:rFonts w:hint="eastAsia" w:ascii="宋体" w:hAnsi="宋体"/>
          <w:b/>
          <w:color w:val="auto"/>
          <w:szCs w:val="21"/>
        </w:rPr>
        <w:t>费用的报价。</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left="-88" w:leftChars="-42"/>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left="-88" w:leftChars="-42"/>
        <w:outlineLvl w:val="9"/>
        <w:rPr>
          <w:rFonts w:ascii="宋体" w:hAnsi="宋体"/>
          <w:szCs w:val="21"/>
        </w:rPr>
      </w:pPr>
    </w:p>
    <w:p>
      <w:pPr>
        <w:pStyle w:val="27"/>
        <w:keepNext w:val="0"/>
        <w:keepLines w:val="0"/>
        <w:pageBreakBefore w:val="0"/>
        <w:kinsoku/>
        <w:wordWrap/>
        <w:overflowPunct/>
        <w:topLinePunct w:val="0"/>
        <w:bidi w:val="0"/>
        <w:adjustRightInd w:val="0"/>
        <w:snapToGrid w:val="0"/>
        <w:spacing w:line="360" w:lineRule="auto"/>
        <w:outlineLvl w:val="9"/>
        <w:rPr>
          <w:rFonts w:ascii="宋体" w:hAnsi="宋体"/>
          <w:bCs/>
          <w:sz w:val="21"/>
          <w:szCs w:val="21"/>
        </w:rPr>
      </w:pPr>
      <w:bookmarkStart w:id="506" w:name="_Toc5231"/>
      <w:r>
        <w:rPr>
          <w:rFonts w:hint="eastAsia" w:ascii="宋体" w:hAnsi="宋体"/>
          <w:sz w:val="21"/>
          <w:szCs w:val="21"/>
        </w:rPr>
        <w:t>谈判单位名称：</w:t>
      </w:r>
      <w:r>
        <w:rPr>
          <w:rFonts w:hint="eastAsia" w:ascii="宋体" w:hAnsi="宋体"/>
          <w:sz w:val="21"/>
          <w:szCs w:val="21"/>
          <w:u w:val="single"/>
        </w:rPr>
        <w:t xml:space="preserve">    （盖单位章）</w:t>
      </w:r>
      <w:bookmarkEnd w:id="506"/>
      <w:r>
        <w:rPr>
          <w:rFonts w:hint="eastAsia" w:ascii="宋体" w:hAnsi="宋体"/>
          <w:sz w:val="21"/>
          <w:szCs w:val="21"/>
          <w:u w:val="single"/>
        </w:rPr>
        <w:t xml:space="preserve">    </w:t>
      </w:r>
    </w:p>
    <w:p>
      <w:pPr>
        <w:keepNext w:val="0"/>
        <w:keepLines w:val="0"/>
        <w:pageBreakBefore w:val="0"/>
        <w:kinsoku/>
        <w:wordWrap/>
        <w:overflowPunct/>
        <w:topLinePunct w:val="0"/>
        <w:bidi w:val="0"/>
        <w:adjustRightInd w:val="0"/>
        <w:snapToGrid w:val="0"/>
        <w:spacing w:line="360" w:lineRule="auto"/>
        <w:outlineLvl w:val="9"/>
        <w:rPr>
          <w:rFonts w:ascii="宋体" w:hAnsi="宋体"/>
          <w:szCs w:val="21"/>
        </w:rPr>
      </w:pPr>
      <w:bookmarkStart w:id="507" w:name="_Toc28605"/>
      <w:r>
        <w:rPr>
          <w:rFonts w:hint="eastAsia" w:ascii="宋体" w:hAnsi="宋体"/>
          <w:szCs w:val="21"/>
        </w:rPr>
        <w:t>法定代表人或其委托代理人</w:t>
      </w:r>
      <w:r>
        <w:rPr>
          <w:rFonts w:hint="eastAsia" w:ascii="宋体" w:hAnsi="宋体"/>
          <w:szCs w:val="21"/>
          <w:lang w:eastAsia="zh-CN"/>
        </w:rPr>
        <w:t>（</w:t>
      </w:r>
      <w:r>
        <w:rPr>
          <w:rFonts w:hint="eastAsia" w:ascii="宋体" w:hAnsi="宋体"/>
          <w:szCs w:val="21"/>
        </w:rPr>
        <w:t>签字或盖章</w:t>
      </w:r>
      <w:r>
        <w:rPr>
          <w:rFonts w:hint="eastAsia" w:ascii="宋体" w:hAnsi="宋体"/>
          <w:szCs w:val="21"/>
          <w:lang w:eastAsia="zh-CN"/>
        </w:rPr>
        <w:t>）</w:t>
      </w:r>
      <w:r>
        <w:rPr>
          <w:rFonts w:hint="eastAsia" w:ascii="宋体" w:hAnsi="宋体"/>
          <w:szCs w:val="21"/>
        </w:rPr>
        <w:t>：</w:t>
      </w:r>
      <w:bookmarkEnd w:id="507"/>
      <w:r>
        <w:rPr>
          <w:rFonts w:hint="eastAsia" w:ascii="宋体" w:hAnsi="宋体"/>
          <w:szCs w:val="21"/>
          <w:u w:val="single"/>
        </w:rPr>
        <w:t xml:space="preserve">               </w:t>
      </w:r>
    </w:p>
    <w:p>
      <w:pPr>
        <w:keepNext w:val="0"/>
        <w:keepLines w:val="0"/>
        <w:pageBreakBefore w:val="0"/>
        <w:kinsoku/>
        <w:wordWrap/>
        <w:overflowPunct/>
        <w:topLinePunct w:val="0"/>
        <w:bidi w:val="0"/>
        <w:spacing w:line="360" w:lineRule="auto"/>
        <w:outlineLvl w:val="9"/>
        <w:rPr>
          <w:rFonts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kinsoku/>
        <w:wordWrap/>
        <w:overflowPunct/>
        <w:topLinePunct w:val="0"/>
        <w:bidi w:val="0"/>
        <w:adjustRightInd w:val="0"/>
        <w:snapToGrid w:val="0"/>
        <w:jc w:val="center"/>
        <w:outlineLvl w:val="9"/>
        <w:rPr>
          <w:rFonts w:ascii="宋体" w:hAnsi="宋体"/>
          <w:b/>
          <w:bCs/>
          <w:sz w:val="32"/>
          <w:szCs w:val="32"/>
        </w:rPr>
      </w:pPr>
    </w:p>
    <w:p>
      <w:pPr>
        <w:keepNext w:val="0"/>
        <w:keepLines w:val="0"/>
        <w:pageBreakBefore w:val="0"/>
        <w:kinsoku/>
        <w:wordWrap/>
        <w:overflowPunct/>
        <w:topLinePunct w:val="0"/>
        <w:bidi w:val="0"/>
        <w:adjustRightInd w:val="0"/>
        <w:snapToGrid w:val="0"/>
        <w:jc w:val="center"/>
        <w:outlineLvl w:val="9"/>
        <w:rPr>
          <w:rFonts w:ascii="宋体" w:hAnsi="宋体"/>
          <w:b/>
          <w:bCs/>
          <w:sz w:val="32"/>
          <w:szCs w:val="32"/>
        </w:rPr>
      </w:pPr>
    </w:p>
    <w:p>
      <w:pPr>
        <w:keepNext w:val="0"/>
        <w:keepLines w:val="0"/>
        <w:pageBreakBefore w:val="0"/>
        <w:kinsoku/>
        <w:wordWrap/>
        <w:overflowPunct/>
        <w:topLinePunct w:val="0"/>
        <w:bidi w:val="0"/>
        <w:adjustRightInd w:val="0"/>
        <w:snapToGrid w:val="0"/>
        <w:jc w:val="center"/>
        <w:outlineLvl w:val="9"/>
        <w:rPr>
          <w:rFonts w:ascii="宋体" w:hAnsi="宋体"/>
          <w:b/>
          <w:bCs/>
          <w:color w:val="FF0000"/>
          <w:sz w:val="32"/>
          <w:szCs w:val="32"/>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outlineLvl w:val="1"/>
        <w:rPr>
          <w:rFonts w:hint="eastAsia" w:ascii="宋体" w:hAnsi="宋体" w:eastAsia="宋体" w:cs="宋体"/>
          <w:b/>
          <w:sz w:val="32"/>
          <w:szCs w:val="32"/>
        </w:rPr>
      </w:pPr>
      <w:bookmarkStart w:id="508" w:name="_Toc18535"/>
      <w:bookmarkStart w:id="509" w:name="_Toc28059"/>
      <w:bookmarkStart w:id="510" w:name="_Toc26804"/>
      <w:r>
        <w:rPr>
          <w:rFonts w:hint="eastAsia" w:ascii="宋体" w:hAnsi="宋体" w:eastAsia="宋体" w:cs="宋体"/>
          <w:b/>
          <w:sz w:val="32"/>
          <w:szCs w:val="32"/>
        </w:rPr>
        <w:t>六、分项价格表</w:t>
      </w:r>
      <w:bookmarkEnd w:id="508"/>
      <w:bookmarkEnd w:id="509"/>
      <w:bookmarkEnd w:id="510"/>
    </w:p>
    <w:p>
      <w:pPr>
        <w:keepNext w:val="0"/>
        <w:keepLines w:val="0"/>
        <w:pageBreakBefore w:val="0"/>
        <w:kinsoku/>
        <w:wordWrap/>
        <w:overflowPunct/>
        <w:topLinePunct w:val="0"/>
        <w:bidi w:val="0"/>
        <w:spacing w:line="360" w:lineRule="exact"/>
        <w:outlineLvl w:val="9"/>
        <w:rPr>
          <w:rFonts w:ascii="宋体" w:hAnsi="宋体"/>
          <w:b/>
        </w:rPr>
      </w:pPr>
    </w:p>
    <w:p>
      <w:pPr>
        <w:keepNext w:val="0"/>
        <w:keepLines w:val="0"/>
        <w:pageBreakBefore w:val="0"/>
        <w:kinsoku/>
        <w:wordWrap/>
        <w:overflowPunct/>
        <w:topLinePunct w:val="0"/>
        <w:bidi w:val="0"/>
        <w:spacing w:line="360" w:lineRule="exact"/>
        <w:ind w:firstLine="210" w:firstLineChars="100"/>
        <w:jc w:val="left"/>
        <w:outlineLvl w:val="9"/>
        <w:rPr>
          <w:rFonts w:ascii="宋体" w:hAnsi="宋体"/>
        </w:rPr>
      </w:pPr>
      <w:r>
        <w:rPr>
          <w:rFonts w:hint="eastAsia" w:ascii="宋体" w:hAnsi="宋体"/>
          <w:bCs/>
        </w:rPr>
        <w:t>项目</w:t>
      </w:r>
      <w:r>
        <w:rPr>
          <w:rFonts w:hint="eastAsia" w:ascii="宋体" w:hAnsi="宋体"/>
        </w:rPr>
        <w:t>名称：                                                        金额单位：元</w:t>
      </w:r>
    </w:p>
    <w:tbl>
      <w:tblPr>
        <w:tblStyle w:val="46"/>
        <w:tblW w:w="86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7"/>
        <w:gridCol w:w="1987"/>
        <w:gridCol w:w="1144"/>
        <w:gridCol w:w="1570"/>
        <w:gridCol w:w="1144"/>
        <w:gridCol w:w="915"/>
        <w:gridCol w:w="9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8662" w:type="dxa"/>
            <w:gridSpan w:val="7"/>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eastAsia="宋体"/>
                <w:szCs w:val="21"/>
                <w:lang w:val="en-US" w:eastAsia="zh-CN"/>
              </w:rPr>
            </w:pPr>
            <w:r>
              <w:rPr>
                <w:rFonts w:hint="eastAsia" w:ascii="宋体" w:hAnsi="宋体"/>
                <w:szCs w:val="21"/>
                <w:lang w:val="en-US" w:eastAsia="zh-CN"/>
              </w:rPr>
              <w:t>1号线清单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序号</w:t>
            </w:r>
          </w:p>
        </w:tc>
        <w:tc>
          <w:tcPr>
            <w:tcW w:w="1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货物名称</w:t>
            </w: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品牌</w:t>
            </w:r>
          </w:p>
        </w:tc>
        <w:tc>
          <w:tcPr>
            <w:tcW w:w="1570"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型号规格</w:t>
            </w: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单价</w:t>
            </w:r>
          </w:p>
        </w:tc>
        <w:tc>
          <w:tcPr>
            <w:tcW w:w="915"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数量</w:t>
            </w:r>
          </w:p>
        </w:tc>
        <w:tc>
          <w:tcPr>
            <w:tcW w:w="915"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4" w:hRule="atLeast"/>
        </w:trPr>
        <w:tc>
          <w:tcPr>
            <w:tcW w:w="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570" w:type="dxa"/>
            <w:noWrap w:val="0"/>
            <w:vAlign w:val="top"/>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915"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915" w:type="dxa"/>
            <w:noWrap w:val="0"/>
            <w:vAlign w:val="top"/>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4" w:hRule="atLeast"/>
        </w:trPr>
        <w:tc>
          <w:tcPr>
            <w:tcW w:w="2974" w:type="dxa"/>
            <w:gridSpan w:val="2"/>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b/>
                <w:szCs w:val="21"/>
              </w:rPr>
            </w:pPr>
            <w:r>
              <w:rPr>
                <w:rFonts w:hint="eastAsia" w:ascii="宋体" w:hAnsi="宋体"/>
                <w:b/>
                <w:szCs w:val="21"/>
              </w:rPr>
              <w:t>合    计</w:t>
            </w:r>
          </w:p>
        </w:tc>
        <w:tc>
          <w:tcPr>
            <w:tcW w:w="5688" w:type="dxa"/>
            <w:gridSpan w:val="5"/>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r>
    </w:tbl>
    <w:p>
      <w:pPr>
        <w:keepNext w:val="0"/>
        <w:keepLines w:val="0"/>
        <w:pageBreakBefore w:val="0"/>
        <w:kinsoku/>
        <w:wordWrap/>
        <w:overflowPunct/>
        <w:topLinePunct w:val="0"/>
        <w:bidi w:val="0"/>
        <w:outlineLvl w:val="9"/>
        <w:rPr>
          <w:rFonts w:ascii="宋体" w:hAnsi="宋体"/>
        </w:rPr>
      </w:pPr>
    </w:p>
    <w:p>
      <w:pPr>
        <w:pStyle w:val="13"/>
        <w:ind w:left="0" w:leftChars="0" w:firstLine="0" w:firstLineChars="0"/>
      </w:pPr>
    </w:p>
    <w:tbl>
      <w:tblPr>
        <w:tblStyle w:val="46"/>
        <w:tblW w:w="86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7"/>
        <w:gridCol w:w="1987"/>
        <w:gridCol w:w="1144"/>
        <w:gridCol w:w="1570"/>
        <w:gridCol w:w="1144"/>
        <w:gridCol w:w="915"/>
        <w:gridCol w:w="9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8662" w:type="dxa"/>
            <w:gridSpan w:val="7"/>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eastAsia="宋体"/>
                <w:szCs w:val="21"/>
                <w:lang w:val="en-US" w:eastAsia="zh-CN"/>
              </w:rPr>
            </w:pPr>
            <w:r>
              <w:rPr>
                <w:rFonts w:hint="eastAsia" w:ascii="宋体" w:hAnsi="宋体"/>
                <w:szCs w:val="21"/>
                <w:lang w:val="en-US" w:eastAsia="zh-CN"/>
              </w:rPr>
              <w:t>2号线清单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序号</w:t>
            </w:r>
          </w:p>
        </w:tc>
        <w:tc>
          <w:tcPr>
            <w:tcW w:w="1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货物名称</w:t>
            </w: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品牌</w:t>
            </w:r>
          </w:p>
        </w:tc>
        <w:tc>
          <w:tcPr>
            <w:tcW w:w="1570"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型号规格</w:t>
            </w: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单价</w:t>
            </w:r>
          </w:p>
        </w:tc>
        <w:tc>
          <w:tcPr>
            <w:tcW w:w="915"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数量</w:t>
            </w:r>
          </w:p>
        </w:tc>
        <w:tc>
          <w:tcPr>
            <w:tcW w:w="915"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4" w:hRule="atLeast"/>
        </w:trPr>
        <w:tc>
          <w:tcPr>
            <w:tcW w:w="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570" w:type="dxa"/>
            <w:noWrap w:val="0"/>
            <w:vAlign w:val="top"/>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915"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915" w:type="dxa"/>
            <w:noWrap w:val="0"/>
            <w:vAlign w:val="top"/>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4" w:hRule="atLeast"/>
        </w:trPr>
        <w:tc>
          <w:tcPr>
            <w:tcW w:w="2974" w:type="dxa"/>
            <w:gridSpan w:val="2"/>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b/>
                <w:szCs w:val="21"/>
              </w:rPr>
            </w:pPr>
            <w:r>
              <w:rPr>
                <w:rFonts w:hint="eastAsia" w:ascii="宋体" w:hAnsi="宋体"/>
                <w:b/>
                <w:szCs w:val="21"/>
              </w:rPr>
              <w:t>合    计</w:t>
            </w:r>
          </w:p>
        </w:tc>
        <w:tc>
          <w:tcPr>
            <w:tcW w:w="5688" w:type="dxa"/>
            <w:gridSpan w:val="5"/>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r>
    </w:tbl>
    <w:p>
      <w:pPr>
        <w:pStyle w:val="13"/>
        <w:keepNext w:val="0"/>
        <w:keepLines w:val="0"/>
        <w:pageBreakBefore w:val="0"/>
        <w:kinsoku/>
        <w:wordWrap/>
        <w:overflowPunct/>
        <w:topLinePunct w:val="0"/>
        <w:bidi w:val="0"/>
        <w:outlineLvl w:val="9"/>
      </w:pPr>
    </w:p>
    <w:p>
      <w:pPr>
        <w:keepNext w:val="0"/>
        <w:keepLines w:val="0"/>
        <w:pageBreakBefore w:val="0"/>
        <w:kinsoku/>
        <w:wordWrap/>
        <w:overflowPunct/>
        <w:topLinePunct w:val="0"/>
        <w:bidi w:val="0"/>
        <w:adjustRightInd w:val="0"/>
        <w:snapToGrid w:val="0"/>
        <w:spacing w:line="360" w:lineRule="auto"/>
        <w:ind w:left="-88" w:leftChars="-42"/>
        <w:outlineLvl w:val="9"/>
        <w:rPr>
          <w:rFonts w:ascii="宋体" w:hAnsi="宋体"/>
          <w:b/>
          <w:szCs w:val="21"/>
        </w:rPr>
      </w:pPr>
      <w:r>
        <w:rPr>
          <w:rFonts w:hint="eastAsia" w:ascii="宋体" w:hAnsi="宋体"/>
          <w:b/>
          <w:szCs w:val="21"/>
        </w:rPr>
        <w:t>备注：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b/>
          <w:szCs w:val="21"/>
        </w:rPr>
      </w:pPr>
      <w:r>
        <w:rPr>
          <w:rFonts w:hint="eastAsia" w:ascii="宋体" w:hAnsi="宋体"/>
          <w:b/>
          <w:szCs w:val="21"/>
        </w:rPr>
        <w:t>1.所有报价保留小数点后两位，小数点后第三位“四舍五入”。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ascii="宋体" w:hAnsi="宋体"/>
          <w:sz w:val="21"/>
          <w:szCs w:val="21"/>
        </w:rPr>
      </w:pPr>
      <w:r>
        <w:rPr>
          <w:rFonts w:hint="eastAsia" w:ascii="宋体" w:hAnsi="宋体"/>
          <w:b/>
          <w:szCs w:val="21"/>
        </w:rPr>
        <w:t>2.本表包含谈判文件“用户需求书”或其他部分对该项目所有要求的详细报价。“合计”金额应与《报价一览表》内“谈判总报价”金额一致。栏目“单价”为综合单价，应包含所有隐含的管理费、税金和利润等其他费用。</w:t>
      </w:r>
    </w:p>
    <w:p>
      <w:pPr>
        <w:pStyle w:val="27"/>
        <w:keepNext w:val="0"/>
        <w:keepLines w:val="0"/>
        <w:pageBreakBefore w:val="0"/>
        <w:kinsoku/>
        <w:wordWrap/>
        <w:overflowPunct/>
        <w:topLinePunct w:val="0"/>
        <w:bidi w:val="0"/>
        <w:adjustRightInd w:val="0"/>
        <w:snapToGrid w:val="0"/>
        <w:spacing w:line="360" w:lineRule="auto"/>
        <w:outlineLvl w:val="9"/>
        <w:rPr>
          <w:rFonts w:ascii="宋体" w:hAnsi="宋体"/>
          <w:sz w:val="21"/>
          <w:szCs w:val="21"/>
        </w:rPr>
      </w:pPr>
    </w:p>
    <w:p>
      <w:pPr>
        <w:pStyle w:val="27"/>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szCs w:val="21"/>
        </w:rPr>
      </w:pPr>
      <w:r>
        <w:rPr>
          <w:rFonts w:hint="eastAsia" w:ascii="宋体" w:hAnsi="宋体"/>
          <w:szCs w:val="21"/>
        </w:rPr>
        <w:t>法定代表人或其委托代理人</w:t>
      </w:r>
      <w:r>
        <w:rPr>
          <w:rFonts w:hint="eastAsia" w:ascii="宋体" w:hAnsi="宋体"/>
          <w:szCs w:val="21"/>
          <w:lang w:eastAsia="zh-CN"/>
        </w:rPr>
        <w:t>（</w:t>
      </w:r>
      <w:r>
        <w:rPr>
          <w:rFonts w:hint="eastAsia" w:ascii="宋体" w:hAnsi="宋体"/>
          <w:szCs w:val="21"/>
        </w:rPr>
        <w:t>签字或盖章</w:t>
      </w:r>
      <w:r>
        <w:rPr>
          <w:rFonts w:hint="eastAsia" w:ascii="宋体" w:hAnsi="宋体"/>
          <w:szCs w:val="21"/>
          <w:lang w:eastAsia="zh-CN"/>
        </w:rPr>
        <w:t>）</w:t>
      </w:r>
      <w:r>
        <w:rPr>
          <w:rFonts w:hint="eastAsia" w:ascii="宋体" w:hAnsi="宋体"/>
          <w:szCs w:val="21"/>
        </w:rPr>
        <w:t>：</w:t>
      </w:r>
      <w:r>
        <w:rPr>
          <w:rFonts w:hint="eastAsia" w:ascii="宋体" w:hAnsi="宋体"/>
          <w:szCs w:val="21"/>
          <w:u w:val="single"/>
        </w:rPr>
        <w:t xml:space="preserve">               </w:t>
      </w:r>
    </w:p>
    <w:p>
      <w:pPr>
        <w:keepNext w:val="0"/>
        <w:keepLines w:val="0"/>
        <w:pageBreakBefore w:val="0"/>
        <w:kinsoku/>
        <w:wordWrap/>
        <w:overflowPunct/>
        <w:topLinePunct w:val="0"/>
        <w:bidi w:val="0"/>
        <w:spacing w:line="360" w:lineRule="auto"/>
        <w:ind w:firstLine="420" w:firstLineChars="200"/>
        <w:outlineLvl w:val="9"/>
        <w:rPr>
          <w:rFonts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kinsoku/>
        <w:wordWrap/>
        <w:overflowPunct/>
        <w:topLinePunct w:val="0"/>
        <w:bidi w:val="0"/>
        <w:adjustRightInd w:val="0"/>
        <w:snapToGrid w:val="0"/>
        <w:spacing w:line="360" w:lineRule="auto"/>
        <w:ind w:left="-88" w:leftChars="-42" w:firstLine="211" w:firstLineChars="100"/>
        <w:outlineLvl w:val="9"/>
        <w:rPr>
          <w:rFonts w:ascii="宋体" w:hAnsi="宋体"/>
          <w:b/>
          <w:szCs w:val="21"/>
        </w:rPr>
      </w:pPr>
    </w:p>
    <w:p>
      <w:pPr>
        <w:keepNext w:val="0"/>
        <w:keepLines w:val="0"/>
        <w:pageBreakBefore w:val="0"/>
        <w:kinsoku/>
        <w:wordWrap/>
        <w:overflowPunct/>
        <w:topLinePunct w:val="0"/>
        <w:bidi w:val="0"/>
        <w:adjustRightInd w:val="0"/>
        <w:snapToGrid w:val="0"/>
        <w:jc w:val="center"/>
        <w:outlineLvl w:val="9"/>
        <w:rPr>
          <w:rFonts w:ascii="宋体" w:hAnsi="宋体"/>
          <w:b/>
          <w:sz w:val="32"/>
          <w:szCs w:val="32"/>
        </w:rPr>
        <w:sectPr>
          <w:pgSz w:w="11906" w:h="16838"/>
          <w:pgMar w:top="1440" w:right="1797" w:bottom="1440" w:left="1797"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outlineLvl w:val="1"/>
        <w:rPr>
          <w:rFonts w:hint="eastAsia" w:ascii="宋体" w:hAnsi="宋体" w:eastAsia="宋体" w:cs="宋体"/>
          <w:b/>
          <w:sz w:val="32"/>
          <w:szCs w:val="32"/>
        </w:rPr>
      </w:pPr>
      <w:bookmarkStart w:id="511" w:name="_Toc22350"/>
      <w:bookmarkStart w:id="512" w:name="_Toc27585"/>
      <w:bookmarkStart w:id="513" w:name="_Toc22739"/>
      <w:bookmarkStart w:id="514" w:name="_Toc9077"/>
      <w:r>
        <w:rPr>
          <w:rFonts w:hint="eastAsia" w:ascii="宋体" w:hAnsi="宋体" w:eastAsia="宋体" w:cs="宋体"/>
          <w:b/>
          <w:sz w:val="32"/>
          <w:szCs w:val="32"/>
        </w:rPr>
        <w:t>七、其他资料</w:t>
      </w:r>
      <w:bookmarkEnd w:id="511"/>
      <w:bookmarkEnd w:id="512"/>
      <w:bookmarkEnd w:id="513"/>
      <w:bookmarkEnd w:id="514"/>
      <w:r>
        <w:rPr>
          <w:rFonts w:hint="eastAsia" w:ascii="宋体" w:hAnsi="宋体" w:eastAsia="宋体" w:cs="宋体"/>
          <w:b/>
          <w:sz w:val="32"/>
          <w:szCs w:val="32"/>
        </w:rPr>
        <w:t>（如有）</w:t>
      </w:r>
    </w:p>
    <w:p>
      <w:pPr>
        <w:adjustRightInd w:val="0"/>
        <w:snapToGrid w:val="0"/>
        <w:spacing w:beforeLines="50" w:line="360" w:lineRule="auto"/>
        <w:ind w:firstLine="420" w:firstLineChars="200"/>
        <w:jc w:val="center"/>
        <w:rPr>
          <w:rFonts w:ascii="宋体" w:hAnsi="宋体"/>
          <w:szCs w:val="21"/>
        </w:rPr>
      </w:pPr>
      <w:bookmarkStart w:id="515" w:name="_Toc5412"/>
      <w:bookmarkStart w:id="516" w:name="_Toc10648"/>
      <w:bookmarkStart w:id="517" w:name="_Toc18188"/>
      <w:bookmarkStart w:id="518" w:name="_Toc22084"/>
      <w:r>
        <w:rPr>
          <w:rFonts w:hint="eastAsia" w:ascii="宋体" w:hAnsi="宋体"/>
          <w:szCs w:val="21"/>
        </w:rPr>
        <w:t>谈判单位认为需要提供的其他报价资料，格式自拟。</w:t>
      </w:r>
      <w:bookmarkEnd w:id="515"/>
      <w:bookmarkEnd w:id="516"/>
      <w:bookmarkEnd w:id="517"/>
      <w:bookmarkEnd w:id="518"/>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listo MT">
    <w:altName w:val="Segoe Print"/>
    <w:panose1 w:val="00000000000000000000"/>
    <w:charset w:val="00"/>
    <w:family w:val="roman"/>
    <w:pitch w:val="default"/>
    <w:sig w:usb0="00000000" w:usb1="00000000" w:usb2="00000000" w:usb3="00000000" w:csb0="00000001" w:csb1="00000000"/>
  </w:font>
  <w:font w:name="华文细黑">
    <w:altName w:val="微软雅黑"/>
    <w:panose1 w:val="00000000000000000000"/>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4101" o:spid="_x0000_s4101"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4102" o:spid="_x0000_s410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4103" o:spid="_x0000_s410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hint="eastAsia" w:eastAsia="楷体_GB2312"/>
      </w:rPr>
    </w:pPr>
    <w:r>
      <w:rPr>
        <w:sz w:val="18"/>
      </w:rPr>
      <w:pict>
        <v:shape id="_x0000_s4104" o:spid="_x0000_s410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w:r>
    <w:r>
      <w:rPr>
        <w:rFonts w:hint="eastAsia" w:eastAsia="楷体_GB231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4105" o:spid="_x0000_s410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25E42"/>
    <w:multiLevelType w:val="singleLevel"/>
    <w:tmpl w:val="81725E42"/>
    <w:lvl w:ilvl="0" w:tentative="0">
      <w:start w:val="21"/>
      <w:numFmt w:val="decimal"/>
      <w:lvlText w:val="%1."/>
      <w:lvlJc w:val="left"/>
      <w:pPr>
        <w:tabs>
          <w:tab w:val="left" w:pos="312"/>
        </w:tabs>
      </w:pPr>
    </w:lvl>
  </w:abstractNum>
  <w:abstractNum w:abstractNumId="1">
    <w:nsid w:val="FE293A88"/>
    <w:multiLevelType w:val="singleLevel"/>
    <w:tmpl w:val="FE293A88"/>
    <w:lvl w:ilvl="0" w:tentative="0">
      <w:start w:val="3"/>
      <w:numFmt w:val="chineseCounting"/>
      <w:pStyle w:val="358"/>
      <w:suff w:val="nothing"/>
      <w:lvlText w:val="%1、"/>
      <w:lvlJc w:val="left"/>
      <w:rPr>
        <w:rFonts w:hint="eastAsia"/>
      </w:rPr>
    </w:lvl>
  </w:abstractNum>
  <w:abstractNum w:abstractNumId="2">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3">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0784A"/>
    <w:rsid w:val="00005EC9"/>
    <w:rsid w:val="00006D21"/>
    <w:rsid w:val="000127FE"/>
    <w:rsid w:val="00016902"/>
    <w:rsid w:val="000274C6"/>
    <w:rsid w:val="00052640"/>
    <w:rsid w:val="00063D15"/>
    <w:rsid w:val="00074928"/>
    <w:rsid w:val="00091C9D"/>
    <w:rsid w:val="000C106E"/>
    <w:rsid w:val="000E7968"/>
    <w:rsid w:val="00115FE6"/>
    <w:rsid w:val="00116BAE"/>
    <w:rsid w:val="001453A1"/>
    <w:rsid w:val="00162D59"/>
    <w:rsid w:val="00186162"/>
    <w:rsid w:val="001C23BF"/>
    <w:rsid w:val="001D6D72"/>
    <w:rsid w:val="002069C8"/>
    <w:rsid w:val="002139EB"/>
    <w:rsid w:val="0022188F"/>
    <w:rsid w:val="00222DFA"/>
    <w:rsid w:val="00230A1A"/>
    <w:rsid w:val="002314A3"/>
    <w:rsid w:val="002504FF"/>
    <w:rsid w:val="002523FD"/>
    <w:rsid w:val="0025312F"/>
    <w:rsid w:val="00255546"/>
    <w:rsid w:val="00286014"/>
    <w:rsid w:val="002B1D56"/>
    <w:rsid w:val="002F262C"/>
    <w:rsid w:val="003102A2"/>
    <w:rsid w:val="00331810"/>
    <w:rsid w:val="00352136"/>
    <w:rsid w:val="00380064"/>
    <w:rsid w:val="00381105"/>
    <w:rsid w:val="00381BB4"/>
    <w:rsid w:val="003958B2"/>
    <w:rsid w:val="0039632C"/>
    <w:rsid w:val="003B1109"/>
    <w:rsid w:val="003C2697"/>
    <w:rsid w:val="003D080C"/>
    <w:rsid w:val="003D6204"/>
    <w:rsid w:val="003F46A7"/>
    <w:rsid w:val="004014FD"/>
    <w:rsid w:val="00423B85"/>
    <w:rsid w:val="004263EB"/>
    <w:rsid w:val="00432B31"/>
    <w:rsid w:val="00453EE9"/>
    <w:rsid w:val="00473865"/>
    <w:rsid w:val="0048093D"/>
    <w:rsid w:val="004929D5"/>
    <w:rsid w:val="00495DBC"/>
    <w:rsid w:val="00495F57"/>
    <w:rsid w:val="004978CA"/>
    <w:rsid w:val="004B3D80"/>
    <w:rsid w:val="004B41B1"/>
    <w:rsid w:val="00504DED"/>
    <w:rsid w:val="00526589"/>
    <w:rsid w:val="00545140"/>
    <w:rsid w:val="0055214F"/>
    <w:rsid w:val="005556A5"/>
    <w:rsid w:val="0056117D"/>
    <w:rsid w:val="0056143E"/>
    <w:rsid w:val="0058754B"/>
    <w:rsid w:val="005C688B"/>
    <w:rsid w:val="005E6BBB"/>
    <w:rsid w:val="00641E72"/>
    <w:rsid w:val="0068504A"/>
    <w:rsid w:val="0068515F"/>
    <w:rsid w:val="00687C87"/>
    <w:rsid w:val="006A61E9"/>
    <w:rsid w:val="006B6300"/>
    <w:rsid w:val="006D0A13"/>
    <w:rsid w:val="006E025D"/>
    <w:rsid w:val="006F5FAC"/>
    <w:rsid w:val="0070784A"/>
    <w:rsid w:val="00730CC6"/>
    <w:rsid w:val="00740D0D"/>
    <w:rsid w:val="00743EAA"/>
    <w:rsid w:val="00793ABB"/>
    <w:rsid w:val="0079784E"/>
    <w:rsid w:val="007D0446"/>
    <w:rsid w:val="007F3811"/>
    <w:rsid w:val="00802770"/>
    <w:rsid w:val="0081382B"/>
    <w:rsid w:val="00842E06"/>
    <w:rsid w:val="008511F3"/>
    <w:rsid w:val="00877465"/>
    <w:rsid w:val="008B6242"/>
    <w:rsid w:val="008C7C9F"/>
    <w:rsid w:val="00915948"/>
    <w:rsid w:val="00923E97"/>
    <w:rsid w:val="009A5642"/>
    <w:rsid w:val="009B5270"/>
    <w:rsid w:val="009C10AF"/>
    <w:rsid w:val="009D41D7"/>
    <w:rsid w:val="009D7D4A"/>
    <w:rsid w:val="009E03FD"/>
    <w:rsid w:val="009E2384"/>
    <w:rsid w:val="00A34DC1"/>
    <w:rsid w:val="00A41E73"/>
    <w:rsid w:val="00A618F2"/>
    <w:rsid w:val="00A61CCE"/>
    <w:rsid w:val="00A72E80"/>
    <w:rsid w:val="00A92B7C"/>
    <w:rsid w:val="00AA1709"/>
    <w:rsid w:val="00AB013C"/>
    <w:rsid w:val="00AD758B"/>
    <w:rsid w:val="00AF11ED"/>
    <w:rsid w:val="00B01BA0"/>
    <w:rsid w:val="00B74689"/>
    <w:rsid w:val="00B82298"/>
    <w:rsid w:val="00B832A9"/>
    <w:rsid w:val="00B92FA2"/>
    <w:rsid w:val="00BE15B5"/>
    <w:rsid w:val="00C0069B"/>
    <w:rsid w:val="00C20479"/>
    <w:rsid w:val="00C21D69"/>
    <w:rsid w:val="00C532E5"/>
    <w:rsid w:val="00C57914"/>
    <w:rsid w:val="00C6008B"/>
    <w:rsid w:val="00C758E3"/>
    <w:rsid w:val="00CB534B"/>
    <w:rsid w:val="00CD624B"/>
    <w:rsid w:val="00CE51F2"/>
    <w:rsid w:val="00CE631C"/>
    <w:rsid w:val="00CE703D"/>
    <w:rsid w:val="00CF0192"/>
    <w:rsid w:val="00CF040C"/>
    <w:rsid w:val="00D164FE"/>
    <w:rsid w:val="00D31733"/>
    <w:rsid w:val="00D43330"/>
    <w:rsid w:val="00D45708"/>
    <w:rsid w:val="00D6362F"/>
    <w:rsid w:val="00D84A7F"/>
    <w:rsid w:val="00DA51BD"/>
    <w:rsid w:val="00DF363F"/>
    <w:rsid w:val="00E10E15"/>
    <w:rsid w:val="00E32EEF"/>
    <w:rsid w:val="00E74692"/>
    <w:rsid w:val="00E77817"/>
    <w:rsid w:val="00E944EE"/>
    <w:rsid w:val="00EF6911"/>
    <w:rsid w:val="00F37996"/>
    <w:rsid w:val="00F410E0"/>
    <w:rsid w:val="00F579E9"/>
    <w:rsid w:val="00FA6734"/>
    <w:rsid w:val="00FE3699"/>
    <w:rsid w:val="01403F6F"/>
    <w:rsid w:val="014D6F55"/>
    <w:rsid w:val="01553A81"/>
    <w:rsid w:val="01932790"/>
    <w:rsid w:val="01CF51F6"/>
    <w:rsid w:val="01EA6EEC"/>
    <w:rsid w:val="01F95304"/>
    <w:rsid w:val="021B19D1"/>
    <w:rsid w:val="02263AD9"/>
    <w:rsid w:val="024C0DC0"/>
    <w:rsid w:val="02787973"/>
    <w:rsid w:val="02787D91"/>
    <w:rsid w:val="02823A35"/>
    <w:rsid w:val="029A1968"/>
    <w:rsid w:val="02AB7973"/>
    <w:rsid w:val="02BF5617"/>
    <w:rsid w:val="02FB4FEB"/>
    <w:rsid w:val="03727DAF"/>
    <w:rsid w:val="03D41287"/>
    <w:rsid w:val="03F31A5E"/>
    <w:rsid w:val="03FC0CEA"/>
    <w:rsid w:val="04240981"/>
    <w:rsid w:val="042B3AFB"/>
    <w:rsid w:val="0445397B"/>
    <w:rsid w:val="0471407F"/>
    <w:rsid w:val="04E70891"/>
    <w:rsid w:val="04EE0D07"/>
    <w:rsid w:val="054E6891"/>
    <w:rsid w:val="05990F81"/>
    <w:rsid w:val="05EB6762"/>
    <w:rsid w:val="05F777CC"/>
    <w:rsid w:val="061842D1"/>
    <w:rsid w:val="067428EB"/>
    <w:rsid w:val="06C11238"/>
    <w:rsid w:val="06D605B3"/>
    <w:rsid w:val="070C68F7"/>
    <w:rsid w:val="072B22BC"/>
    <w:rsid w:val="074C43F1"/>
    <w:rsid w:val="07650D5D"/>
    <w:rsid w:val="07A76048"/>
    <w:rsid w:val="07B16F85"/>
    <w:rsid w:val="082211DD"/>
    <w:rsid w:val="08232382"/>
    <w:rsid w:val="082F5114"/>
    <w:rsid w:val="083D23B2"/>
    <w:rsid w:val="086136BB"/>
    <w:rsid w:val="08786792"/>
    <w:rsid w:val="08807627"/>
    <w:rsid w:val="089F6734"/>
    <w:rsid w:val="093252EE"/>
    <w:rsid w:val="09422E59"/>
    <w:rsid w:val="094A4EE7"/>
    <w:rsid w:val="0959407C"/>
    <w:rsid w:val="097D1C20"/>
    <w:rsid w:val="098A3350"/>
    <w:rsid w:val="09A23D38"/>
    <w:rsid w:val="09AB154E"/>
    <w:rsid w:val="0A0B173F"/>
    <w:rsid w:val="0A2948BE"/>
    <w:rsid w:val="0A451CA7"/>
    <w:rsid w:val="0AA94D17"/>
    <w:rsid w:val="0AE24958"/>
    <w:rsid w:val="0B0459F0"/>
    <w:rsid w:val="0B4432D5"/>
    <w:rsid w:val="0B590F4A"/>
    <w:rsid w:val="0B8511E8"/>
    <w:rsid w:val="0BAA700E"/>
    <w:rsid w:val="0BEB10E2"/>
    <w:rsid w:val="0C156CFF"/>
    <w:rsid w:val="0C1A66D1"/>
    <w:rsid w:val="0C361670"/>
    <w:rsid w:val="0C411CD0"/>
    <w:rsid w:val="0C5B1FA9"/>
    <w:rsid w:val="0C8E4136"/>
    <w:rsid w:val="0CA062F8"/>
    <w:rsid w:val="0CED2457"/>
    <w:rsid w:val="0D2C1377"/>
    <w:rsid w:val="0D5C5AB2"/>
    <w:rsid w:val="0D614F04"/>
    <w:rsid w:val="0D6A4C3D"/>
    <w:rsid w:val="0D847932"/>
    <w:rsid w:val="0DCC335E"/>
    <w:rsid w:val="0DF87606"/>
    <w:rsid w:val="0E04554D"/>
    <w:rsid w:val="0E0C0187"/>
    <w:rsid w:val="0E1865F8"/>
    <w:rsid w:val="0E413AE2"/>
    <w:rsid w:val="0E94477A"/>
    <w:rsid w:val="0EBC2000"/>
    <w:rsid w:val="0ED5035C"/>
    <w:rsid w:val="0F143C2E"/>
    <w:rsid w:val="0F340DCE"/>
    <w:rsid w:val="0F3918CC"/>
    <w:rsid w:val="0F397095"/>
    <w:rsid w:val="0FD663C6"/>
    <w:rsid w:val="10190CBD"/>
    <w:rsid w:val="102D14D1"/>
    <w:rsid w:val="104E0318"/>
    <w:rsid w:val="10A750E5"/>
    <w:rsid w:val="11342822"/>
    <w:rsid w:val="115D2B41"/>
    <w:rsid w:val="118640B3"/>
    <w:rsid w:val="12321665"/>
    <w:rsid w:val="126C7EC0"/>
    <w:rsid w:val="1277417D"/>
    <w:rsid w:val="12BE7F96"/>
    <w:rsid w:val="12E70400"/>
    <w:rsid w:val="12F745E0"/>
    <w:rsid w:val="12F96D8F"/>
    <w:rsid w:val="1342515B"/>
    <w:rsid w:val="1356443E"/>
    <w:rsid w:val="1360694E"/>
    <w:rsid w:val="136253A7"/>
    <w:rsid w:val="136544CD"/>
    <w:rsid w:val="13A934D3"/>
    <w:rsid w:val="13C0328F"/>
    <w:rsid w:val="13C5215F"/>
    <w:rsid w:val="13C719E1"/>
    <w:rsid w:val="13DC2553"/>
    <w:rsid w:val="142D4C56"/>
    <w:rsid w:val="145C45D5"/>
    <w:rsid w:val="149B2B25"/>
    <w:rsid w:val="15340E77"/>
    <w:rsid w:val="157939BE"/>
    <w:rsid w:val="15C01930"/>
    <w:rsid w:val="161C194F"/>
    <w:rsid w:val="162E1686"/>
    <w:rsid w:val="167D6633"/>
    <w:rsid w:val="16C7330C"/>
    <w:rsid w:val="16CE41FA"/>
    <w:rsid w:val="16E77616"/>
    <w:rsid w:val="16F862E2"/>
    <w:rsid w:val="173A56D7"/>
    <w:rsid w:val="176159C8"/>
    <w:rsid w:val="17740B65"/>
    <w:rsid w:val="17C50F2C"/>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BD3D34"/>
    <w:rsid w:val="1BBE13E9"/>
    <w:rsid w:val="1BC54211"/>
    <w:rsid w:val="1BCC07FF"/>
    <w:rsid w:val="1BD21A8E"/>
    <w:rsid w:val="1BED31A7"/>
    <w:rsid w:val="1BF6640F"/>
    <w:rsid w:val="1C2D03AA"/>
    <w:rsid w:val="1C2F51F0"/>
    <w:rsid w:val="1C4B2F98"/>
    <w:rsid w:val="1CE400B3"/>
    <w:rsid w:val="1D2119DA"/>
    <w:rsid w:val="1D481945"/>
    <w:rsid w:val="1D961B49"/>
    <w:rsid w:val="1D9F6122"/>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A7260B"/>
    <w:rsid w:val="1FB35D19"/>
    <w:rsid w:val="1FEE3736"/>
    <w:rsid w:val="2034266D"/>
    <w:rsid w:val="20441BF7"/>
    <w:rsid w:val="20567811"/>
    <w:rsid w:val="207B20B8"/>
    <w:rsid w:val="20C87EE6"/>
    <w:rsid w:val="20D4307C"/>
    <w:rsid w:val="20DF6696"/>
    <w:rsid w:val="21156537"/>
    <w:rsid w:val="218469C1"/>
    <w:rsid w:val="21FB6487"/>
    <w:rsid w:val="22611A5A"/>
    <w:rsid w:val="22620C72"/>
    <w:rsid w:val="22622A21"/>
    <w:rsid w:val="22AE5F02"/>
    <w:rsid w:val="22DF68BA"/>
    <w:rsid w:val="22E54FD6"/>
    <w:rsid w:val="23E2019C"/>
    <w:rsid w:val="24552B00"/>
    <w:rsid w:val="24582CE4"/>
    <w:rsid w:val="246C3202"/>
    <w:rsid w:val="250462EA"/>
    <w:rsid w:val="252D7657"/>
    <w:rsid w:val="25355DF2"/>
    <w:rsid w:val="25390605"/>
    <w:rsid w:val="253A3746"/>
    <w:rsid w:val="256C29A0"/>
    <w:rsid w:val="256C4EB8"/>
    <w:rsid w:val="25752417"/>
    <w:rsid w:val="25933BDB"/>
    <w:rsid w:val="25B66BA8"/>
    <w:rsid w:val="25E70ABF"/>
    <w:rsid w:val="2661226B"/>
    <w:rsid w:val="26CF4594"/>
    <w:rsid w:val="271E4DAB"/>
    <w:rsid w:val="272A5BFE"/>
    <w:rsid w:val="27320D1C"/>
    <w:rsid w:val="274759C4"/>
    <w:rsid w:val="274B7559"/>
    <w:rsid w:val="28166B73"/>
    <w:rsid w:val="282442D9"/>
    <w:rsid w:val="284367B5"/>
    <w:rsid w:val="284C2446"/>
    <w:rsid w:val="285718A5"/>
    <w:rsid w:val="28F865CB"/>
    <w:rsid w:val="29020E18"/>
    <w:rsid w:val="29053276"/>
    <w:rsid w:val="29212087"/>
    <w:rsid w:val="29250E1B"/>
    <w:rsid w:val="293E4CC1"/>
    <w:rsid w:val="29443F92"/>
    <w:rsid w:val="295A53EB"/>
    <w:rsid w:val="29803AA3"/>
    <w:rsid w:val="29884B07"/>
    <w:rsid w:val="298957C4"/>
    <w:rsid w:val="29DF4E52"/>
    <w:rsid w:val="2A1D6A45"/>
    <w:rsid w:val="2A6F6EBA"/>
    <w:rsid w:val="2A830C79"/>
    <w:rsid w:val="2AD11736"/>
    <w:rsid w:val="2B1029CF"/>
    <w:rsid w:val="2B424E87"/>
    <w:rsid w:val="2B5F0E77"/>
    <w:rsid w:val="2B7F64C1"/>
    <w:rsid w:val="2BA3212D"/>
    <w:rsid w:val="2BE7007A"/>
    <w:rsid w:val="2BFE408A"/>
    <w:rsid w:val="2C1D78F3"/>
    <w:rsid w:val="2C234403"/>
    <w:rsid w:val="2C393680"/>
    <w:rsid w:val="2CDF0482"/>
    <w:rsid w:val="2D22640D"/>
    <w:rsid w:val="2D464D5F"/>
    <w:rsid w:val="2D4E5097"/>
    <w:rsid w:val="2D592D22"/>
    <w:rsid w:val="2DEB1F6F"/>
    <w:rsid w:val="2DFB00B5"/>
    <w:rsid w:val="2E697CA3"/>
    <w:rsid w:val="2E6D23B0"/>
    <w:rsid w:val="2E6D4E98"/>
    <w:rsid w:val="2E7931EC"/>
    <w:rsid w:val="2E944745"/>
    <w:rsid w:val="2E9705D3"/>
    <w:rsid w:val="2E9C3022"/>
    <w:rsid w:val="2EBE0475"/>
    <w:rsid w:val="2EC1790D"/>
    <w:rsid w:val="2EE23871"/>
    <w:rsid w:val="2F1D1D68"/>
    <w:rsid w:val="2F2A65B2"/>
    <w:rsid w:val="2F6C2DFA"/>
    <w:rsid w:val="300C3711"/>
    <w:rsid w:val="3022617D"/>
    <w:rsid w:val="30464B56"/>
    <w:rsid w:val="307C2C0D"/>
    <w:rsid w:val="30967620"/>
    <w:rsid w:val="309F2085"/>
    <w:rsid w:val="30BD1FE5"/>
    <w:rsid w:val="30E74D92"/>
    <w:rsid w:val="30F36C74"/>
    <w:rsid w:val="30F9318B"/>
    <w:rsid w:val="31272F44"/>
    <w:rsid w:val="31936105"/>
    <w:rsid w:val="31B658D4"/>
    <w:rsid w:val="32316E69"/>
    <w:rsid w:val="325B404D"/>
    <w:rsid w:val="32887E5F"/>
    <w:rsid w:val="32922EE0"/>
    <w:rsid w:val="329E5AD1"/>
    <w:rsid w:val="32CC51E5"/>
    <w:rsid w:val="32E6051A"/>
    <w:rsid w:val="32F33B15"/>
    <w:rsid w:val="3342483F"/>
    <w:rsid w:val="33A718ED"/>
    <w:rsid w:val="33AA3E3F"/>
    <w:rsid w:val="34086FF6"/>
    <w:rsid w:val="34AC6BE3"/>
    <w:rsid w:val="34BD03D7"/>
    <w:rsid w:val="34EB329F"/>
    <w:rsid w:val="34FE1F7D"/>
    <w:rsid w:val="35270865"/>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963F54"/>
    <w:rsid w:val="379A6B89"/>
    <w:rsid w:val="379B6A7D"/>
    <w:rsid w:val="37BF2E3D"/>
    <w:rsid w:val="37D107AA"/>
    <w:rsid w:val="37F43335"/>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E2D5980"/>
    <w:rsid w:val="3E3102BB"/>
    <w:rsid w:val="3E614AA5"/>
    <w:rsid w:val="3EB02545"/>
    <w:rsid w:val="3EB21D54"/>
    <w:rsid w:val="3F18661A"/>
    <w:rsid w:val="3F7512EA"/>
    <w:rsid w:val="3F9730B9"/>
    <w:rsid w:val="3FC55901"/>
    <w:rsid w:val="3FC9458D"/>
    <w:rsid w:val="3FD033AD"/>
    <w:rsid w:val="401F021A"/>
    <w:rsid w:val="404148A6"/>
    <w:rsid w:val="40572AB6"/>
    <w:rsid w:val="405D3459"/>
    <w:rsid w:val="4068264C"/>
    <w:rsid w:val="407728FD"/>
    <w:rsid w:val="40CA0DB3"/>
    <w:rsid w:val="410603FC"/>
    <w:rsid w:val="410D06B8"/>
    <w:rsid w:val="418842A8"/>
    <w:rsid w:val="41A274B6"/>
    <w:rsid w:val="41C034AF"/>
    <w:rsid w:val="42311D52"/>
    <w:rsid w:val="424A712C"/>
    <w:rsid w:val="4263268C"/>
    <w:rsid w:val="429F7E60"/>
    <w:rsid w:val="42CB2D35"/>
    <w:rsid w:val="42F759C4"/>
    <w:rsid w:val="43023463"/>
    <w:rsid w:val="430420F8"/>
    <w:rsid w:val="434660D0"/>
    <w:rsid w:val="43554BAC"/>
    <w:rsid w:val="435D3A52"/>
    <w:rsid w:val="436D6609"/>
    <w:rsid w:val="4392054D"/>
    <w:rsid w:val="43A027A3"/>
    <w:rsid w:val="43A05E1A"/>
    <w:rsid w:val="43AA1E91"/>
    <w:rsid w:val="43AF27CC"/>
    <w:rsid w:val="43BA343C"/>
    <w:rsid w:val="43C42006"/>
    <w:rsid w:val="43F8127E"/>
    <w:rsid w:val="44107E1A"/>
    <w:rsid w:val="4428525F"/>
    <w:rsid w:val="444A0170"/>
    <w:rsid w:val="4458707E"/>
    <w:rsid w:val="44667276"/>
    <w:rsid w:val="44A37922"/>
    <w:rsid w:val="44B63420"/>
    <w:rsid w:val="44B71DE6"/>
    <w:rsid w:val="44BE70AA"/>
    <w:rsid w:val="44DB6B8D"/>
    <w:rsid w:val="45160574"/>
    <w:rsid w:val="45F8252B"/>
    <w:rsid w:val="46153B79"/>
    <w:rsid w:val="46162EA8"/>
    <w:rsid w:val="4655670F"/>
    <w:rsid w:val="465911A1"/>
    <w:rsid w:val="465E48A1"/>
    <w:rsid w:val="46CD6A3D"/>
    <w:rsid w:val="46D23AA8"/>
    <w:rsid w:val="46D446A7"/>
    <w:rsid w:val="47165D61"/>
    <w:rsid w:val="475D1752"/>
    <w:rsid w:val="47767BD4"/>
    <w:rsid w:val="477D0471"/>
    <w:rsid w:val="478F59C9"/>
    <w:rsid w:val="47FB44E3"/>
    <w:rsid w:val="488A747A"/>
    <w:rsid w:val="489640A7"/>
    <w:rsid w:val="489E300A"/>
    <w:rsid w:val="4955748F"/>
    <w:rsid w:val="49694B92"/>
    <w:rsid w:val="49737357"/>
    <w:rsid w:val="49E51E3A"/>
    <w:rsid w:val="4A0366CF"/>
    <w:rsid w:val="4A256483"/>
    <w:rsid w:val="4A38641F"/>
    <w:rsid w:val="4A800E57"/>
    <w:rsid w:val="4A8D4A10"/>
    <w:rsid w:val="4A9F5D83"/>
    <w:rsid w:val="4AB52052"/>
    <w:rsid w:val="4AF859CC"/>
    <w:rsid w:val="4B657DEC"/>
    <w:rsid w:val="4B8152D3"/>
    <w:rsid w:val="4B835116"/>
    <w:rsid w:val="4B965649"/>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6B02B8"/>
    <w:rsid w:val="4F72409C"/>
    <w:rsid w:val="4FA43165"/>
    <w:rsid w:val="4FB6214D"/>
    <w:rsid w:val="4FFA2095"/>
    <w:rsid w:val="50645753"/>
    <w:rsid w:val="50A93BA8"/>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50431D5"/>
    <w:rsid w:val="551D6AF9"/>
    <w:rsid w:val="55A60ADC"/>
    <w:rsid w:val="55D857C5"/>
    <w:rsid w:val="56253A26"/>
    <w:rsid w:val="5638334C"/>
    <w:rsid w:val="56780FF9"/>
    <w:rsid w:val="56870578"/>
    <w:rsid w:val="569241C0"/>
    <w:rsid w:val="56944288"/>
    <w:rsid w:val="56A33B67"/>
    <w:rsid w:val="56A40E03"/>
    <w:rsid w:val="56E20A0E"/>
    <w:rsid w:val="5712602C"/>
    <w:rsid w:val="5737516A"/>
    <w:rsid w:val="57431AE0"/>
    <w:rsid w:val="57730A91"/>
    <w:rsid w:val="5780384C"/>
    <w:rsid w:val="57A27BD5"/>
    <w:rsid w:val="57C762A2"/>
    <w:rsid w:val="5812512F"/>
    <w:rsid w:val="587179A2"/>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8509D1"/>
    <w:rsid w:val="5B90297B"/>
    <w:rsid w:val="5C11606C"/>
    <w:rsid w:val="5C4E0A2D"/>
    <w:rsid w:val="5C524815"/>
    <w:rsid w:val="5C64452B"/>
    <w:rsid w:val="5C7719CE"/>
    <w:rsid w:val="5C8E79BD"/>
    <w:rsid w:val="5CA6604A"/>
    <w:rsid w:val="5D2719C9"/>
    <w:rsid w:val="5D285026"/>
    <w:rsid w:val="5D5C0E3F"/>
    <w:rsid w:val="5D5E619D"/>
    <w:rsid w:val="5D697358"/>
    <w:rsid w:val="5D747A99"/>
    <w:rsid w:val="5D9249ED"/>
    <w:rsid w:val="5DA1646B"/>
    <w:rsid w:val="5DD7329D"/>
    <w:rsid w:val="5DDC5DDB"/>
    <w:rsid w:val="5DF04FFA"/>
    <w:rsid w:val="5E063C72"/>
    <w:rsid w:val="5E19167C"/>
    <w:rsid w:val="5E3C01D4"/>
    <w:rsid w:val="5E6F443D"/>
    <w:rsid w:val="5E70354F"/>
    <w:rsid w:val="5E8C7523"/>
    <w:rsid w:val="5E94632E"/>
    <w:rsid w:val="5E9C2B92"/>
    <w:rsid w:val="5EB82786"/>
    <w:rsid w:val="5EB94C72"/>
    <w:rsid w:val="5F111534"/>
    <w:rsid w:val="5F2541B1"/>
    <w:rsid w:val="5F804106"/>
    <w:rsid w:val="5F8E0C9A"/>
    <w:rsid w:val="5FBC6FFC"/>
    <w:rsid w:val="5FD91B32"/>
    <w:rsid w:val="5FDE3D1C"/>
    <w:rsid w:val="5FEB36B0"/>
    <w:rsid w:val="60070235"/>
    <w:rsid w:val="60247960"/>
    <w:rsid w:val="60337FBD"/>
    <w:rsid w:val="60557909"/>
    <w:rsid w:val="608B596D"/>
    <w:rsid w:val="60B20DDE"/>
    <w:rsid w:val="60CF6017"/>
    <w:rsid w:val="60EC58A1"/>
    <w:rsid w:val="60F765D6"/>
    <w:rsid w:val="614A193E"/>
    <w:rsid w:val="619B0A4D"/>
    <w:rsid w:val="61BC5698"/>
    <w:rsid w:val="61C05E29"/>
    <w:rsid w:val="61E220CA"/>
    <w:rsid w:val="621F3A28"/>
    <w:rsid w:val="622919DE"/>
    <w:rsid w:val="623817CD"/>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50401CF"/>
    <w:rsid w:val="65205814"/>
    <w:rsid w:val="653D52DC"/>
    <w:rsid w:val="655373D5"/>
    <w:rsid w:val="659D4F4E"/>
    <w:rsid w:val="65A300A1"/>
    <w:rsid w:val="65DB5C3D"/>
    <w:rsid w:val="65DC330D"/>
    <w:rsid w:val="666631F7"/>
    <w:rsid w:val="66780DEE"/>
    <w:rsid w:val="668E1E21"/>
    <w:rsid w:val="66926F8C"/>
    <w:rsid w:val="66966882"/>
    <w:rsid w:val="66AB117E"/>
    <w:rsid w:val="66F269C9"/>
    <w:rsid w:val="67285BDC"/>
    <w:rsid w:val="67C1521F"/>
    <w:rsid w:val="67FB2FC2"/>
    <w:rsid w:val="6838125F"/>
    <w:rsid w:val="684E7153"/>
    <w:rsid w:val="68942469"/>
    <w:rsid w:val="689A4745"/>
    <w:rsid w:val="68A270B1"/>
    <w:rsid w:val="69522C18"/>
    <w:rsid w:val="69560D87"/>
    <w:rsid w:val="69624B7D"/>
    <w:rsid w:val="69A85914"/>
    <w:rsid w:val="69B54893"/>
    <w:rsid w:val="69F0666F"/>
    <w:rsid w:val="69FA018D"/>
    <w:rsid w:val="6A25465E"/>
    <w:rsid w:val="6A572716"/>
    <w:rsid w:val="6A87076D"/>
    <w:rsid w:val="6A9454E3"/>
    <w:rsid w:val="6ACF2D0F"/>
    <w:rsid w:val="6AFC0247"/>
    <w:rsid w:val="6AFC23BD"/>
    <w:rsid w:val="6B287CCA"/>
    <w:rsid w:val="6B37191E"/>
    <w:rsid w:val="6BA33D44"/>
    <w:rsid w:val="6BDA30FF"/>
    <w:rsid w:val="6C4068D5"/>
    <w:rsid w:val="6C8568B5"/>
    <w:rsid w:val="6C966E13"/>
    <w:rsid w:val="6CB00C5D"/>
    <w:rsid w:val="6CF84967"/>
    <w:rsid w:val="6D0441AB"/>
    <w:rsid w:val="6D4150D0"/>
    <w:rsid w:val="6D481945"/>
    <w:rsid w:val="6D6650F6"/>
    <w:rsid w:val="6D6D32A5"/>
    <w:rsid w:val="6D7B403E"/>
    <w:rsid w:val="6D96704E"/>
    <w:rsid w:val="6DEC7B87"/>
    <w:rsid w:val="6EF06A3A"/>
    <w:rsid w:val="6F231086"/>
    <w:rsid w:val="6F2C1077"/>
    <w:rsid w:val="6F4412DE"/>
    <w:rsid w:val="6FB01FF6"/>
    <w:rsid w:val="6FE27E45"/>
    <w:rsid w:val="702D3037"/>
    <w:rsid w:val="70854008"/>
    <w:rsid w:val="70EE0B58"/>
    <w:rsid w:val="71F327E9"/>
    <w:rsid w:val="72525910"/>
    <w:rsid w:val="7272141E"/>
    <w:rsid w:val="729A51BF"/>
    <w:rsid w:val="72B463D3"/>
    <w:rsid w:val="72C31F67"/>
    <w:rsid w:val="730F2443"/>
    <w:rsid w:val="738A19B2"/>
    <w:rsid w:val="74460C31"/>
    <w:rsid w:val="745948C9"/>
    <w:rsid w:val="747814E9"/>
    <w:rsid w:val="74782083"/>
    <w:rsid w:val="7499444F"/>
    <w:rsid w:val="74F00783"/>
    <w:rsid w:val="74F21A8E"/>
    <w:rsid w:val="75092D2E"/>
    <w:rsid w:val="751F35C6"/>
    <w:rsid w:val="752673FA"/>
    <w:rsid w:val="75445278"/>
    <w:rsid w:val="755743E2"/>
    <w:rsid w:val="755A18B2"/>
    <w:rsid w:val="756D2420"/>
    <w:rsid w:val="75D33B60"/>
    <w:rsid w:val="75EB0030"/>
    <w:rsid w:val="767A1884"/>
    <w:rsid w:val="7681376B"/>
    <w:rsid w:val="771405C6"/>
    <w:rsid w:val="77186802"/>
    <w:rsid w:val="77244002"/>
    <w:rsid w:val="7759121E"/>
    <w:rsid w:val="778C19C1"/>
    <w:rsid w:val="77DE7388"/>
    <w:rsid w:val="78123276"/>
    <w:rsid w:val="781B6350"/>
    <w:rsid w:val="783F252C"/>
    <w:rsid w:val="78661D77"/>
    <w:rsid w:val="787542C9"/>
    <w:rsid w:val="787C4A52"/>
    <w:rsid w:val="787C6D8C"/>
    <w:rsid w:val="787D1A38"/>
    <w:rsid w:val="78833D88"/>
    <w:rsid w:val="78C70562"/>
    <w:rsid w:val="792279DB"/>
    <w:rsid w:val="797C1AA1"/>
    <w:rsid w:val="7A934CC7"/>
    <w:rsid w:val="7AB93CAD"/>
    <w:rsid w:val="7ADD5745"/>
    <w:rsid w:val="7AFB7263"/>
    <w:rsid w:val="7B062FF2"/>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03C18"/>
    <w:rsid w:val="7D70416C"/>
    <w:rsid w:val="7D7D2444"/>
    <w:rsid w:val="7DB53173"/>
    <w:rsid w:val="7DBD0485"/>
    <w:rsid w:val="7DC17AA5"/>
    <w:rsid w:val="7E3F400C"/>
    <w:rsid w:val="7E3F5C67"/>
    <w:rsid w:val="7E485A8B"/>
    <w:rsid w:val="7E710432"/>
    <w:rsid w:val="7E784FFE"/>
    <w:rsid w:val="7E835EDA"/>
    <w:rsid w:val="7F0D36A8"/>
    <w:rsid w:val="7F0D6F9B"/>
    <w:rsid w:val="7F267E5E"/>
    <w:rsid w:val="7F511034"/>
    <w:rsid w:val="7FB12B06"/>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17"/>
    <w:qFormat/>
    <w:uiPriority w:val="99"/>
    <w:pPr>
      <w:spacing w:after="120"/>
    </w:pPr>
  </w:style>
  <w:style w:type="paragraph" w:styleId="12">
    <w:name w:val="toc 7"/>
    <w:basedOn w:val="1"/>
    <w:next w:val="1"/>
    <w:qFormat/>
    <w:uiPriority w:val="0"/>
    <w:pPr>
      <w:ind w:left="2520" w:leftChars="1200"/>
    </w:pPr>
    <w:rPr>
      <w:rFonts w:ascii="Calibri" w:hAnsi="Calibri"/>
      <w:szCs w:val="22"/>
    </w:rPr>
  </w:style>
  <w:style w:type="paragraph" w:styleId="13">
    <w:name w:val="table of authorities"/>
    <w:basedOn w:val="1"/>
    <w:next w:val="1"/>
    <w:qFormat/>
    <w:uiPriority w:val="99"/>
    <w:pPr>
      <w:ind w:left="420" w:leftChars="200"/>
    </w:pPr>
  </w:style>
  <w:style w:type="paragraph" w:styleId="14">
    <w:name w:val="Normal Indent"/>
    <w:basedOn w:val="1"/>
    <w:link w:val="293"/>
    <w:qFormat/>
    <w:uiPriority w:val="99"/>
    <w:pPr>
      <w:widowControl/>
      <w:ind w:firstLine="420"/>
      <w:jc w:val="left"/>
    </w:pPr>
    <w:rPr>
      <w:kern w:val="0"/>
      <w:sz w:val="20"/>
      <w:szCs w:val="20"/>
    </w:rPr>
  </w:style>
  <w:style w:type="paragraph" w:styleId="15">
    <w:name w:val="Document Map"/>
    <w:basedOn w:val="1"/>
    <w:link w:val="127"/>
    <w:qFormat/>
    <w:uiPriority w:val="0"/>
    <w:pPr>
      <w:shd w:val="clear" w:color="auto" w:fill="000080"/>
    </w:pPr>
  </w:style>
  <w:style w:type="paragraph" w:styleId="16">
    <w:name w:val="toa heading"/>
    <w:basedOn w:val="1"/>
    <w:next w:val="1"/>
    <w:unhideWhenUsed/>
    <w:qFormat/>
    <w:uiPriority w:val="0"/>
    <w:pPr>
      <w:spacing w:before="120"/>
    </w:pPr>
    <w:rPr>
      <w:rFonts w:hint="eastAsia" w:ascii="Arial" w:hAnsi="Arial"/>
    </w:rPr>
  </w:style>
  <w:style w:type="paragraph" w:styleId="17">
    <w:name w:val="annotation text"/>
    <w:basedOn w:val="1"/>
    <w:link w:val="109"/>
    <w:unhideWhenUsed/>
    <w:qFormat/>
    <w:uiPriority w:val="99"/>
    <w:pPr>
      <w:jc w:val="left"/>
    </w:pPr>
  </w:style>
  <w:style w:type="paragraph" w:styleId="18">
    <w:name w:val="Salutation"/>
    <w:basedOn w:val="1"/>
    <w:next w:val="1"/>
    <w:link w:val="114"/>
    <w:qFormat/>
    <w:uiPriority w:val="0"/>
    <w:rPr>
      <w:rFonts w:ascii="仿宋_GB2312" w:eastAsia="仿宋_GB2312"/>
      <w:sz w:val="24"/>
    </w:rPr>
  </w:style>
  <w:style w:type="paragraph" w:styleId="19">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7"/>
    <w:next w:val="17"/>
    <w:link w:val="86"/>
    <w:qFormat/>
    <w:uiPriority w:val="0"/>
    <w:rPr>
      <w:rFonts w:ascii="Calibri" w:hAnsi="Calibri" w:cs="黑体"/>
      <w:b/>
      <w:bCs/>
    </w:rPr>
  </w:style>
  <w:style w:type="paragraph" w:styleId="45">
    <w:name w:val="Body Text First Indent"/>
    <w:basedOn w:val="2"/>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Char"/>
    <w:basedOn w:val="48"/>
    <w:link w:val="31"/>
    <w:qFormat/>
    <w:uiPriority w:val="0"/>
    <w:rPr>
      <w:sz w:val="18"/>
      <w:szCs w:val="18"/>
    </w:rPr>
  </w:style>
  <w:style w:type="character" w:customStyle="1" w:styleId="62">
    <w:name w:val="页脚 Char"/>
    <w:basedOn w:val="48"/>
    <w:link w:val="30"/>
    <w:qFormat/>
    <w:uiPriority w:val="0"/>
    <w:rPr>
      <w:sz w:val="18"/>
      <w:szCs w:val="18"/>
    </w:rPr>
  </w:style>
  <w:style w:type="character" w:customStyle="1" w:styleId="63">
    <w:name w:val="标题 1 Char1"/>
    <w:basedOn w:val="48"/>
    <w:link w:val="3"/>
    <w:qFormat/>
    <w:uiPriority w:val="0"/>
    <w:rPr>
      <w:rFonts w:ascii="Times New Roman" w:hAnsi="Times New Roman" w:eastAsia="宋体" w:cs="Times New Roman"/>
      <w:b/>
      <w:bCs/>
      <w:kern w:val="0"/>
      <w:sz w:val="24"/>
      <w:szCs w:val="20"/>
    </w:rPr>
  </w:style>
  <w:style w:type="character" w:customStyle="1" w:styleId="64">
    <w:name w:val="标题 2 Char1"/>
    <w:basedOn w:val="48"/>
    <w:link w:val="4"/>
    <w:qFormat/>
    <w:uiPriority w:val="0"/>
    <w:rPr>
      <w:rFonts w:ascii="Arial" w:hAnsi="Arial" w:eastAsia="宋体" w:cs="Times New Roman"/>
      <w:b/>
      <w:bCs/>
      <w:kern w:val="0"/>
      <w:sz w:val="24"/>
      <w:szCs w:val="32"/>
    </w:rPr>
  </w:style>
  <w:style w:type="character" w:customStyle="1" w:styleId="65">
    <w:name w:val="标题 3 Char1"/>
    <w:basedOn w:val="48"/>
    <w:link w:val="5"/>
    <w:qFormat/>
    <w:uiPriority w:val="0"/>
    <w:rPr>
      <w:rFonts w:ascii="Times New Roman" w:hAnsi="Times New Roman" w:eastAsia="宋体" w:cs="Times New Roman"/>
      <w:b/>
      <w:bCs/>
      <w:kern w:val="0"/>
      <w:sz w:val="32"/>
      <w:szCs w:val="32"/>
    </w:rPr>
  </w:style>
  <w:style w:type="character" w:customStyle="1" w:styleId="66">
    <w:name w:val="标题 4 Char1"/>
    <w:basedOn w:val="48"/>
    <w:link w:val="6"/>
    <w:qFormat/>
    <w:uiPriority w:val="0"/>
    <w:rPr>
      <w:rFonts w:ascii="Arial" w:hAnsi="Arial" w:eastAsia="黑体" w:cs="Times New Roman"/>
      <w:b/>
      <w:bCs/>
      <w:kern w:val="0"/>
      <w:sz w:val="28"/>
      <w:szCs w:val="28"/>
    </w:rPr>
  </w:style>
  <w:style w:type="character" w:customStyle="1" w:styleId="67">
    <w:name w:val="标题 5 Char1"/>
    <w:basedOn w:val="48"/>
    <w:link w:val="7"/>
    <w:qFormat/>
    <w:uiPriority w:val="0"/>
    <w:rPr>
      <w:rFonts w:ascii="Times New Roman" w:hAnsi="Times New Roman" w:eastAsia="宋体" w:cs="Times New Roman"/>
      <w:b/>
      <w:bCs/>
      <w:kern w:val="0"/>
      <w:sz w:val="28"/>
      <w:szCs w:val="28"/>
    </w:rPr>
  </w:style>
  <w:style w:type="character" w:customStyle="1" w:styleId="68">
    <w:name w:val="标题 6 Char1"/>
    <w:basedOn w:val="48"/>
    <w:link w:val="8"/>
    <w:qFormat/>
    <w:uiPriority w:val="0"/>
    <w:rPr>
      <w:rFonts w:ascii="Arial" w:hAnsi="Arial" w:eastAsia="黑体" w:cs="Times New Roman"/>
      <w:b/>
      <w:bCs/>
      <w:kern w:val="0"/>
      <w:sz w:val="24"/>
      <w:szCs w:val="24"/>
    </w:rPr>
  </w:style>
  <w:style w:type="character" w:customStyle="1" w:styleId="69">
    <w:name w:val="标题 7 Char1"/>
    <w:basedOn w:val="48"/>
    <w:link w:val="9"/>
    <w:qFormat/>
    <w:uiPriority w:val="0"/>
    <w:rPr>
      <w:rFonts w:ascii="Times New Roman" w:hAnsi="Times New Roman" w:eastAsia="宋体" w:cs="Times New Roman"/>
      <w:b/>
      <w:bCs/>
      <w:kern w:val="0"/>
      <w:sz w:val="24"/>
      <w:szCs w:val="24"/>
    </w:rPr>
  </w:style>
  <w:style w:type="character" w:customStyle="1" w:styleId="70">
    <w:name w:val="标题 8 Char1"/>
    <w:basedOn w:val="48"/>
    <w:link w:val="10"/>
    <w:qFormat/>
    <w:uiPriority w:val="0"/>
    <w:rPr>
      <w:rFonts w:ascii="Arial" w:hAnsi="Arial" w:eastAsia="黑体" w:cs="Times New Roman"/>
      <w:kern w:val="0"/>
      <w:sz w:val="24"/>
      <w:szCs w:val="24"/>
    </w:rPr>
  </w:style>
  <w:style w:type="character" w:customStyle="1" w:styleId="71">
    <w:name w:val="标题 9 Char1"/>
    <w:basedOn w:val="48"/>
    <w:link w:val="11"/>
    <w:qFormat/>
    <w:uiPriority w:val="0"/>
    <w:rPr>
      <w:rFonts w:ascii="Arial" w:hAnsi="Arial" w:eastAsia="黑体" w:cs="Times New Roman"/>
      <w:kern w:val="0"/>
      <w:sz w:val="20"/>
      <w:szCs w:val="21"/>
    </w:rPr>
  </w:style>
  <w:style w:type="character" w:customStyle="1" w:styleId="72">
    <w:name w:val="正文文本 2 Char"/>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Char1"/>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Char1"/>
    <w:link w:val="29"/>
    <w:qFormat/>
    <w:locked/>
    <w:uiPriority w:val="0"/>
    <w:rPr>
      <w:rFonts w:ascii="Calibri" w:hAnsi="Calibri" w:eastAsia="宋体" w:cs="黑体"/>
      <w:sz w:val="18"/>
      <w:szCs w:val="18"/>
    </w:rPr>
  </w:style>
  <w:style w:type="character" w:customStyle="1" w:styleId="97">
    <w:name w:val="正文文本缩进 Char"/>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Char2"/>
    <w:basedOn w:val="48"/>
    <w:link w:val="43"/>
    <w:qFormat/>
    <w:uiPriority w:val="0"/>
    <w:rPr>
      <w:rFonts w:ascii="Cambria" w:hAnsi="Cambria" w:eastAsia="宋体" w:cs="Times New Roman"/>
      <w:b/>
      <w:sz w:val="32"/>
      <w:szCs w:val="24"/>
    </w:rPr>
  </w:style>
  <w:style w:type="character" w:customStyle="1" w:styleId="101">
    <w:name w:val="正文文本缩进 2 Char"/>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Char2"/>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Char"/>
    <w:basedOn w:val="48"/>
    <w:link w:val="17"/>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Char"/>
    <w:basedOn w:val="48"/>
    <w:link w:val="40"/>
    <w:qFormat/>
    <w:uiPriority w:val="0"/>
    <w:rPr>
      <w:rFonts w:ascii="Arial" w:hAnsi="Arial" w:eastAsia="宋体" w:cs="Arial"/>
      <w:kern w:val="0"/>
      <w:sz w:val="24"/>
      <w:szCs w:val="24"/>
    </w:rPr>
  </w:style>
  <w:style w:type="character" w:customStyle="1" w:styleId="114">
    <w:name w:val="称呼 Char"/>
    <w:basedOn w:val="48"/>
    <w:link w:val="18"/>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Char"/>
    <w:basedOn w:val="48"/>
    <w:link w:val="2"/>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Char1"/>
    <w:link w:val="36"/>
    <w:qFormat/>
    <w:uiPriority w:val="0"/>
    <w:rPr>
      <w:rFonts w:ascii="Calibri" w:hAnsi="Calibri" w:eastAsia="宋体" w:cs="黑体"/>
      <w:sz w:val="16"/>
      <w:szCs w:val="16"/>
    </w:rPr>
  </w:style>
  <w:style w:type="character" w:customStyle="1" w:styleId="125">
    <w:name w:val="副标题 Char"/>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Char"/>
    <w:basedOn w:val="48"/>
    <w:link w:val="15"/>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Char1"/>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Char"/>
    <w:basedOn w:val="48"/>
    <w:link w:val="19"/>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首行缩进 Char"/>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2"/>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link w:val="365"/>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5"/>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link w:val="364"/>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link w:val="366"/>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Char"/>
    <w:link w:val="14"/>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Char"/>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5"/>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5"/>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标题 1 1 Char"/>
    <w:link w:val="246"/>
    <w:qFormat/>
    <w:uiPriority w:val="0"/>
    <w:rPr>
      <w:rFonts w:ascii="Calibri" w:hAnsi="Calibri" w:cs="黑体"/>
      <w:b/>
      <w:kern w:val="2"/>
      <w:sz w:val="24"/>
      <w:szCs w:val="22"/>
    </w:rPr>
  </w:style>
  <w:style w:type="character" w:customStyle="1" w:styleId="365">
    <w:name w:val="列表编号3 Char"/>
    <w:link w:val="207"/>
    <w:qFormat/>
    <w:uiPriority w:val="0"/>
    <w:rPr>
      <w:rFonts w:ascii="宋体" w:hAnsi="宋体"/>
      <w:snapToGrid w:val="0"/>
      <w:sz w:val="24"/>
      <w:szCs w:val="24"/>
    </w:rPr>
  </w:style>
  <w:style w:type="character" w:customStyle="1" w:styleId="366">
    <w:name w:val="标题 1.1 Char"/>
    <w:link w:val="272"/>
    <w:qFormat/>
    <w:uiPriority w:val="0"/>
    <w:rPr>
      <w:rFonts w:ascii="宋体" w:hAnsi="宋体"/>
      <w:b/>
      <w:snapToGrid w:val="0"/>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101" textRotate="1"/>
    <customShpInfo spid="_x0000_s4102" textRotate="1"/>
    <customShpInfo spid="_x0000_s4103" textRotate="1"/>
    <customShpInfo spid="_x0000_s4104" textRotate="1"/>
    <customShpInfo spid="_x0000_s4105" textRotate="1"/>
    <customShpInfo spid="_x0000_s1026"/>
    <customShpInfo spid="_x0000_s1027"/>
    <customShpInfo spid="_x0000_s1028"/>
    <customShpInfo spid="_x0000_s1029"/>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49FD4-EBAE-4F86-A477-A77AA11AC991}">
  <ds:schemaRefs/>
</ds:datastoreItem>
</file>

<file path=docProps/app.xml><?xml version="1.0" encoding="utf-8"?>
<Properties xmlns="http://schemas.openxmlformats.org/officeDocument/2006/extended-properties" xmlns:vt="http://schemas.openxmlformats.org/officeDocument/2006/docPropsVTypes">
  <Template>Normal</Template>
  <Pages>43</Pages>
  <Words>20562</Words>
  <Characters>21734</Characters>
  <Lines>110</Lines>
  <Paragraphs>31</Paragraphs>
  <TotalTime>17</TotalTime>
  <ScaleCrop>false</ScaleCrop>
  <LinksUpToDate>false</LinksUpToDate>
  <CharactersWithSpaces>23820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2019-09-11T08:04:00Z</dcterms:created>
  <dc:creator>李 毅</dc:creator>
  <cp:lastModifiedBy>________Hmz</cp:lastModifiedBy>
  <cp:lastPrinted>2019-07-25T06:26:00Z</cp:lastPrinted>
  <dcterms:modified xsi:type="dcterms:W3CDTF">2019-09-27T02:47:04Z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