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cs="Courier New"/>
          <w:b/>
          <w:bCs w:val="0"/>
          <w:sz w:val="32"/>
          <w:szCs w:val="21"/>
          <w:u w:val="none"/>
        </w:rPr>
      </w:pPr>
      <w:r>
        <w:rPr>
          <w:rFonts w:hint="eastAsia" w:ascii="宋体" w:hAnsi="宋体" w:cs="Courier New"/>
          <w:b/>
          <w:bCs w:val="0"/>
          <w:sz w:val="32"/>
          <w:szCs w:val="21"/>
        </w:rPr>
        <w:t>谈判项目名称：</w:t>
      </w:r>
      <w:r>
        <w:rPr>
          <w:rFonts w:hint="eastAsia" w:ascii="宋体" w:hAnsi="宋体" w:cs="Courier New"/>
          <w:b/>
          <w:bCs w:val="0"/>
          <w:sz w:val="32"/>
          <w:szCs w:val="21"/>
          <w:u w:val="single"/>
        </w:rPr>
        <w:t>长沙市轨道交通5号线一期工程运营期票款押运网络视频监控服务项</w:t>
      </w:r>
      <w:r>
        <w:rPr>
          <w:rFonts w:hint="eastAsia" w:ascii="宋体" w:hAnsi="宋体" w:cs="Courier New"/>
          <w:b/>
          <w:bCs w:val="0"/>
          <w:sz w:val="32"/>
          <w:szCs w:val="21"/>
          <w:u w:val="single"/>
          <w:lang w:eastAsia="zh-CN"/>
        </w:rPr>
        <w:t>目</w:t>
      </w:r>
      <w:r>
        <w:rPr>
          <w:rFonts w:hint="eastAsia" w:ascii="宋体" w:hAnsi="宋体" w:cs="Courier New"/>
          <w:b/>
          <w:bCs w:val="0"/>
          <w:sz w:val="32"/>
          <w:szCs w:val="21"/>
          <w:u w:val="single"/>
        </w:rPr>
        <w:t>（2020-2021年度）</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rPr>
        <w:t>长沙市轨道交通</w:t>
      </w:r>
      <w:r>
        <w:rPr>
          <w:rFonts w:hint="eastAsia" w:hAnsi="宋体"/>
          <w:b/>
          <w:bCs w:val="0"/>
          <w:strike w:val="0"/>
          <w:dstrike w:val="0"/>
          <w:sz w:val="32"/>
          <w:u w:val="single"/>
          <w:lang w:eastAsia="zh-CN"/>
        </w:rPr>
        <w:t>五号线建设发展</w:t>
      </w:r>
      <w:r>
        <w:rPr>
          <w:rFonts w:hint="eastAsia" w:hAnsi="宋体"/>
          <w:b/>
          <w:bCs w:val="0"/>
          <w:strike w:val="0"/>
          <w:dstrike w:val="0"/>
          <w:sz w:val="32"/>
          <w:u w:val="single"/>
        </w:rPr>
        <w:t>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rPr>
        <w:t>长轨运</w:t>
      </w:r>
      <w:r>
        <w:rPr>
          <w:rFonts w:hint="eastAsia" w:hAnsi="宋体"/>
          <w:b/>
          <w:bCs w:val="0"/>
          <w:color w:val="auto"/>
          <w:sz w:val="32"/>
          <w:u w:val="single"/>
          <w:lang w:eastAsia="zh-CN"/>
        </w:rPr>
        <w:t>服采</w:t>
      </w:r>
      <w:r>
        <w:rPr>
          <w:rFonts w:hint="eastAsia" w:hAnsi="宋体"/>
          <w:b/>
          <w:bCs w:val="0"/>
          <w:color w:val="auto"/>
          <w:sz w:val="32"/>
          <w:u w:val="single"/>
        </w:rPr>
        <w:t>【2019】</w:t>
      </w:r>
      <w:r>
        <w:rPr>
          <w:rFonts w:hint="eastAsia" w:hAnsi="宋体"/>
          <w:b/>
          <w:bCs w:val="0"/>
          <w:color w:val="auto"/>
          <w:sz w:val="32"/>
          <w:u w:val="single"/>
          <w:lang w:val="en-US" w:eastAsia="zh-CN"/>
        </w:rPr>
        <w:t>024号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二〇一九</w:t>
      </w:r>
      <w:r>
        <w:rPr>
          <w:rFonts w:hint="eastAsia" w:hAnsi="宋体"/>
          <w:b/>
          <w:bCs w:val="0"/>
          <w:sz w:val="32"/>
        </w:rPr>
        <w:t>年</w:t>
      </w:r>
      <w:r>
        <w:rPr>
          <w:rFonts w:hint="eastAsia" w:hAnsi="宋体"/>
          <w:b/>
          <w:bCs w:val="0"/>
          <w:sz w:val="32"/>
          <w:u w:val="single"/>
        </w:rPr>
        <w:t>九</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start="1"/>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fldChar w:fldCharType="begin"/>
      </w:r>
      <w:r>
        <w:instrText xml:space="preserve">TOC \o "1-2"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_Toc3621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_Toc3621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_Toc10483 </w:instrText>
      </w:r>
      <w:r>
        <w:rPr>
          <w:rFonts w:hint="eastAsia" w:ascii="宋体" w:hAnsi="宋体" w:eastAsia="宋体" w:cs="宋体"/>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_Toc10483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_Toc28089 </w:instrText>
      </w:r>
      <w:r>
        <w:rPr>
          <w:rFonts w:hint="eastAsia" w:ascii="宋体" w:hAnsi="宋体" w:eastAsia="宋体" w:cs="宋体"/>
        </w:rPr>
        <w:fldChar w:fldCharType="separate"/>
      </w:r>
      <w:r>
        <w:rPr>
          <w:rFonts w:hint="eastAsia" w:ascii="宋体" w:hAnsi="宋体" w:eastAsia="宋体" w:cs="宋体"/>
          <w:szCs w:val="32"/>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_Toc28089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_Toc31558 </w:instrText>
      </w:r>
      <w:r>
        <w:rPr>
          <w:rFonts w:hint="eastAsia" w:ascii="宋体" w:hAnsi="宋体" w:eastAsia="宋体" w:cs="宋体"/>
        </w:rPr>
        <w:fldChar w:fldCharType="separate"/>
      </w:r>
      <w:r>
        <w:rPr>
          <w:rFonts w:hint="eastAsia" w:ascii="宋体" w:hAnsi="宋体" w:eastAsia="宋体" w:cs="宋体"/>
          <w:bCs/>
          <w:szCs w:val="32"/>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_Toc31558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_Toc11440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_Toc11440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_Toc303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_Toc9387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_Toc9387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_Toc1468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_Toc1468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_Toc13483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_Toc13483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_Toc21358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_Toc21358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_Toc20130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_Toc20130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_Toc2045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_Toc2045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_Toc1719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_Toc1719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_Toc18202 </w:instrText>
      </w:r>
      <w:r>
        <w:rPr>
          <w:rFonts w:hint="eastAsia" w:ascii="宋体" w:hAnsi="宋体" w:eastAsia="宋体" w:cs="宋体"/>
        </w:rPr>
        <w:fldChar w:fldCharType="separate"/>
      </w:r>
      <w:r>
        <w:rPr>
          <w:rFonts w:hint="eastAsia" w:ascii="宋体" w:hAnsi="宋体" w:eastAsia="宋体" w:cs="宋体"/>
          <w:bCs w:val="0"/>
          <w:szCs w:val="32"/>
        </w:rPr>
        <w:t>第四章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_Toc18202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_Toc19554 </w:instrText>
      </w:r>
      <w:r>
        <w:rPr>
          <w:rFonts w:hint="eastAsia" w:ascii="宋体" w:hAnsi="宋体" w:eastAsia="宋体" w:cs="宋体"/>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_Toc19554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_Toc18525 </w:instrText>
      </w:r>
      <w:r>
        <w:rPr>
          <w:rFonts w:hint="eastAsia" w:ascii="宋体" w:hAnsi="宋体" w:eastAsia="宋体" w:cs="宋体"/>
        </w:rPr>
        <w:fldChar w:fldCharType="separate"/>
      </w:r>
      <w:r>
        <w:rPr>
          <w:rFonts w:hint="eastAsia" w:ascii="宋体" w:hAnsi="宋体" w:eastAsia="宋体" w:cs="宋体"/>
          <w:szCs w:val="32"/>
        </w:rPr>
        <w:t>第</w:t>
      </w:r>
      <w:r>
        <w:rPr>
          <w:rFonts w:hint="eastAsia" w:ascii="宋体" w:hAnsi="宋体" w:eastAsia="宋体" w:cs="宋体"/>
          <w:szCs w:val="32"/>
          <w:lang w:eastAsia="zh-CN"/>
        </w:rPr>
        <w:t>六</w:t>
      </w:r>
      <w:r>
        <w:rPr>
          <w:rFonts w:hint="eastAsia" w:ascii="宋体" w:hAnsi="宋体" w:eastAsia="宋体" w:cs="宋体"/>
          <w:szCs w:val="32"/>
        </w:rPr>
        <w:t xml:space="preserve">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_Toc18525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_Toc7657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_Toc7657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_Toc10496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_Toc10496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_Toc27642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_Toc27642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_Toc8191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_Toc8191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_Toc20484 </w:instrText>
      </w:r>
      <w:r>
        <w:rPr>
          <w:rFonts w:hint="eastAsia" w:ascii="宋体" w:hAnsi="宋体" w:eastAsia="宋体" w:cs="宋体"/>
        </w:rPr>
        <w:fldChar w:fldCharType="separate"/>
      </w:r>
      <w:r>
        <w:rPr>
          <w:rFonts w:hint="eastAsia" w:ascii="宋体" w:hAnsi="宋体" w:eastAsia="宋体" w:cs="宋体"/>
          <w:szCs w:val="32"/>
        </w:rPr>
        <w:t>五、服务方案</w:t>
      </w:r>
      <w:r>
        <w:rPr>
          <w:rFonts w:hint="eastAsia" w:ascii="宋体" w:hAnsi="宋体" w:eastAsia="宋体" w:cs="宋体"/>
          <w:szCs w:val="32"/>
          <w:lang w:eastAsia="zh-CN"/>
        </w:rPr>
        <w:t>（如有）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_Toc20484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_Toc21225 </w:instrText>
      </w:r>
      <w:r>
        <w:rPr>
          <w:rFonts w:hint="eastAsia" w:ascii="宋体" w:hAnsi="宋体" w:eastAsia="宋体" w:cs="宋体"/>
        </w:rPr>
        <w:fldChar w:fldCharType="separate"/>
      </w:r>
      <w:r>
        <w:rPr>
          <w:rFonts w:hint="eastAsia" w:ascii="宋体" w:hAnsi="宋体" w:eastAsia="宋体" w:cs="宋体"/>
          <w:szCs w:val="32"/>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_Toc21225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_Toc27599 </w:instrText>
      </w:r>
      <w:r>
        <w:rPr>
          <w:rFonts w:hint="eastAsia" w:ascii="宋体" w:hAnsi="宋体" w:eastAsia="宋体" w:cs="宋体"/>
        </w:rPr>
        <w:fldChar w:fldCharType="separate"/>
      </w:r>
      <w:r>
        <w:rPr>
          <w:rFonts w:hint="eastAsia" w:ascii="宋体" w:hAnsi="宋体" w:eastAsia="宋体" w:cs="宋体"/>
          <w:szCs w:val="32"/>
        </w:rPr>
        <w:t>七、分项价格表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_Toc27599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begin"/>
      </w:r>
      <w:r>
        <w:rPr>
          <w:rFonts w:hint="eastAsia" w:ascii="宋体" w:hAnsi="宋体" w:eastAsia="宋体" w:cs="宋体"/>
        </w:rPr>
        <w:instrText xml:space="preserve"> HYPERLINK \l _Toc27918 </w:instrText>
      </w:r>
      <w:r>
        <w:rPr>
          <w:rFonts w:hint="eastAsia" w:ascii="宋体" w:hAnsi="宋体" w:eastAsia="宋体" w:cs="宋体"/>
        </w:rPr>
        <w:fldChar w:fldCharType="separate"/>
      </w:r>
      <w:r>
        <w:rPr>
          <w:rFonts w:hint="eastAsia" w:ascii="宋体" w:hAnsi="宋体" w:eastAsia="宋体" w:cs="宋体"/>
          <w:szCs w:val="32"/>
        </w:rPr>
        <w:t>八、其他资料</w:t>
      </w:r>
      <w:r>
        <w:rPr>
          <w:rFonts w:hint="eastAsia" w:ascii="宋体" w:hAnsi="宋体" w:eastAsia="宋体" w:cs="宋体"/>
          <w:szCs w:val="32"/>
          <w:lang w:eastAsia="zh-CN"/>
        </w:rPr>
        <w:t>（如有）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_Toc27918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29614"/>
      <w:bookmarkStart w:id="2" w:name="_Toc5016"/>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376"/>
      <w:bookmarkStart w:id="4" w:name="_Toc3621"/>
      <w:r>
        <w:rPr>
          <w:rFonts w:hint="eastAsia" w:ascii="宋体" w:hAnsi="宋体" w:eastAsia="宋体" w:cs="宋体"/>
          <w:sz w:val="32"/>
          <w:szCs w:val="32"/>
        </w:rPr>
        <w:t>第一章  谈判邀请公告</w:t>
      </w:r>
      <w:bookmarkEnd w:id="0"/>
      <w:bookmarkEnd w:id="1"/>
      <w:bookmarkEnd w:id="2"/>
      <w:bookmarkEnd w:id="3"/>
      <w:bookmarkEnd w:id="4"/>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eastAsia="宋体" w:cs="宋体"/>
          <w:iCs/>
          <w:sz w:val="21"/>
          <w:szCs w:val="21"/>
          <w:u w:val="none"/>
        </w:rPr>
        <w:t>湖南国联招标有限公司</w:t>
      </w:r>
      <w:r>
        <w:rPr>
          <w:rFonts w:hint="eastAsia" w:ascii="宋体" w:hAnsi="宋体" w:eastAsia="宋体" w:cs="宋体"/>
          <w:sz w:val="21"/>
          <w:szCs w:val="21"/>
          <w:u w:val="none"/>
        </w:rPr>
        <w:t>受</w:t>
      </w: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r>
        <w:rPr>
          <w:rFonts w:hint="eastAsia" w:ascii="宋体" w:hAnsi="宋体" w:eastAsia="宋体" w:cs="宋体"/>
          <w:sz w:val="21"/>
          <w:szCs w:val="21"/>
          <w:u w:val="none"/>
        </w:rPr>
        <w:t>的委托，</w:t>
      </w:r>
      <w:r>
        <w:rPr>
          <w:rFonts w:hint="eastAsia" w:ascii="宋体" w:hAnsi="宋体" w:eastAsia="宋体" w:cs="宋体"/>
          <w:iCs/>
          <w:sz w:val="21"/>
          <w:szCs w:val="21"/>
          <w:u w:val="none"/>
        </w:rPr>
        <w:t>对长沙市轨道交通5号线一期工程运营期票款押运网络视频监控服务项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ascii="宋体" w:hAnsi="宋体" w:eastAsia="宋体" w:cs="宋体"/>
          <w:iCs/>
          <w:sz w:val="21"/>
          <w:szCs w:val="21"/>
          <w:u w:val="none"/>
        </w:rPr>
        <w:t>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ascii="宋体" w:hAnsi="宋体" w:eastAsia="宋体" w:cs="宋体"/>
          <w:iCs/>
          <w:color w:val="auto"/>
          <w:sz w:val="21"/>
          <w:szCs w:val="21"/>
          <w:lang w:val="en-US" w:eastAsia="zh-CN"/>
        </w:rPr>
        <w:t>146880.00</w:t>
      </w:r>
      <w:r>
        <w:rPr>
          <w:rFonts w:hint="eastAsia" w:ascii="宋体" w:hAnsi="宋体" w:eastAsia="宋体" w:cs="宋体"/>
          <w:iCs/>
          <w:color w:val="auto"/>
          <w:sz w:val="21"/>
          <w:szCs w:val="21"/>
        </w:rPr>
        <w:t>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iCs/>
          <w:sz w:val="21"/>
          <w:szCs w:val="21"/>
        </w:rPr>
        <w:t>3.谈判内容：</w:t>
      </w:r>
      <w:r>
        <w:rPr>
          <w:rFonts w:hint="eastAsia" w:ascii="宋体" w:hAnsi="宋体" w:eastAsia="宋体" w:cs="宋体"/>
          <w:bCs/>
          <w:sz w:val="21"/>
          <w:szCs w:val="21"/>
        </w:rPr>
        <w:t>本项目为长沙市轨道交通5号线一期工程全线的车站范围内票款押运视频监控服务和联网报警服务并包括相关票款押运网络监控设备故障维护。服务范围包含18座车站（以最终实际需要安装的站点为准），由北向南站点分布为水渡河站、土桥站、白茅铺站、月湖公园北站、马栏山站、鸭子铺站、火炬村站、马王堆站、万家丽广场站、芙蓉区政府站、高桥北站、高桥南站、圭塘站、木桥站、雨花区政府站、大塘站、板塘冲站、毛竹塘站（车站站名以投入运营正式名称为准）。</w:t>
      </w:r>
      <w:r>
        <w:rPr>
          <w:rFonts w:hint="eastAsia" w:ascii="宋体" w:hAnsi="宋体" w:eastAsia="宋体" w:cs="宋体"/>
          <w:bCs/>
          <w:sz w:val="21"/>
          <w:szCs w:val="21"/>
          <w:lang w:eastAsia="zh-CN"/>
        </w:rPr>
        <w:t>（</w:t>
      </w:r>
      <w:r>
        <w:rPr>
          <w:rFonts w:hint="eastAsia" w:ascii="宋体" w:hAnsi="宋体" w:eastAsia="宋体" w:cs="宋体"/>
          <w:bCs/>
          <w:sz w:val="21"/>
          <w:szCs w:val="21"/>
        </w:rPr>
        <w:t>具体详见</w:t>
      </w:r>
      <w:r>
        <w:rPr>
          <w:rFonts w:hint="eastAsia" w:ascii="宋体" w:hAnsi="宋体" w:eastAsia="宋体" w:cs="宋体"/>
          <w:bCs/>
          <w:sz w:val="21"/>
          <w:szCs w:val="21"/>
          <w:lang w:eastAsia="zh-CN"/>
        </w:rPr>
        <w:t>用户</w:t>
      </w:r>
      <w:r>
        <w:rPr>
          <w:rFonts w:hint="eastAsia" w:ascii="宋体" w:hAnsi="宋体" w:eastAsia="宋体" w:cs="宋体"/>
          <w:bCs/>
          <w:sz w:val="21"/>
          <w:szCs w:val="21"/>
        </w:rPr>
        <w:t>需求</w:t>
      </w:r>
      <w:r>
        <w:rPr>
          <w:rFonts w:hint="eastAsia" w:ascii="宋体" w:hAnsi="宋体" w:eastAsia="宋体" w:cs="宋体"/>
          <w:bCs/>
          <w:sz w:val="21"/>
          <w:szCs w:val="21"/>
          <w:lang w:eastAsia="zh-CN"/>
        </w:rPr>
        <w:t>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5.服务期</w:t>
      </w:r>
      <w:r>
        <w:rPr>
          <w:rFonts w:hint="eastAsia" w:ascii="宋体" w:hAnsi="宋体" w:eastAsia="宋体" w:cs="宋体"/>
          <w:bCs/>
          <w:sz w:val="21"/>
          <w:szCs w:val="21"/>
          <w:lang w:eastAsia="zh-CN"/>
        </w:rPr>
        <w:t>限</w:t>
      </w:r>
      <w:r>
        <w:rPr>
          <w:rFonts w:hint="eastAsia" w:ascii="宋体" w:hAnsi="宋体" w:eastAsia="宋体" w:cs="宋体"/>
          <w:bCs/>
          <w:sz w:val="21"/>
          <w:szCs w:val="21"/>
        </w:rPr>
        <w:t>：本项目服务期限暂定为2020年6月30日至2021年8月17日，总计413日，按照实际服务天数结算（实际服务时间以供应商接到招标人发出的开工令起算，至2021年8月17日止）。</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6.采购范围：包括</w:t>
      </w:r>
      <w:r>
        <w:rPr>
          <w:rFonts w:hint="eastAsia" w:ascii="宋体" w:hAnsi="宋体" w:eastAsia="宋体" w:cs="宋体"/>
          <w:sz w:val="21"/>
          <w:szCs w:val="21"/>
        </w:rPr>
        <w:t>长沙市轨道交通5号线一期工程全线的车站范围内票款押运视频监控服务和联网报警服务并包括相关票款押运网络监控设备故障维护。</w:t>
      </w:r>
      <w:r>
        <w:rPr>
          <w:rFonts w:hint="eastAsia" w:ascii="宋体" w:hAnsi="宋体" w:eastAsia="宋体" w:cs="宋体"/>
          <w:sz w:val="21"/>
          <w:szCs w:val="21"/>
          <w:lang w:eastAsia="zh-CN"/>
        </w:rPr>
        <w:t>（</w:t>
      </w:r>
      <w:r>
        <w:rPr>
          <w:rFonts w:hint="eastAsia" w:ascii="宋体" w:hAnsi="宋体" w:eastAsia="宋体" w:cs="宋体"/>
          <w:bCs/>
          <w:sz w:val="21"/>
          <w:szCs w:val="21"/>
        </w:rPr>
        <w:t>具体详见</w:t>
      </w:r>
      <w:r>
        <w:rPr>
          <w:rFonts w:hint="eastAsia" w:ascii="宋体" w:hAnsi="宋体" w:eastAsia="宋体" w:cs="宋体"/>
          <w:bCs/>
          <w:sz w:val="21"/>
          <w:szCs w:val="21"/>
          <w:lang w:eastAsia="zh-CN"/>
        </w:rPr>
        <w:t>用户</w:t>
      </w:r>
      <w:r>
        <w:rPr>
          <w:rFonts w:hint="eastAsia" w:ascii="宋体" w:hAnsi="宋体" w:eastAsia="宋体" w:cs="宋体"/>
          <w:bCs/>
          <w:sz w:val="21"/>
          <w:szCs w:val="21"/>
        </w:rPr>
        <w:t>需求</w:t>
      </w:r>
      <w:r>
        <w:rPr>
          <w:rFonts w:hint="eastAsia" w:ascii="宋体" w:hAnsi="宋体" w:eastAsia="宋体" w:cs="宋体"/>
          <w:bCs/>
          <w:sz w:val="21"/>
          <w:szCs w:val="21"/>
          <w:lang w:eastAsia="zh-CN"/>
        </w:rPr>
        <w:t>书</w:t>
      </w:r>
      <w:r>
        <w:rPr>
          <w:rFonts w:hint="eastAsia" w:ascii="宋体" w:hAnsi="宋体" w:eastAsia="宋体" w:cs="宋体"/>
          <w:sz w:val="21"/>
          <w:szCs w:val="21"/>
          <w:lang w:eastAsia="zh-CN"/>
        </w:rPr>
        <w:t>）</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r>
        <w:rPr>
          <w:rFonts w:hint="eastAsia" w:ascii="宋体" w:hAnsi="宋体" w:eastAsia="宋体" w:cs="宋体"/>
          <w:iCs/>
          <w:sz w:val="21"/>
          <w:szCs w:val="21"/>
          <w:lang w:val="en-US" w:eastAsia="zh-CN"/>
        </w:rPr>
        <w:t>/单位</w:t>
      </w:r>
      <w:r>
        <w:rPr>
          <w:rFonts w:hint="eastAsia" w:ascii="宋体" w:hAnsi="宋体" w:eastAsia="宋体" w:cs="宋体"/>
          <w:iCs/>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.谈判单位在本项目响应文件递交截止之日前36个月内须具有</w:t>
      </w:r>
      <w:r>
        <w:rPr>
          <w:rFonts w:hint="eastAsia" w:ascii="宋体" w:hAnsi="宋体" w:eastAsia="宋体" w:cs="宋体"/>
          <w:sz w:val="21"/>
          <w:szCs w:val="21"/>
          <w:u w:val="none"/>
        </w:rPr>
        <w:t>单项合同金额</w:t>
      </w:r>
      <w:r>
        <w:rPr>
          <w:rFonts w:hint="eastAsia" w:ascii="宋体" w:hAnsi="宋体" w:eastAsia="宋体" w:cs="宋体"/>
          <w:sz w:val="21"/>
          <w:szCs w:val="21"/>
          <w:u w:val="none"/>
          <w:lang w:eastAsia="zh-CN"/>
        </w:rPr>
        <w:t>不少于</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项目谈判</w:t>
      </w:r>
      <w:r>
        <w:rPr>
          <w:rFonts w:hint="eastAsia" w:ascii="宋体" w:hAnsi="宋体" w:eastAsia="宋体" w:cs="宋体"/>
          <w:sz w:val="21"/>
          <w:szCs w:val="21"/>
          <w:highlight w:val="none"/>
          <w:u w:val="none"/>
        </w:rPr>
        <w:t>不接受</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eastAsia="zh-CN"/>
        </w:rPr>
        <w:t>形式参与</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i w:val="0"/>
          <w:iCs w:val="0"/>
          <w:color w:val="000000"/>
          <w:sz w:val="21"/>
          <w:szCs w:val="21"/>
          <w:highlight w:val="none"/>
          <w:u w:val="none"/>
          <w:lang w:val="en-US" w:eastAsia="zh-CN"/>
        </w:rPr>
        <w:t>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000000"/>
          <w:sz w:val="21"/>
          <w:szCs w:val="21"/>
        </w:rPr>
        <w:sectPr>
          <w:footerReference r:id="rId4" w:type="default"/>
          <w:pgSz w:w="11906" w:h="16838"/>
          <w:pgMar w:top="1440" w:right="1797" w:bottom="1440" w:left="1797" w:header="851" w:footer="851" w:gutter="0"/>
          <w:pgNumType w:fmt="decimal" w:start="1"/>
          <w:cols w:space="720" w:num="1"/>
          <w:docGrid w:linePitch="312" w:charSpace="0"/>
        </w:sectPr>
      </w:pP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凡有意参加谈判的单位，请于2019年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16</w:t>
      </w:r>
      <w:r>
        <w:rPr>
          <w:rFonts w:hint="eastAsia" w:ascii="宋体" w:hAnsi="宋体" w:eastAsia="宋体" w:cs="宋体"/>
          <w:sz w:val="21"/>
          <w:szCs w:val="21"/>
          <w:u w:val="single"/>
        </w:rPr>
        <w:t xml:space="preserve"> </w:t>
      </w:r>
      <w:r>
        <w:rPr>
          <w:rFonts w:hint="eastAsia" w:ascii="宋体" w:hAnsi="宋体" w:eastAsia="宋体" w:cs="宋体"/>
          <w:sz w:val="21"/>
          <w:szCs w:val="21"/>
        </w:rPr>
        <w:t>日至2019年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20</w:t>
      </w:r>
      <w:r>
        <w:rPr>
          <w:rFonts w:hint="eastAsia" w:ascii="宋体" w:hAnsi="宋体" w:eastAsia="宋体" w:cs="宋体"/>
          <w:sz w:val="21"/>
          <w:szCs w:val="21"/>
          <w:u w:val="single"/>
        </w:rPr>
        <w:t xml:space="preserve"> </w:t>
      </w:r>
      <w:r>
        <w:rPr>
          <w:rFonts w:hint="eastAsia" w:ascii="宋体" w:hAnsi="宋体" w:eastAsia="宋体" w:cs="宋体"/>
          <w:sz w:val="21"/>
          <w:szCs w:val="21"/>
        </w:rPr>
        <w:t>日登录长沙市轨道交通集团有限公司官方网站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2.谈判单位若对谈判文件有任何疑问，</w:t>
      </w:r>
      <w:r>
        <w:rPr>
          <w:rFonts w:hint="eastAsia" w:ascii="宋体" w:hAnsi="宋体" w:eastAsia="宋体" w:cs="宋体"/>
          <w:sz w:val="21"/>
          <w:szCs w:val="21"/>
        </w:rPr>
        <w:t>应于</w:t>
      </w: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23</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iCs/>
          <w:sz w:val="21"/>
          <w:szCs w:val="21"/>
        </w:rPr>
        <w:t>17：00时（含）前（节假日除外）以书面形式（经法定代表人签字或盖章，并加盖单位公章）递交至采购代理机构。</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1.响应文件递交的截止时间及谈判时间为2019年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14</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30</w:t>
      </w:r>
      <w:r>
        <w:rPr>
          <w:rFonts w:hint="eastAsia" w:ascii="宋体" w:hAnsi="宋体" w:eastAsia="宋体" w:cs="宋体"/>
          <w:sz w:val="21"/>
          <w:szCs w:val="21"/>
          <w:u w:val="single"/>
        </w:rPr>
        <w:t xml:space="preserve"> </w:t>
      </w:r>
      <w:r>
        <w:rPr>
          <w:rFonts w:hint="eastAsia" w:ascii="宋体" w:hAnsi="宋体" w:eastAsia="宋体" w:cs="宋体"/>
          <w:sz w:val="21"/>
          <w:szCs w:val="21"/>
        </w:rPr>
        <w:t>分，地点为长沙市劳动东路二段48号长沙市轨道交通运营有限公司综合楼910室。</w:t>
      </w:r>
      <w:bookmarkStart w:id="168" w:name="_GoBack"/>
      <w:bookmarkEnd w:id="168"/>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rPr>
      </w:pPr>
      <w:r>
        <w:rPr>
          <w:rFonts w:hint="eastAsia" w:ascii="宋体" w:hAnsi="宋体" w:eastAsia="宋体" w:cs="宋体"/>
          <w:b/>
          <w:bCs/>
          <w:sz w:val="21"/>
          <w:szCs w:val="21"/>
        </w:rPr>
        <w:t>采购单位：</w:t>
      </w: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eastAsia="宋体" w:cs="宋体"/>
          <w:bCs/>
          <w:sz w:val="21"/>
          <w:szCs w:val="21"/>
          <w:lang w:eastAsia="zh-CN"/>
        </w:rPr>
        <w:t>彭工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cs="宋体"/>
          <w:bCs/>
          <w:sz w:val="21"/>
          <w:szCs w:val="21"/>
          <w:lang w:val="en-US" w:eastAsia="zh-CN"/>
        </w:rPr>
        <w:t>0731-</w:t>
      </w:r>
      <w:r>
        <w:rPr>
          <w:rFonts w:hint="eastAsia" w:ascii="宋体" w:hAnsi="宋体" w:eastAsia="宋体" w:cs="宋体"/>
          <w:bCs/>
          <w:sz w:val="21"/>
          <w:szCs w:val="21"/>
          <w:lang w:val="en-US" w:eastAsia="zh-CN"/>
        </w:rPr>
        <w:t>86852462</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rPr>
        <w:t>监督举报电话：</w:t>
      </w:r>
      <w:r>
        <w:rPr>
          <w:rFonts w:hint="eastAsia" w:ascii="宋体" w:hAnsi="宋体" w:eastAsia="宋体" w:cs="宋体"/>
          <w:sz w:val="21"/>
          <w:szCs w:val="21"/>
        </w:rPr>
        <w:t>86852248</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采购代理机构：</w:t>
      </w:r>
      <w:r>
        <w:rPr>
          <w:rFonts w:hint="eastAsia" w:ascii="宋体" w:hAnsi="宋体" w:eastAsia="宋体" w:cs="宋体"/>
          <w:sz w:val="21"/>
          <w:szCs w:val="21"/>
        </w:rPr>
        <w:t>湖南国联招标有限公司</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联系电话：0731-85177557</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联系人：王长征  黄涛  胡亚高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地址：长沙市天心区蔡锷南路69号天辰腾达商务大厦6楼</w:t>
      </w: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textAlignment w:val="auto"/>
        <w:rPr>
          <w:rFonts w:ascii="宋体" w:hAnsi="宋体"/>
          <w:szCs w:val="21"/>
        </w:rPr>
      </w:pPr>
      <w:r>
        <w:rPr>
          <w:rFonts w:hint="eastAsia" w:ascii="宋体" w:hAnsi="宋体" w:eastAsia="宋体" w:cs="宋体"/>
          <w:sz w:val="21"/>
          <w:szCs w:val="21"/>
        </w:rPr>
        <w:t xml:space="preserve">2019年 </w:t>
      </w:r>
      <w:r>
        <w:rPr>
          <w:rFonts w:hint="eastAsia" w:ascii="宋体" w:hAnsi="宋体" w:cs="宋体"/>
          <w:sz w:val="21"/>
          <w:szCs w:val="21"/>
          <w:lang w:val="en-US" w:eastAsia="zh-CN"/>
        </w:rPr>
        <w:t>9</w:t>
      </w:r>
      <w:r>
        <w:rPr>
          <w:rFonts w:hint="eastAsia" w:ascii="宋体" w:hAnsi="宋体" w:eastAsia="宋体" w:cs="宋体"/>
          <w:sz w:val="21"/>
          <w:szCs w:val="21"/>
        </w:rPr>
        <w:t xml:space="preserve"> 月 </w:t>
      </w:r>
      <w:r>
        <w:rPr>
          <w:rFonts w:hint="eastAsia" w:ascii="宋体" w:hAnsi="宋体" w:cs="宋体"/>
          <w:sz w:val="21"/>
          <w:szCs w:val="21"/>
          <w:lang w:val="en-US" w:eastAsia="zh-CN"/>
        </w:rPr>
        <w:t>16</w:t>
      </w:r>
      <w:r>
        <w:rPr>
          <w:rFonts w:hint="eastAsia" w:ascii="宋体" w:hAnsi="宋体" w:eastAsia="宋体" w:cs="宋体"/>
          <w:sz w:val="21"/>
          <w:szCs w:val="21"/>
        </w:rPr>
        <w:t xml:space="preserve"> 日</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10483"/>
      <w:bookmarkStart w:id="6" w:name="_Toc5145"/>
      <w:bookmarkStart w:id="7" w:name="_Toc6753"/>
      <w:bookmarkStart w:id="8" w:name="_Toc8914"/>
      <w:bookmarkStart w:id="9" w:name="_Toc14891065"/>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5"/>
      <w:bookmarkEnd w:id="6"/>
      <w:bookmarkEnd w:id="7"/>
      <w:bookmarkEnd w:id="8"/>
      <w:bookmarkEnd w:id="9"/>
    </w:p>
    <w:p>
      <w:pPr>
        <w:pStyle w:val="4"/>
        <w:keepNext w:val="0"/>
        <w:keepLines w:val="0"/>
        <w:jc w:val="center"/>
        <w:rPr>
          <w:rFonts w:hint="eastAsia" w:ascii="宋体" w:hAnsi="宋体" w:eastAsia="宋体" w:cs="宋体"/>
          <w:sz w:val="32"/>
          <w:szCs w:val="32"/>
        </w:rPr>
      </w:pPr>
      <w:bookmarkStart w:id="10" w:name="_Toc9591"/>
      <w:bookmarkStart w:id="11" w:name="_Toc6617"/>
      <w:bookmarkStart w:id="12" w:name="_Toc14891066"/>
      <w:bookmarkStart w:id="13" w:name="_Toc5430"/>
      <w:bookmarkStart w:id="14" w:name="_Toc28089"/>
      <w:r>
        <w:rPr>
          <w:rFonts w:hint="eastAsia" w:ascii="宋体" w:hAnsi="宋体" w:eastAsia="宋体" w:cs="宋体"/>
          <w:sz w:val="32"/>
          <w:szCs w:val="32"/>
        </w:rPr>
        <w:t>谈判须知前附表</w:t>
      </w:r>
      <w:bookmarkEnd w:id="10"/>
      <w:bookmarkEnd w:id="11"/>
      <w:bookmarkEnd w:id="12"/>
      <w:bookmarkEnd w:id="13"/>
      <w:bookmarkEnd w:id="14"/>
    </w:p>
    <w:tbl>
      <w:tblPr>
        <w:tblStyle w:val="46"/>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iCs/>
                <w:sz w:val="21"/>
                <w:szCs w:val="21"/>
                <w:u w:val="none"/>
              </w:rPr>
              <w:t>长沙市轨道交通5号线一期工程运营期票款押运网络视频监控服务项</w:t>
            </w:r>
            <w:r>
              <w:rPr>
                <w:rFonts w:hint="eastAsia" w:ascii="宋体" w:hAnsi="宋体" w:eastAsia="宋体" w:cs="宋体"/>
                <w:iCs/>
                <w:sz w:val="21"/>
                <w:szCs w:val="21"/>
                <w:u w:val="none"/>
                <w:lang w:eastAsia="zh-CN"/>
              </w:rPr>
              <w:t>目</w:t>
            </w:r>
            <w:r>
              <w:rPr>
                <w:rFonts w:hint="eastAsia" w:ascii="宋体" w:hAnsi="宋体" w:eastAsia="宋体" w:cs="宋体"/>
                <w:iCs/>
                <w:sz w:val="21"/>
                <w:szCs w:val="21"/>
                <w:u w:val="none"/>
              </w:rPr>
              <w:t>（2020-2021年度）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iCs/>
                <w:sz w:val="21"/>
                <w:szCs w:val="21"/>
                <w:u w:val="none"/>
              </w:rPr>
              <w:t>长沙市轨道交通</w:t>
            </w:r>
            <w:r>
              <w:rPr>
                <w:rFonts w:hint="eastAsia" w:ascii="宋体" w:hAnsi="宋体" w:eastAsia="宋体" w:cs="宋体"/>
                <w:iCs/>
                <w:sz w:val="21"/>
                <w:szCs w:val="21"/>
                <w:u w:val="none"/>
                <w:lang w:eastAsia="zh-CN"/>
              </w:rPr>
              <w:t>五号线建设发展</w:t>
            </w:r>
            <w:r>
              <w:rPr>
                <w:rFonts w:hint="eastAsia" w:ascii="宋体" w:hAnsi="宋体" w:eastAsia="宋体" w:cs="宋体"/>
                <w:iCs/>
                <w:sz w:val="21"/>
                <w:szCs w:val="21"/>
                <w:u w:val="none"/>
              </w:rPr>
              <w:t>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eastAsia="宋体" w:cs="宋体"/>
                <w:sz w:val="21"/>
                <w:szCs w:val="21"/>
                <w:lang w:val="en-US" w:eastAsia="zh-CN"/>
              </w:rPr>
              <w:t>146880.00</w:t>
            </w:r>
            <w:r>
              <w:rPr>
                <w:rFonts w:hint="eastAsia" w:ascii="宋体" w:hAnsi="宋体" w:eastAsia="宋体" w:cs="宋体"/>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r>
              <w:rPr>
                <w:rFonts w:hint="eastAsia" w:ascii="宋体" w:hAnsi="宋体" w:eastAsia="宋体" w:cs="宋体"/>
                <w:iCs/>
                <w:sz w:val="21"/>
                <w:szCs w:val="21"/>
                <w:lang w:val="en-US" w:eastAsia="zh-CN"/>
              </w:rPr>
              <w:t>/单位</w:t>
            </w:r>
            <w:r>
              <w:rPr>
                <w:rFonts w:hint="eastAsia" w:ascii="宋体" w:hAnsi="宋体" w:eastAsia="宋体" w:cs="宋体"/>
                <w:iCs/>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.谈判单位在本项目响应文件递交截止之日前36个月内须具有</w:t>
            </w:r>
            <w:r>
              <w:rPr>
                <w:rFonts w:hint="eastAsia" w:ascii="宋体" w:hAnsi="宋体" w:eastAsia="宋体" w:cs="宋体"/>
                <w:sz w:val="21"/>
                <w:szCs w:val="21"/>
                <w:u w:val="none"/>
              </w:rPr>
              <w:t>单项合同金额</w:t>
            </w:r>
            <w:r>
              <w:rPr>
                <w:rFonts w:hint="eastAsia" w:ascii="宋体" w:hAnsi="宋体" w:eastAsia="宋体" w:cs="宋体"/>
                <w:sz w:val="21"/>
                <w:szCs w:val="21"/>
                <w:u w:val="none"/>
                <w:lang w:eastAsia="zh-CN"/>
              </w:rPr>
              <w:t>不少于</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项目谈判</w:t>
            </w:r>
            <w:r>
              <w:rPr>
                <w:rFonts w:hint="eastAsia" w:ascii="宋体" w:hAnsi="宋体" w:eastAsia="宋体" w:cs="宋体"/>
                <w:sz w:val="21"/>
                <w:szCs w:val="21"/>
                <w:highlight w:val="none"/>
                <w:u w:val="none"/>
              </w:rPr>
              <w:t>不接受</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eastAsia="zh-CN"/>
              </w:rPr>
              <w:t>形式参与</w:t>
            </w:r>
            <w:r>
              <w:rPr>
                <w:rFonts w:hint="eastAsia" w:ascii="宋体" w:hAnsi="宋体" w:eastAsia="宋体" w:cs="宋体"/>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1"/>
                <w:szCs w:val="21"/>
                <w:highlight w:val="yellow"/>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i w:val="0"/>
                <w:iCs w:val="0"/>
                <w:color w:val="000000"/>
                <w:sz w:val="21"/>
                <w:szCs w:val="21"/>
                <w:highlight w:val="none"/>
                <w:u w:val="none"/>
                <w:lang w:val="en-US" w:eastAsia="zh-CN"/>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hAnsi="宋体" w:cs="宋体"/>
                <w:sz w:val="21"/>
                <w:szCs w:val="21"/>
                <w:u w:val="single"/>
                <w:lang w:val="en-US" w:eastAsia="zh-CN"/>
              </w:rPr>
              <w:t>23</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hAnsi="宋体" w:cs="宋体"/>
                <w:sz w:val="21"/>
                <w:szCs w:val="21"/>
                <w:u w:val="single"/>
                <w:lang w:val="en-US" w:eastAsia="zh-CN"/>
              </w:rPr>
              <w:t>17</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hAnsi="宋体" w:cs="宋体"/>
                <w:sz w:val="21"/>
                <w:szCs w:val="21"/>
                <w:u w:val="single"/>
                <w:lang w:val="en-US" w:eastAsia="zh-CN"/>
              </w:rPr>
              <w:t>00</w:t>
            </w:r>
            <w:r>
              <w:rPr>
                <w:rFonts w:hint="eastAsia" w:ascii="宋体" w:hAnsi="宋体" w:eastAsia="宋体" w:cs="宋体"/>
                <w:sz w:val="21"/>
                <w:szCs w:val="21"/>
                <w:u w:val="single"/>
              </w:rPr>
              <w:t xml:space="preserve"> </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谈判答疑文件应以书面形式递交至长沙市天心区蔡锷南路69号天辰腾达商务大厦6楼湖南国联招标有限公司。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9</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14</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30</w:t>
            </w:r>
            <w:r>
              <w:rPr>
                <w:rFonts w:hint="eastAsia" w:ascii="宋体" w:hAnsi="宋体" w:eastAsia="宋体" w:cs="宋体"/>
                <w:sz w:val="21"/>
                <w:szCs w:val="21"/>
                <w:u w:val="single"/>
              </w:rPr>
              <w:t xml:space="preserve"> </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eastAsia="宋体" w:cs="宋体"/>
                <w:b/>
                <w:bCs/>
                <w:iCs/>
                <w:sz w:val="21"/>
                <w:szCs w:val="21"/>
                <w:lang w:eastAsia="zh-CN"/>
              </w:rPr>
              <w:t>六</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eastAsia="宋体" w:cs="宋体"/>
                <w:b/>
                <w:bCs/>
                <w:iCs/>
                <w:sz w:val="21"/>
                <w:szCs w:val="21"/>
                <w:lang w:eastAsia="zh-CN"/>
              </w:rPr>
              <w:t>六</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本项目为单价合同，酬金包括运营期票款押运网络监控服务过程中的人工、材料、设备材料（含采购及租用）、故障维修及其它在服务过程中所需的管理费、利润、税金等一切费用。在项目实施中出现任何遗漏，均由乙方免费提供，甲方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spacing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付款周期为每半年支付一次，甲方对乙方工作进行验收，且乙方按甲方的支付程序办理请款手续并提供合规的增值税专用发票后28个工作日内，由甲方向乙方支付</w:t>
            </w:r>
            <w:r>
              <w:rPr>
                <w:rFonts w:hint="eastAsia" w:ascii="宋体" w:hAnsi="宋体" w:eastAsia="宋体" w:cs="宋体"/>
                <w:color w:val="000000"/>
                <w:sz w:val="21"/>
                <w:szCs w:val="21"/>
                <w:lang w:eastAsia="zh-CN"/>
              </w:rPr>
              <w:t>。</w:t>
            </w:r>
          </w:p>
          <w:p>
            <w:p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每次支付金额为当期计量金额综合当期检查考评结果后的金额，甲方验收合格后向乙方支付上一个付款周期的价款，最后一个付款周期需在办完履约验收完成后付款。</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其中，当期计量金额=（联网报警单价+视频监控单价+每个站点初装费平均到当期的费用）×当期实际服务站点。</w:t>
            </w:r>
          </w:p>
          <w:p>
            <w:pPr>
              <w:pStyle w:val="45"/>
              <w:adjustRightInd w:val="0"/>
              <w:snapToGrid w:val="0"/>
              <w:spacing w:after="0" w:line="360" w:lineRule="auto"/>
              <w:ind w:firstLine="0" w:firstLineChars="0"/>
              <w:rPr>
                <w:rFonts w:hint="eastAsia" w:ascii="宋体" w:hAnsi="宋体" w:eastAsia="宋体" w:cs="宋体"/>
                <w:bCs/>
                <w:color w:val="FF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履约验收完成付款：乙方按合同规定完成履约，且收到乙方提交经审批同意的支付申请及增值税专用税务发票、有效期内的履约担保复印件等相关资料后28个工作日内，支付最后一个付款周期的酬金。项目履约验收按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（如有）</w:t>
            </w:r>
          </w:p>
        </w:tc>
      </w:tr>
    </w:tbl>
    <w:p>
      <w:pPr>
        <w:pStyle w:val="4"/>
        <w:keepNext w:val="0"/>
        <w:keepLines w:val="0"/>
        <w:jc w:val="center"/>
        <w:rPr>
          <w:rFonts w:ascii="黑体" w:hAnsi="黑体" w:eastAsia="黑体"/>
          <w:sz w:val="30"/>
          <w:szCs w:val="30"/>
        </w:rPr>
      </w:pPr>
      <w:bookmarkStart w:id="15" w:name="_Toc14891067"/>
    </w:p>
    <w:p>
      <w:pPr>
        <w:widowControl/>
        <w:jc w:val="left"/>
      </w:pPr>
      <w:r>
        <w:br w:type="page"/>
      </w: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16" w:name="_Toc31558"/>
      <w:bookmarkStart w:id="17" w:name="_Toc26157"/>
      <w:bookmarkStart w:id="18" w:name="_Toc30640"/>
      <w:bookmarkStart w:id="19" w:name="_Toc16939"/>
      <w:r>
        <w:rPr>
          <w:rFonts w:hint="eastAsia" w:ascii="宋体" w:hAnsi="宋体" w:eastAsia="宋体" w:cs="宋体"/>
          <w:b/>
          <w:bCs/>
          <w:sz w:val="32"/>
          <w:szCs w:val="32"/>
        </w:rPr>
        <w:t>谈判须知正文</w:t>
      </w:r>
      <w:bookmarkEnd w:id="15"/>
      <w:bookmarkEnd w:id="16"/>
      <w:bookmarkEnd w:id="17"/>
      <w:bookmarkEnd w:id="18"/>
      <w:bookmarkEnd w:id="19"/>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0" w:name="_Toc14891068"/>
      <w:bookmarkStart w:id="21" w:name="_Toc11440"/>
      <w:r>
        <w:rPr>
          <w:rFonts w:hint="eastAsia" w:ascii="宋体" w:hAnsi="宋体" w:eastAsia="宋体" w:cs="宋体"/>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ascii="宋体" w:hAnsi="宋体" w:eastAsia="宋体" w:cs="宋体"/>
          <w:b/>
          <w:bCs/>
          <w:iCs/>
          <w:strike w:val="0"/>
          <w:dstrike w:val="0"/>
          <w:sz w:val="21"/>
          <w:szCs w:val="21"/>
          <w:lang w:eastAsia="zh-CN"/>
        </w:rPr>
        <w:t>六</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ascii="宋体" w:hAnsi="宋体" w:eastAsia="宋体" w:cs="宋体"/>
          <w:b/>
          <w:bCs/>
          <w:iCs/>
          <w:strike w:val="0"/>
          <w:dstrike w:val="0"/>
          <w:sz w:val="21"/>
          <w:szCs w:val="21"/>
          <w:lang w:eastAsia="zh-CN"/>
        </w:rPr>
        <w:t>六</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2" w:name="_Toc303"/>
      <w:bookmarkStart w:id="23" w:name="_Toc14891069"/>
      <w:r>
        <w:rPr>
          <w:rFonts w:hint="eastAsia" w:ascii="宋体" w:hAnsi="宋体" w:eastAsia="宋体" w:cs="宋体"/>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4" w:name="_Toc9387"/>
      <w:bookmarkStart w:id="25" w:name="_Toc14891070"/>
      <w:r>
        <w:rPr>
          <w:rFonts w:hint="eastAsia" w:ascii="宋体" w:hAnsi="宋体" w:eastAsia="宋体" w:cs="宋体"/>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（5）服务方案</w:t>
      </w:r>
      <w:r>
        <w:rPr>
          <w:rFonts w:hint="eastAsia" w:ascii="宋体" w:hAnsi="宋体" w:eastAsia="宋体" w:cs="宋体"/>
          <w:sz w:val="21"/>
          <w:szCs w:val="21"/>
          <w:lang w:eastAsia="zh-CN"/>
        </w:rPr>
        <w:t>（如有）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（8）其他资料（如有）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12.1谈判单位应按第六章“响应文件格式”的要求在报价文件中进行报价。谈判单位所报的总价及综合单价均不得超过谈判控制价，不超过谈判控制价的报价方为有效报价，谈判时需明确税费，税率必须符合国家政策法规规定，合同支付时服务单位需开具经</w:t>
      </w:r>
      <w:r>
        <w:rPr>
          <w:rFonts w:hint="eastAsia" w:ascii="宋体" w:hAnsi="宋体" w:eastAsia="宋体" w:cs="宋体"/>
          <w:b/>
          <w:sz w:val="21"/>
          <w:szCs w:val="21"/>
        </w:rPr>
        <w:t>采购单位</w:t>
      </w:r>
      <w:r>
        <w:rPr>
          <w:rFonts w:hint="eastAsia" w:ascii="宋体" w:hAnsi="宋体" w:eastAsia="宋体" w:cs="宋体"/>
          <w:sz w:val="21"/>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12.4本项目谈判控制价见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eastAsia="宋体" w:cs="宋体"/>
          <w:bCs/>
          <w:sz w:val="21"/>
          <w:szCs w:val="21"/>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kern w:val="2"/>
          <w:sz w:val="21"/>
          <w:szCs w:val="21"/>
          <w:lang w:val="en-US" w:eastAsia="zh-CN" w:bidi="ar-SA"/>
        </w:rPr>
        <w:t>12.8本项目为单价合同</w:t>
      </w:r>
      <w:r>
        <w:rPr>
          <w:rFonts w:hint="eastAsia" w:ascii="宋体" w:hAnsi="宋体" w:eastAsia="宋体" w:cs="宋体"/>
          <w:color w:val="000000"/>
        </w:rPr>
        <w:t>，酬金包括运营期票款押运网络监控服务过程中的人工、材料、设备材料（含采购及租用）、故障维修及其它在服务过程中所需的管理费、利润、税金等一切费用。在项目实施中出现任何遗漏，均由乙方免费提供，甲方不再支付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ascii="宋体" w:hAnsi="宋体" w:eastAsia="宋体" w:cs="宋体"/>
          <w:b/>
          <w:bCs/>
          <w:strike w:val="0"/>
          <w:dstrike w:val="0"/>
          <w:sz w:val="21"/>
          <w:szCs w:val="21"/>
          <w:lang w:eastAsia="zh-CN"/>
        </w:rPr>
        <w:t>六</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6" w:name="_Toc1468"/>
      <w:bookmarkStart w:id="27" w:name="_Toc14891071"/>
      <w:r>
        <w:rPr>
          <w:rFonts w:hint="eastAsia" w:ascii="宋体" w:hAnsi="宋体" w:eastAsia="宋体" w:cs="宋体"/>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 xml:space="preserve">（填写单位名称并加盖单位公章）         </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891072"/>
      <w:bookmarkStart w:id="29" w:name="_Toc13483"/>
      <w:r>
        <w:rPr>
          <w:rFonts w:hint="eastAsia" w:ascii="宋体" w:hAnsi="宋体" w:eastAsia="宋体" w:cs="宋体"/>
          <w:sz w:val="21"/>
          <w:szCs w:val="21"/>
        </w:rPr>
        <w:t>五、响应文件的评审</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0" w:name="_Toc14891073"/>
      <w:bookmarkStart w:id="31" w:name="_Toc21358"/>
      <w:r>
        <w:rPr>
          <w:rFonts w:hint="eastAsia" w:ascii="宋体" w:hAnsi="宋体" w:eastAsia="宋体" w:cs="宋体"/>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2" w:name="_Toc14891074"/>
      <w:bookmarkStart w:id="33" w:name="_Toc20130"/>
      <w:r>
        <w:rPr>
          <w:rFonts w:hint="eastAsia" w:ascii="宋体" w:hAnsi="宋体" w:eastAsia="宋体" w:cs="宋体"/>
          <w:sz w:val="21"/>
          <w:szCs w:val="21"/>
        </w:rPr>
        <w:t>七、中选结果与授予合同</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35" w:name="_Toc14891075"/>
      <w:bookmarkStart w:id="36" w:name="_Toc2045"/>
      <w:r>
        <w:rPr>
          <w:rFonts w:hint="eastAsia" w:ascii="宋体" w:hAnsi="宋体" w:eastAsia="宋体" w:cs="宋体"/>
          <w:sz w:val="21"/>
          <w:szCs w:val="21"/>
        </w:rPr>
        <w:t>八、其他</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footerReference r:id="rId5" w:type="default"/>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Spec="center" w:tblpY="258"/>
        <w:tblOverlap w:val="never"/>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2451"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2451"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67"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2451"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367"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6"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37" w:name="_Toc4275"/>
      <w:bookmarkStart w:id="38" w:name="_Toc1719"/>
      <w:bookmarkStart w:id="39" w:name="_Toc5567"/>
      <w:bookmarkStart w:id="40" w:name="_Toc28427"/>
      <w:r>
        <w:rPr>
          <w:rFonts w:hint="eastAsia" w:ascii="宋体" w:hAnsi="宋体" w:eastAsia="宋体" w:cs="宋体"/>
          <w:bCs w:val="0"/>
          <w:sz w:val="32"/>
          <w:szCs w:val="32"/>
        </w:rPr>
        <w:t>第三章  评审办法及标准</w:t>
      </w:r>
      <w:bookmarkEnd w:id="37"/>
      <w:bookmarkEnd w:id="38"/>
      <w:bookmarkEnd w:id="39"/>
      <w:bookmarkEnd w:id="40"/>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41" w:name="_Toc14891077"/>
      <w:bookmarkStart w:id="42" w:name="_Toc17997"/>
      <w:bookmarkStart w:id="43" w:name="_Toc18202"/>
      <w:bookmarkStart w:id="44" w:name="_Toc23442"/>
      <w:bookmarkStart w:id="45" w:name="_Toc17562"/>
      <w:r>
        <w:rPr>
          <w:rFonts w:hint="eastAsia" w:ascii="宋体" w:hAnsi="宋体" w:eastAsia="宋体" w:cs="宋体"/>
          <w:bCs w:val="0"/>
          <w:sz w:val="32"/>
          <w:szCs w:val="32"/>
        </w:rPr>
        <w:t>第四章  用户需求书</w:t>
      </w:r>
      <w:bookmarkEnd w:id="41"/>
      <w:bookmarkEnd w:id="42"/>
      <w:bookmarkEnd w:id="43"/>
      <w:bookmarkEnd w:id="44"/>
      <w:bookmarkEnd w:id="45"/>
    </w:p>
    <w:p>
      <w:pPr>
        <w:pStyle w:val="32"/>
        <w:tabs>
          <w:tab w:val="right" w:leader="dot" w:pos="8306"/>
        </w:tabs>
        <w:spacing w:line="360" w:lineRule="auto"/>
        <w:ind w:firstLine="422" w:firstLineChars="200"/>
        <w:outlineLvl w:val="0"/>
        <w:rPr>
          <w:rFonts w:ascii="宋体" w:hAnsi="宋体" w:cs="楷体"/>
          <w:b/>
          <w:szCs w:val="21"/>
        </w:rPr>
      </w:pPr>
    </w:p>
    <w:p>
      <w:pPr>
        <w:pStyle w:val="32"/>
        <w:tabs>
          <w:tab w:val="right" w:leader="dot" w:pos="8306"/>
        </w:tabs>
        <w:spacing w:line="360" w:lineRule="auto"/>
        <w:ind w:firstLine="422" w:firstLineChars="200"/>
        <w:outlineLvl w:val="9"/>
        <w:rPr>
          <w:rFonts w:ascii="宋体" w:hAnsi="宋体" w:cs="楷体"/>
          <w:b/>
          <w:i/>
          <w:iCs/>
          <w:szCs w:val="21"/>
        </w:rPr>
      </w:pPr>
      <w:bookmarkStart w:id="46" w:name="_Toc12281516"/>
      <w:r>
        <w:rPr>
          <w:rFonts w:hint="eastAsia" w:ascii="宋体" w:hAnsi="宋体" w:eastAsia="宋体" w:cs="宋体"/>
          <w:b/>
          <w:bCs w:val="0"/>
          <w:szCs w:val="21"/>
        </w:rPr>
        <w:t>一、</w:t>
      </w:r>
      <w:r>
        <w:rPr>
          <w:rFonts w:hint="eastAsia" w:ascii="宋体" w:hAnsi="宋体" w:eastAsia="宋体" w:cs="宋体"/>
          <w:b/>
          <w:bCs w:val="0"/>
        </w:rPr>
        <w:fldChar w:fldCharType="begin"/>
      </w:r>
      <w:r>
        <w:rPr>
          <w:rFonts w:hint="eastAsia" w:ascii="宋体" w:hAnsi="宋体" w:eastAsia="宋体" w:cs="宋体"/>
          <w:b/>
          <w:bCs w:val="0"/>
        </w:rPr>
        <w:instrText xml:space="preserve"> HYPERLINK \l "_Toc28139" </w:instrText>
      </w:r>
      <w:r>
        <w:rPr>
          <w:rFonts w:hint="eastAsia" w:ascii="宋体" w:hAnsi="宋体" w:eastAsia="宋体" w:cs="宋体"/>
          <w:b/>
          <w:bCs w:val="0"/>
        </w:rPr>
        <w:fldChar w:fldCharType="separate"/>
      </w:r>
      <w:r>
        <w:rPr>
          <w:rFonts w:hint="eastAsia" w:ascii="宋体" w:hAnsi="宋体" w:eastAsia="宋体" w:cs="宋体"/>
          <w:b/>
          <w:bCs w:val="0"/>
          <w:szCs w:val="21"/>
        </w:rPr>
        <w:t>项目概况及招标范围</w:t>
      </w:r>
      <w:bookmarkEnd w:id="46"/>
      <w:r>
        <w:rPr>
          <w:rFonts w:hint="eastAsia" w:ascii="宋体" w:hAnsi="宋体" w:eastAsia="宋体" w:cs="宋体"/>
          <w:b/>
          <w:bCs w:val="0"/>
          <w:szCs w:val="21"/>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left="0" w:firstLine="420" w:firstLineChars="200"/>
        <w:textAlignment w:val="auto"/>
        <w:outlineLvl w:val="9"/>
        <w:rPr>
          <w:rFonts w:ascii="宋体" w:hAnsi="宋体"/>
          <w:szCs w:val="21"/>
        </w:rPr>
      </w:pPr>
      <w:bookmarkStart w:id="47" w:name="_Toc12281517"/>
      <w:r>
        <w:rPr>
          <w:rFonts w:hint="eastAsia" w:ascii="宋体" w:hAnsi="宋体"/>
          <w:szCs w:val="21"/>
        </w:rPr>
        <w:t>（一）项目概况</w:t>
      </w:r>
      <w:bookmarkEnd w:id="47"/>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长沙市轨道交通5号线一期工程运营期票款押运网络视频监控服务项目（2020-2021年度）包括视频监控服务和联网报警服务。按照公安部及银行的相关要求，提供指定区域范围内监控目标的智能管理，实现对目标的全面控制、重点防范、快速反应、精准打击。</w:t>
      </w:r>
    </w:p>
    <w:p>
      <w:pPr>
        <w:keepNext w:val="0"/>
        <w:keepLines w:val="0"/>
        <w:pageBreakBefore w:val="0"/>
        <w:widowControl w:val="0"/>
        <w:kinsoku/>
        <w:wordWrap/>
        <w:overflowPunct/>
        <w:topLinePunct w:val="0"/>
        <w:autoSpaceDE/>
        <w:autoSpaceDN/>
        <w:bidi w:val="0"/>
        <w:adjustRightInd w:val="0"/>
        <w:snapToGrid/>
        <w:spacing w:line="360" w:lineRule="auto"/>
        <w:ind w:left="0" w:firstLine="420" w:firstLineChars="200"/>
        <w:textAlignment w:val="auto"/>
        <w:outlineLvl w:val="9"/>
        <w:rPr>
          <w:rFonts w:ascii="宋体" w:hAnsi="宋体"/>
          <w:szCs w:val="21"/>
        </w:rPr>
      </w:pPr>
      <w:bookmarkStart w:id="48" w:name="_Toc12281518"/>
      <w:r>
        <w:rPr>
          <w:rFonts w:hint="eastAsia" w:ascii="宋体" w:hAnsi="宋体"/>
          <w:szCs w:val="21"/>
        </w:rPr>
        <w:t>（二）招标范围</w:t>
      </w:r>
      <w:bookmarkEnd w:id="48"/>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szCs w:val="21"/>
        </w:rPr>
      </w:pPr>
      <w:r>
        <w:rPr>
          <w:rFonts w:hint="eastAsia" w:ascii="宋体" w:hAnsi="宋体"/>
          <w:szCs w:val="21"/>
        </w:rPr>
        <w:t>本项目为长沙市轨道交通5号线一期工程全线的</w:t>
      </w:r>
      <w:r>
        <w:rPr>
          <w:rFonts w:hint="eastAsia" w:ascii="宋体" w:hAnsi="宋体" w:cs="仿宋_GB2312"/>
          <w:szCs w:val="21"/>
        </w:rPr>
        <w:t>车站范围内票款押运视频监控服务和联网报警服务并包括相关票款押运网络监控设备故障维护</w:t>
      </w:r>
      <w:r>
        <w:rPr>
          <w:rFonts w:hint="eastAsia" w:ascii="宋体" w:hAnsi="宋体"/>
          <w:szCs w:val="21"/>
        </w:rPr>
        <w:t>。服务范围包含</w:t>
      </w:r>
      <w:r>
        <w:rPr>
          <w:rFonts w:hint="eastAsia" w:ascii="宋体" w:hAnsi="宋体" w:cs="仿宋_GB2312"/>
          <w:szCs w:val="21"/>
        </w:rPr>
        <w:t>18座车站（以最终实际需要安装的站点为准），由北向南站点分布为水渡河站、土桥站、白茅铺站、月湖公园北站、马栏山站、鸭子铺站、火炬村站、马王堆站、万家丽广场站、芙蓉区政府站、高桥北站、高桥南站、圭塘站、木桥站、雨花区政府站、大塘站、板塘冲站、毛竹塘站。</w:t>
      </w:r>
    </w:p>
    <w:p>
      <w:pPr>
        <w:keepNext w:val="0"/>
        <w:keepLines w:val="0"/>
        <w:pageBreakBefore w:val="0"/>
        <w:widowControl w:val="0"/>
        <w:kinsoku/>
        <w:wordWrap/>
        <w:overflowPunct/>
        <w:topLinePunct w:val="0"/>
        <w:autoSpaceDE/>
        <w:autoSpaceDN/>
        <w:bidi w:val="0"/>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长沙市轨道交通5号线一期工程18个站点（车站站名以投入运营正式名称为准）。具体详见表一：</w:t>
      </w:r>
    </w:p>
    <w:tbl>
      <w:tblPr>
        <w:tblStyle w:val="46"/>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836"/>
        <w:gridCol w:w="2126"/>
        <w:gridCol w:w="2694"/>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8849" w:type="dxa"/>
            <w:gridSpan w:val="5"/>
            <w:vAlign w:val="center"/>
          </w:tcPr>
          <w:p>
            <w:pPr>
              <w:spacing w:line="360" w:lineRule="auto"/>
              <w:jc w:val="center"/>
              <w:rPr>
                <w:rFonts w:ascii="宋体" w:hAnsi="宋体" w:cs="仿宋"/>
                <w:szCs w:val="21"/>
              </w:rPr>
            </w:pPr>
            <w:r>
              <w:rPr>
                <w:rFonts w:hint="eastAsia" w:ascii="宋体" w:hAnsi="宋体" w:cs="仿宋"/>
                <w:b/>
                <w:bCs/>
                <w:szCs w:val="21"/>
              </w:rPr>
              <w:t>表一  5号线票款押运相关服务及相关设备安装点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exact"/>
          <w:jc w:val="center"/>
        </w:trPr>
        <w:tc>
          <w:tcPr>
            <w:tcW w:w="942" w:type="dxa"/>
            <w:vAlign w:val="center"/>
          </w:tcPr>
          <w:p>
            <w:pPr>
              <w:spacing w:line="360" w:lineRule="auto"/>
              <w:jc w:val="center"/>
              <w:rPr>
                <w:rFonts w:ascii="宋体" w:hAnsi="宋体" w:cs="仿宋"/>
                <w:b/>
                <w:bCs/>
                <w:szCs w:val="21"/>
              </w:rPr>
            </w:pPr>
            <w:r>
              <w:rPr>
                <w:rFonts w:hint="eastAsia" w:ascii="宋体" w:hAnsi="宋体" w:cs="仿宋"/>
                <w:b/>
                <w:bCs/>
                <w:szCs w:val="21"/>
              </w:rPr>
              <w:t>序号</w:t>
            </w:r>
          </w:p>
        </w:tc>
        <w:tc>
          <w:tcPr>
            <w:tcW w:w="1836" w:type="dxa"/>
            <w:vAlign w:val="center"/>
          </w:tcPr>
          <w:p>
            <w:pPr>
              <w:spacing w:line="360" w:lineRule="auto"/>
              <w:jc w:val="center"/>
              <w:rPr>
                <w:rFonts w:ascii="宋体" w:hAnsi="宋体" w:cs="仿宋"/>
                <w:b/>
                <w:bCs/>
                <w:szCs w:val="21"/>
              </w:rPr>
            </w:pPr>
            <w:r>
              <w:rPr>
                <w:rFonts w:hint="eastAsia" w:ascii="宋体" w:hAnsi="宋体" w:cs="仿宋"/>
                <w:b/>
                <w:bCs/>
                <w:szCs w:val="21"/>
              </w:rPr>
              <w:t>网点名称</w:t>
            </w:r>
          </w:p>
        </w:tc>
        <w:tc>
          <w:tcPr>
            <w:tcW w:w="2126" w:type="dxa"/>
            <w:vAlign w:val="center"/>
          </w:tcPr>
          <w:p>
            <w:pPr>
              <w:spacing w:line="360" w:lineRule="auto"/>
              <w:jc w:val="center"/>
              <w:rPr>
                <w:rFonts w:ascii="宋体" w:hAnsi="宋体" w:cs="仿宋"/>
                <w:b/>
                <w:bCs/>
                <w:szCs w:val="21"/>
              </w:rPr>
            </w:pPr>
            <w:r>
              <w:rPr>
                <w:rFonts w:hint="eastAsia" w:ascii="宋体" w:hAnsi="宋体" w:cs="仿宋"/>
                <w:b/>
                <w:bCs/>
                <w:szCs w:val="21"/>
              </w:rPr>
              <w:t>联网报警设备安装地点</w:t>
            </w:r>
          </w:p>
        </w:tc>
        <w:tc>
          <w:tcPr>
            <w:tcW w:w="2694" w:type="dxa"/>
            <w:vAlign w:val="center"/>
          </w:tcPr>
          <w:p>
            <w:pPr>
              <w:spacing w:line="360" w:lineRule="auto"/>
              <w:jc w:val="center"/>
              <w:rPr>
                <w:rFonts w:ascii="宋体" w:hAnsi="宋体" w:cs="仿宋"/>
                <w:b/>
                <w:bCs/>
                <w:szCs w:val="21"/>
              </w:rPr>
            </w:pPr>
            <w:r>
              <w:rPr>
                <w:rFonts w:hint="eastAsia" w:ascii="宋体" w:hAnsi="宋体" w:cs="仿宋"/>
                <w:b/>
                <w:bCs/>
                <w:szCs w:val="21"/>
              </w:rPr>
              <w:t>视频监控设备安装地点</w:t>
            </w:r>
          </w:p>
        </w:tc>
        <w:tc>
          <w:tcPr>
            <w:tcW w:w="1251" w:type="dxa"/>
            <w:vAlign w:val="center"/>
          </w:tcPr>
          <w:p>
            <w:pPr>
              <w:spacing w:line="360" w:lineRule="auto"/>
              <w:jc w:val="center"/>
              <w:rPr>
                <w:rFonts w:ascii="宋体" w:hAnsi="宋体" w:cs="仿宋"/>
                <w:b/>
                <w:bCs/>
                <w:szCs w:val="21"/>
              </w:rPr>
            </w:pPr>
            <w:r>
              <w:rPr>
                <w:rFonts w:hint="eastAsia" w:ascii="宋体" w:hAnsi="宋体"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水渡河站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2</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土桥站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3</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白茅铺站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4</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月湖公园北站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5</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马栏山站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6</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鸭子铺站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7</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火炬村站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8</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马王堆站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9</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万家丽广场站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10</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芙蓉区政府站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11</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高桥北站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12</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高桥南站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13</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圭塘站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14</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木桥站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15</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雨花区政府站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16</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大塘站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17</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板塘冲站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2" w:type="dxa"/>
            <w:vAlign w:val="center"/>
          </w:tcPr>
          <w:p>
            <w:pPr>
              <w:spacing w:line="360" w:lineRule="auto"/>
              <w:jc w:val="center"/>
              <w:rPr>
                <w:rFonts w:ascii="宋体" w:hAnsi="宋体" w:cs="仿宋"/>
                <w:szCs w:val="21"/>
              </w:rPr>
            </w:pPr>
            <w:r>
              <w:rPr>
                <w:rFonts w:hint="eastAsia" w:ascii="宋体" w:hAnsi="宋体" w:cs="仿宋"/>
                <w:szCs w:val="21"/>
              </w:rPr>
              <w:t>18</w:t>
            </w:r>
          </w:p>
        </w:tc>
        <w:tc>
          <w:tcPr>
            <w:tcW w:w="1836" w:type="dxa"/>
            <w:vAlign w:val="center"/>
          </w:tcPr>
          <w:p>
            <w:pPr>
              <w:spacing w:line="360" w:lineRule="auto"/>
              <w:jc w:val="center"/>
              <w:rPr>
                <w:rFonts w:ascii="宋体" w:hAnsi="宋体" w:cs="仿宋"/>
                <w:szCs w:val="21"/>
              </w:rPr>
            </w:pPr>
            <w:r>
              <w:rPr>
                <w:rFonts w:hint="eastAsia" w:ascii="宋体" w:hAnsi="宋体" w:cs="仿宋"/>
                <w:szCs w:val="21"/>
              </w:rPr>
              <w:t>毛竹塘站</w:t>
            </w:r>
          </w:p>
        </w:tc>
        <w:tc>
          <w:tcPr>
            <w:tcW w:w="2126" w:type="dxa"/>
            <w:vAlign w:val="center"/>
          </w:tcPr>
          <w:p>
            <w:pPr>
              <w:spacing w:line="360" w:lineRule="auto"/>
              <w:jc w:val="center"/>
              <w:rPr>
                <w:rFonts w:ascii="宋体" w:hAnsi="宋体" w:cs="仿宋"/>
                <w:szCs w:val="21"/>
              </w:rPr>
            </w:pPr>
            <w:r>
              <w:rPr>
                <w:rFonts w:hint="eastAsia" w:ascii="宋体" w:hAnsi="宋体" w:cs="仿宋"/>
                <w:szCs w:val="21"/>
              </w:rPr>
              <w:t>票务室</w:t>
            </w:r>
          </w:p>
        </w:tc>
        <w:tc>
          <w:tcPr>
            <w:tcW w:w="2694" w:type="dxa"/>
            <w:vAlign w:val="center"/>
          </w:tcPr>
          <w:p>
            <w:pPr>
              <w:spacing w:line="360" w:lineRule="auto"/>
              <w:jc w:val="center"/>
              <w:rPr>
                <w:rFonts w:ascii="宋体" w:hAnsi="宋体" w:cs="仿宋"/>
                <w:szCs w:val="21"/>
              </w:rPr>
            </w:pPr>
            <w:r>
              <w:rPr>
                <w:rFonts w:hint="eastAsia" w:ascii="宋体" w:hAnsi="宋体" w:cs="仿宋"/>
                <w:szCs w:val="21"/>
              </w:rPr>
              <w:t>商用通信设备机房</w:t>
            </w:r>
          </w:p>
        </w:tc>
        <w:tc>
          <w:tcPr>
            <w:tcW w:w="1251" w:type="dxa"/>
            <w:vAlign w:val="center"/>
          </w:tcPr>
          <w:p>
            <w:pPr>
              <w:spacing w:line="360" w:lineRule="auto"/>
              <w:ind w:firstLine="420" w:firstLineChars="200"/>
              <w:jc w:val="center"/>
              <w:rPr>
                <w:rFonts w:ascii="宋体" w:hAnsi="宋体" w:cs="仿宋"/>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项目采购范围包括联网报警设备初装。初装联网报警设备需求数量详见表二，报警</w:t>
      </w:r>
      <w:r>
        <w:rPr>
          <w:rFonts w:ascii="宋体" w:hAnsi="宋体" w:cs="仿宋_GB2312"/>
          <w:szCs w:val="21"/>
        </w:rPr>
        <w:t>主机应采用主流品牌</w:t>
      </w:r>
      <w:r>
        <w:rPr>
          <w:rFonts w:hint="eastAsia" w:ascii="宋体" w:hAnsi="宋体" w:cs="仿宋_GB2312"/>
          <w:szCs w:val="21"/>
        </w:rPr>
        <w:t>，选用设备性能不得低于既有线路联网报警现场设备性能，1、2、4号线报警设备统计情况见表三，</w:t>
      </w:r>
      <w:r>
        <w:rPr>
          <w:rFonts w:ascii="宋体" w:hAnsi="宋体" w:cs="仿宋_GB2312"/>
          <w:szCs w:val="21"/>
        </w:rPr>
        <w:t>且具有接入不同监控平台的能力</w:t>
      </w:r>
      <w:r>
        <w:rPr>
          <w:rFonts w:hint="eastAsia" w:ascii="宋体" w:hAnsi="宋体" w:cs="仿宋_GB2312"/>
          <w:szCs w:val="21"/>
        </w:rPr>
        <w:t>。</w:t>
      </w:r>
    </w:p>
    <w:tbl>
      <w:tblPr>
        <w:tblStyle w:val="46"/>
        <w:tblW w:w="8818" w:type="dxa"/>
        <w:jc w:val="center"/>
        <w:tblInd w:w="614" w:type="dxa"/>
        <w:tblLayout w:type="fixed"/>
        <w:tblCellMar>
          <w:top w:w="0" w:type="dxa"/>
          <w:left w:w="108" w:type="dxa"/>
          <w:bottom w:w="0" w:type="dxa"/>
          <w:right w:w="108" w:type="dxa"/>
        </w:tblCellMar>
      </w:tblPr>
      <w:tblGrid>
        <w:gridCol w:w="1135"/>
        <w:gridCol w:w="1760"/>
        <w:gridCol w:w="3489"/>
        <w:gridCol w:w="2434"/>
      </w:tblGrid>
      <w:tr>
        <w:tblPrEx>
          <w:tblLayout w:type="fixed"/>
          <w:tblCellMar>
            <w:top w:w="0" w:type="dxa"/>
            <w:left w:w="108" w:type="dxa"/>
            <w:bottom w:w="0" w:type="dxa"/>
            <w:right w:w="108" w:type="dxa"/>
          </w:tblCellMar>
        </w:tblPrEx>
        <w:trPr>
          <w:trHeight w:val="560" w:hRule="atLeast"/>
          <w:jc w:val="center"/>
        </w:trPr>
        <w:tc>
          <w:tcPr>
            <w:tcW w:w="881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表二  5号线初装联网报警设备需求数量</w:t>
            </w:r>
          </w:p>
        </w:tc>
      </w:tr>
      <w:tr>
        <w:tblPrEx>
          <w:tblLayout w:type="fixed"/>
          <w:tblCellMar>
            <w:top w:w="0" w:type="dxa"/>
            <w:left w:w="108" w:type="dxa"/>
            <w:bottom w:w="0" w:type="dxa"/>
            <w:right w:w="108" w:type="dxa"/>
          </w:tblCellMar>
        </w:tblPrEx>
        <w:trPr>
          <w:trHeight w:val="521" w:hRule="atLeast"/>
          <w:jc w:val="center"/>
        </w:trPr>
        <w:tc>
          <w:tcPr>
            <w:tcW w:w="113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序号</w:t>
            </w:r>
          </w:p>
        </w:tc>
        <w:tc>
          <w:tcPr>
            <w:tcW w:w="1760" w:type="dxa"/>
            <w:tcBorders>
              <w:top w:val="single" w:color="auto" w:sz="4" w:space="0"/>
              <w:left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线路</w:t>
            </w:r>
          </w:p>
        </w:tc>
        <w:tc>
          <w:tcPr>
            <w:tcW w:w="3489"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设备名称</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仿宋"/>
                <w:b/>
                <w:bCs/>
                <w:szCs w:val="21"/>
              </w:rPr>
            </w:pPr>
            <w:r>
              <w:rPr>
                <w:rFonts w:hint="eastAsia" w:ascii="宋体" w:hAnsi="宋体" w:cs="仿宋"/>
                <w:b/>
                <w:bCs/>
                <w:szCs w:val="21"/>
              </w:rPr>
              <w:t>设备数量</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176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5号线</w:t>
            </w: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1760" w:type="dxa"/>
            <w:vMerge w:val="continue"/>
            <w:tcBorders>
              <w:left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4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1760" w:type="dxa"/>
            <w:vMerge w:val="continue"/>
            <w:tcBorders>
              <w:left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18</w:t>
            </w:r>
          </w:p>
        </w:tc>
      </w:tr>
      <w:tr>
        <w:tblPrEx>
          <w:tblLayout w:type="fixed"/>
          <w:tblCellMar>
            <w:top w:w="0" w:type="dxa"/>
            <w:left w:w="108" w:type="dxa"/>
            <w:bottom w:w="0" w:type="dxa"/>
            <w:right w:w="108" w:type="dxa"/>
          </w:tblCellMar>
        </w:tblPrEx>
        <w:trPr>
          <w:trHeight w:val="227"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w:t>
            </w:r>
          </w:p>
        </w:tc>
        <w:tc>
          <w:tcPr>
            <w:tcW w:w="1760" w:type="dxa"/>
            <w:vMerge w:val="continue"/>
            <w:tcBorders>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cs="仿宋"/>
                <w:szCs w:val="21"/>
              </w:rPr>
            </w:pPr>
          </w:p>
        </w:tc>
        <w:tc>
          <w:tcPr>
            <w:tcW w:w="34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线缆（米）</w:t>
            </w:r>
          </w:p>
        </w:tc>
        <w:tc>
          <w:tcPr>
            <w:tcW w:w="2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900</w:t>
            </w:r>
          </w:p>
        </w:tc>
      </w:tr>
    </w:tbl>
    <w:p>
      <w:pPr>
        <w:spacing w:line="360" w:lineRule="auto"/>
        <w:ind w:firstLine="420" w:firstLineChars="200"/>
        <w:rPr>
          <w:rFonts w:ascii="宋体" w:hAnsi="宋体" w:cs="仿宋_GB2312"/>
          <w:szCs w:val="21"/>
        </w:rPr>
      </w:pPr>
    </w:p>
    <w:tbl>
      <w:tblPr>
        <w:tblStyle w:val="46"/>
        <w:tblW w:w="8799" w:type="dxa"/>
        <w:jc w:val="center"/>
        <w:tblInd w:w="550" w:type="dxa"/>
        <w:tblLayout w:type="fixed"/>
        <w:tblCellMar>
          <w:top w:w="0" w:type="dxa"/>
          <w:left w:w="108" w:type="dxa"/>
          <w:bottom w:w="0" w:type="dxa"/>
          <w:right w:w="108" w:type="dxa"/>
        </w:tblCellMar>
      </w:tblPr>
      <w:tblGrid>
        <w:gridCol w:w="836"/>
        <w:gridCol w:w="1564"/>
        <w:gridCol w:w="1995"/>
        <w:gridCol w:w="2872"/>
        <w:gridCol w:w="1532"/>
      </w:tblGrid>
      <w:tr>
        <w:tblPrEx>
          <w:tblLayout w:type="fixed"/>
          <w:tblCellMar>
            <w:top w:w="0" w:type="dxa"/>
            <w:left w:w="108" w:type="dxa"/>
            <w:bottom w:w="0" w:type="dxa"/>
            <w:right w:w="108" w:type="dxa"/>
          </w:tblCellMar>
        </w:tblPrEx>
        <w:trPr>
          <w:trHeight w:val="569" w:hRule="atLeast"/>
          <w:jc w:val="center"/>
        </w:trPr>
        <w:tc>
          <w:tcPr>
            <w:tcW w:w="8799"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表三  1、2、4号线报警设备情况统计表</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序号</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线路</w:t>
            </w:r>
          </w:p>
        </w:tc>
        <w:tc>
          <w:tcPr>
            <w:tcW w:w="19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设备名称</w:t>
            </w:r>
          </w:p>
        </w:tc>
        <w:tc>
          <w:tcPr>
            <w:tcW w:w="28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设备型号</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仿宋"/>
                <w:b/>
                <w:bCs/>
                <w:szCs w:val="21"/>
              </w:rPr>
            </w:pPr>
            <w:r>
              <w:rPr>
                <w:rFonts w:hint="eastAsia" w:ascii="宋体" w:hAnsi="宋体" w:cs="仿宋"/>
                <w:b/>
                <w:bCs/>
                <w:szCs w:val="21"/>
              </w:rPr>
              <w:t>设备数量</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2号线一期工程</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E55(SIREN)</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键盘</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paradox K10</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19</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5</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2号线西延线及1号线</w:t>
            </w:r>
          </w:p>
        </w:tc>
        <w:tc>
          <w:tcPr>
            <w:tcW w:w="19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DS-19A08-BNG</w:t>
            </w:r>
          </w:p>
        </w:tc>
        <w:tc>
          <w:tcPr>
            <w:tcW w:w="153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6</w:t>
            </w:r>
          </w:p>
        </w:tc>
        <w:tc>
          <w:tcPr>
            <w:tcW w:w="1564" w:type="dxa"/>
            <w:vMerge w:val="continue"/>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海康配套</w:t>
            </w:r>
          </w:p>
        </w:tc>
        <w:tc>
          <w:tcPr>
            <w:tcW w:w="1532" w:type="dxa"/>
            <w:tcBorders>
              <w:top w:val="nil"/>
              <w:left w:val="nil"/>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警号</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海康配套</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23</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8</w:t>
            </w: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4号线一期工程</w:t>
            </w: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报警主机</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CN4008</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25</w:t>
            </w:r>
          </w:p>
        </w:tc>
      </w:tr>
      <w:tr>
        <w:tblPrEx>
          <w:tblLayout w:type="fixed"/>
          <w:tblCellMar>
            <w:top w:w="0" w:type="dxa"/>
            <w:left w:w="108" w:type="dxa"/>
            <w:bottom w:w="0" w:type="dxa"/>
            <w:right w:w="108" w:type="dxa"/>
          </w:tblCellMar>
        </w:tblPrEx>
        <w:trPr>
          <w:trHeight w:val="569"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p>
        </w:tc>
        <w:tc>
          <w:tcPr>
            <w:tcW w:w="1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紧急按钮</w:t>
            </w:r>
          </w:p>
        </w:tc>
        <w:tc>
          <w:tcPr>
            <w:tcW w:w="2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PB2</w:t>
            </w:r>
          </w:p>
        </w:tc>
        <w:tc>
          <w:tcPr>
            <w:tcW w:w="15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szCs w:val="21"/>
              </w:rPr>
            </w:pPr>
            <w:r>
              <w:rPr>
                <w:rFonts w:hint="eastAsia" w:ascii="宋体" w:hAnsi="宋体" w:cs="仿宋"/>
                <w:szCs w:val="21"/>
              </w:rPr>
              <w:t>25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仿宋_GB2312"/>
          <w:szCs w:val="21"/>
        </w:rPr>
      </w:pPr>
      <w:r>
        <w:rPr>
          <w:rFonts w:hint="eastAsia" w:ascii="宋体" w:hAnsi="宋体" w:cs="仿宋_GB2312"/>
          <w:szCs w:val="21"/>
        </w:rPr>
        <w:t>所有站点提供平台、通信线路和设备质量符合公安部、国家电信主管部门的质量标准和技术要求并满足招标人应用要求。投标人对采购范围中所列站点2路视频（票务室视频和押运出入口视频）进行票款押运过程视频监控服务及24小时不间断联网报警服务。一旦发现可疑情况应及时通知招标人现场工作人员和押运车组负责人及时处置，如发生抢劫、爆炸等情况投标人值班人员应及时拨打110进行报警。</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楷体"/>
          <w:b/>
          <w:i/>
          <w:iCs/>
          <w:szCs w:val="21"/>
        </w:rPr>
      </w:pPr>
      <w:r>
        <w:fldChar w:fldCharType="begin"/>
      </w:r>
      <w:r>
        <w:instrText xml:space="preserve"> HYPERLINK \l "_Toc11191" </w:instrText>
      </w:r>
      <w:r>
        <w:fldChar w:fldCharType="separate"/>
      </w:r>
      <w:bookmarkStart w:id="49" w:name="_Toc12281519"/>
      <w:r>
        <w:rPr>
          <w:rFonts w:hint="eastAsia" w:ascii="宋体" w:hAnsi="宋体" w:cs="楷体"/>
          <w:b/>
          <w:szCs w:val="21"/>
        </w:rPr>
        <w:t>二、项目计划</w:t>
      </w:r>
      <w:bookmarkEnd w:id="49"/>
      <w:r>
        <w:rPr>
          <w:rFonts w:hint="eastAsia" w:ascii="宋体" w:hAnsi="宋体" w:cs="楷体"/>
          <w:b/>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本项目服务期限暂定为2020年6月30日至2021年8月17日，总计413日，按照实际服务天数结算（实际服务时间以供应商接到招标人发出的开工令起算，至2021年8月17日止）。</w:t>
      </w: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2" w:firstLineChars="200"/>
        <w:textAlignment w:val="auto"/>
        <w:outlineLvl w:val="9"/>
        <w:rPr>
          <w:rFonts w:ascii="宋体" w:hAnsi="宋体" w:cs="楷体"/>
          <w:b/>
          <w:szCs w:val="21"/>
        </w:rPr>
      </w:pPr>
      <w:bookmarkStart w:id="50" w:name="_Toc12281520"/>
      <w:r>
        <w:rPr>
          <w:rFonts w:hint="eastAsia" w:ascii="宋体" w:hAnsi="宋体" w:cs="楷体"/>
          <w:b/>
          <w:szCs w:val="21"/>
        </w:rPr>
        <w:t>三、相关技术标准及规范</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投标人应严格按照下列技术标准及规范等相关标准（包括以下国内技术标准、规范及同行业相关经验，但不限于以下内容）执行，具体详见表四，以下标准如有更新，须按最新标准执行：</w:t>
      </w:r>
    </w:p>
    <w:tbl>
      <w:tblPr>
        <w:tblStyle w:val="46"/>
        <w:tblW w:w="8668" w:type="dxa"/>
        <w:jc w:val="center"/>
        <w:tblInd w:w="-282" w:type="dxa"/>
        <w:tblLayout w:type="fixed"/>
        <w:tblCellMar>
          <w:top w:w="15" w:type="dxa"/>
          <w:left w:w="15" w:type="dxa"/>
          <w:bottom w:w="15" w:type="dxa"/>
          <w:right w:w="15" w:type="dxa"/>
        </w:tblCellMar>
      </w:tblPr>
      <w:tblGrid>
        <w:gridCol w:w="604"/>
        <w:gridCol w:w="2977"/>
        <w:gridCol w:w="5087"/>
      </w:tblGrid>
      <w:tr>
        <w:tblPrEx>
          <w:tblLayout w:type="fixed"/>
          <w:tblCellMar>
            <w:top w:w="15" w:type="dxa"/>
            <w:left w:w="15" w:type="dxa"/>
            <w:bottom w:w="15" w:type="dxa"/>
            <w:right w:w="15" w:type="dxa"/>
          </w:tblCellMar>
        </w:tblPrEx>
        <w:trPr>
          <w:trHeight w:val="630" w:hRule="atLeast"/>
          <w:jc w:val="center"/>
        </w:trPr>
        <w:tc>
          <w:tcPr>
            <w:tcW w:w="86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仿宋"/>
                <w:b/>
                <w:color w:val="000000"/>
                <w:szCs w:val="21"/>
              </w:rPr>
            </w:pPr>
            <w:r>
              <w:rPr>
                <w:rFonts w:hint="eastAsia" w:ascii="宋体" w:hAnsi="宋体" w:cs="仿宋"/>
                <w:b/>
                <w:color w:val="000000"/>
                <w:szCs w:val="21"/>
              </w:rPr>
              <w:t>表四  标准汇总表</w:t>
            </w:r>
          </w:p>
        </w:tc>
      </w:tr>
      <w:tr>
        <w:tblPrEx>
          <w:tblLayout w:type="fixed"/>
          <w:tblCellMar>
            <w:top w:w="15" w:type="dxa"/>
            <w:left w:w="15" w:type="dxa"/>
            <w:bottom w:w="15" w:type="dxa"/>
            <w:right w:w="15" w:type="dxa"/>
          </w:tblCellMar>
        </w:tblPrEx>
        <w:trPr>
          <w:trHeight w:val="286"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标准代号</w:t>
            </w:r>
          </w:p>
        </w:tc>
        <w:tc>
          <w:tcPr>
            <w:tcW w:w="5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bCs/>
                <w:szCs w:val="21"/>
              </w:rPr>
            </w:pPr>
            <w:r>
              <w:rPr>
                <w:rFonts w:hint="eastAsia" w:ascii="宋体" w:hAnsi="宋体" w:cs="仿宋"/>
                <w:b/>
                <w:bCs/>
                <w:szCs w:val="21"/>
              </w:rPr>
              <w:t>标准名称</w:t>
            </w:r>
          </w:p>
        </w:tc>
      </w:tr>
      <w:tr>
        <w:tblPrEx>
          <w:tblLayout w:type="fixed"/>
          <w:tblCellMar>
            <w:top w:w="15" w:type="dxa"/>
            <w:left w:w="15" w:type="dxa"/>
            <w:bottom w:w="15" w:type="dxa"/>
            <w:right w:w="15" w:type="dxa"/>
          </w:tblCellMar>
        </w:tblPrEx>
        <w:trPr>
          <w:trHeight w:val="510"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1</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CGY/G-105-005-A/0</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运营公司承包商安全管理办法</w:t>
            </w:r>
          </w:p>
        </w:tc>
      </w:tr>
      <w:tr>
        <w:tblPrEx>
          <w:tblLayout w:type="fixed"/>
          <w:tblCellMar>
            <w:top w:w="15" w:type="dxa"/>
            <w:left w:w="15" w:type="dxa"/>
            <w:bottom w:w="15" w:type="dxa"/>
            <w:right w:w="15" w:type="dxa"/>
          </w:tblCellMar>
        </w:tblPrEx>
        <w:trPr>
          <w:trHeight w:val="510"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2</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CGY/G-108-003-A/0</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运营公司施工检修管理办法</w:t>
            </w:r>
          </w:p>
        </w:tc>
      </w:tr>
      <w:tr>
        <w:tblPrEx>
          <w:tblLayout w:type="fixed"/>
          <w:tblCellMar>
            <w:top w:w="15" w:type="dxa"/>
            <w:left w:w="15" w:type="dxa"/>
            <w:bottom w:w="15" w:type="dxa"/>
            <w:right w:w="15" w:type="dxa"/>
          </w:tblCellMar>
        </w:tblPrEx>
        <w:trPr>
          <w:trHeight w:val="637" w:hRule="atLeast"/>
          <w:jc w:val="center"/>
        </w:trPr>
        <w:tc>
          <w:tcPr>
            <w:tcW w:w="604"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3</w:t>
            </w:r>
          </w:p>
        </w:tc>
        <w:tc>
          <w:tcPr>
            <w:tcW w:w="297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长公内[2009]24号</w:t>
            </w:r>
          </w:p>
        </w:tc>
        <w:tc>
          <w:tcPr>
            <w:tcW w:w="5087"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仿宋"/>
                <w:szCs w:val="21"/>
              </w:rPr>
            </w:pPr>
            <w:r>
              <w:rPr>
                <w:rFonts w:hint="eastAsia" w:ascii="宋体" w:hAnsi="宋体" w:cs="仿宋"/>
                <w:szCs w:val="21"/>
              </w:rPr>
              <w:t>关于进一步加强金融单位头寸押运工作的通知</w:t>
            </w:r>
          </w:p>
        </w:tc>
      </w:tr>
    </w:tbl>
    <w:p>
      <w:pPr>
        <w:pStyle w:val="32"/>
        <w:tabs>
          <w:tab w:val="right" w:leader="dot" w:pos="8306"/>
        </w:tabs>
        <w:spacing w:line="360" w:lineRule="auto"/>
        <w:outlineLvl w:val="0"/>
        <w:rPr>
          <w:rFonts w:ascii="宋体" w:hAnsi="宋体" w:cs="楷体"/>
          <w:b/>
          <w:i/>
          <w:iCs/>
          <w:szCs w:val="21"/>
        </w:rPr>
      </w:pPr>
      <w:bookmarkStart w:id="51" w:name="_Toc12281521"/>
    </w:p>
    <w:p>
      <w:pPr>
        <w:pStyle w:val="32"/>
        <w:tabs>
          <w:tab w:val="right" w:leader="dot" w:pos="8306"/>
        </w:tabs>
        <w:adjustRightInd w:val="0"/>
        <w:snapToGrid w:val="0"/>
        <w:spacing w:line="360" w:lineRule="auto"/>
        <w:ind w:left="420"/>
        <w:outlineLvl w:val="9"/>
        <w:rPr>
          <w:rFonts w:ascii="宋体" w:hAnsi="宋体" w:cs="楷体"/>
          <w:b/>
          <w:i/>
          <w:iCs/>
          <w:szCs w:val="21"/>
        </w:rPr>
      </w:pPr>
      <w:r>
        <w:rPr>
          <w:rFonts w:hint="eastAsia" w:ascii="宋体" w:hAnsi="宋体" w:cs="楷体"/>
          <w:b/>
          <w:szCs w:val="21"/>
        </w:rPr>
        <w:t>四、项目管控要求</w:t>
      </w:r>
      <w:bookmarkEnd w:id="51"/>
    </w:p>
    <w:p>
      <w:pPr>
        <w:pStyle w:val="195"/>
        <w:framePr w:wrap="auto" w:vAnchor="margin" w:hAnchor="text" w:yAlign="inline"/>
        <w:widowControl/>
        <w:tabs>
          <w:tab w:val="left" w:pos="120"/>
        </w:tabs>
        <w:adjustRightInd w:val="0"/>
        <w:spacing w:line="360" w:lineRule="auto"/>
        <w:ind w:firstLine="422" w:firstLineChars="200"/>
        <w:textAlignment w:val="baseline"/>
        <w:outlineLvl w:val="9"/>
        <w:rPr>
          <w:u w:val="single"/>
        </w:rPr>
      </w:pPr>
      <w:bookmarkStart w:id="52" w:name="_Toc12281522"/>
      <w:r>
        <w:rPr>
          <w:rFonts w:hint="eastAsia"/>
          <w:b/>
          <w:bCs/>
        </w:rPr>
        <w:t>（一）★</w:t>
      </w:r>
      <w:r>
        <w:rPr>
          <w:rFonts w:hint="eastAsia"/>
          <w:u w:val="single"/>
        </w:rPr>
        <w:t>人员配备要求</w:t>
      </w:r>
      <w:bookmarkEnd w:id="52"/>
    </w:p>
    <w:p>
      <w:pPr>
        <w:spacing w:line="360" w:lineRule="auto"/>
        <w:ind w:firstLine="420" w:firstLineChars="200"/>
        <w:outlineLvl w:val="9"/>
        <w:rPr>
          <w:rFonts w:ascii="宋体" w:hAnsi="宋体" w:cs="仿宋_GB2312"/>
          <w:szCs w:val="21"/>
        </w:rPr>
      </w:pPr>
      <w:r>
        <w:rPr>
          <w:rFonts w:hint="eastAsia" w:ascii="宋体" w:hAnsi="宋体" w:cs="仿宋_GB2312"/>
          <w:szCs w:val="21"/>
          <w:u w:val="single"/>
        </w:rPr>
        <w:t>投标人安排人员对视频画面进行每周7×24小时监控，对票款押运过程进行实时监控，</w:t>
      </w:r>
      <w:r>
        <w:rPr>
          <w:rFonts w:hint="eastAsia" w:ascii="宋体" w:hAnsi="宋体" w:cs="仿宋_GB2312"/>
          <w:szCs w:val="21"/>
        </w:rPr>
        <w:t>服务过程中发生可疑情况及时通知招标人现场工作人员和押运车组负责人并拨打110进行报警。</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rFonts w:cs="仿宋_GB2312"/>
          <w:b/>
          <w:bCs/>
        </w:rPr>
      </w:pPr>
      <w:bookmarkStart w:id="53" w:name="_Toc12281523"/>
      <w:r>
        <w:rPr>
          <w:rFonts w:hint="eastAsia"/>
          <w:b/>
        </w:rPr>
        <w:t>（二）设备配备要求</w:t>
      </w:r>
      <w:bookmarkEnd w:id="53"/>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投标人要为现场作业人员提供必要的安全生产工器具及劳动防护用品。</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b/>
        </w:rPr>
      </w:pPr>
      <w:bookmarkStart w:id="54" w:name="_Toc12281524"/>
      <w:r>
        <w:rPr>
          <w:rFonts w:hint="eastAsia"/>
          <w:b/>
        </w:rPr>
        <w:t>（三）安全管理规定</w:t>
      </w:r>
      <w:bookmarkEnd w:id="54"/>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1.遵守招标人相关管理规章制度，与招标人签订《运营公司承包商安全生产协议》，按照招标人安全管理架构要求组建项目安全管理体系，并落实安全生产责任制。</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2.所有本项目现场设备作业人员要遵守招标人《运营公司施工检修管理办法》等施工管理规定，并必须按照施工规范、方案和各项安全操作规程进行作业。</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3.所有现场作业人员进场前必须接受招标人组织的安全教育，经考核合格后，方可参与作业。作业前由现场作业负责人员向作业人员进行安全技术交底，交底记录留底备查。</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4.投标人管理人员及作业人员应树立“安全第一、预防为主”的思想，做到“不违章指挥、不违章操作、不伤害自己、不被别人伤害”，提高安全防护意识和自我保护能力。</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5.所有投标人管理人员及作业人员要熟练掌握消防设备的性能和使用方法，但不得乱动消防器材。遵守劳动纪律，服从指挥，严禁在作业现场睡觉、嬉戏。作业现场杜绝火种，严禁烟火（吸烟）。</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6.投标人作业人员进入作业现场，必须按要求穿戴工作服及劳保用品；严禁赤脚或穿拖鞋和着装不整进入作业现场。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7.投标人作业负责人应严格执行运营公司请销点手续。作业完成后，应做好现场作业“三清”工作。</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8.各种电器设备和电力施工机械的金属外壳和金属支架均采用导线可靠接地。</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9.</w:t>
      </w:r>
      <w:r>
        <w:rPr>
          <w:rFonts w:ascii="宋体" w:hAnsi="宋体" w:cs="仿宋_GB2312"/>
          <w:szCs w:val="21"/>
        </w:rPr>
        <w:t>每台用电设备必须有各自专用的开关</w:t>
      </w:r>
      <w:r>
        <w:rPr>
          <w:rFonts w:hint="eastAsia" w:ascii="宋体" w:hAnsi="宋体" w:cs="仿宋_GB2312"/>
          <w:szCs w:val="21"/>
        </w:rPr>
        <w:t>器</w:t>
      </w:r>
      <w:r>
        <w:rPr>
          <w:rFonts w:ascii="宋体" w:hAnsi="宋体" w:cs="仿宋_GB2312"/>
          <w:szCs w:val="21"/>
        </w:rPr>
        <w:t>，严禁同一开关箱直接控制2台及2台以上设备</w:t>
      </w:r>
      <w:r>
        <w:rPr>
          <w:rFonts w:hint="eastAsia" w:ascii="宋体" w:hAnsi="宋体" w:cs="仿宋_GB2312"/>
          <w:szCs w:val="21"/>
        </w:rPr>
        <w:t>，严格按照“一箱</w:t>
      </w:r>
      <w:r>
        <w:rPr>
          <w:rFonts w:ascii="宋体" w:hAnsi="宋体" w:cs="仿宋_GB2312"/>
          <w:szCs w:val="21"/>
        </w:rPr>
        <w:t>一机一闸一漏</w:t>
      </w:r>
      <w:r>
        <w:rPr>
          <w:rFonts w:hint="eastAsia" w:ascii="宋体" w:hAnsi="宋体" w:cs="仿宋_GB2312"/>
          <w:szCs w:val="21"/>
        </w:rPr>
        <w:t>”(“</w:t>
      </w:r>
      <w:r>
        <w:rPr>
          <w:rFonts w:ascii="宋体" w:hAnsi="宋体" w:cs="仿宋_GB2312"/>
          <w:szCs w:val="21"/>
        </w:rPr>
        <w:t>一箱</w:t>
      </w:r>
      <w:r>
        <w:rPr>
          <w:rFonts w:hint="eastAsia" w:ascii="宋体" w:hAnsi="宋体" w:cs="仿宋_GB2312"/>
          <w:szCs w:val="21"/>
        </w:rPr>
        <w:t>”</w:t>
      </w:r>
      <w:r>
        <w:rPr>
          <w:rFonts w:ascii="宋体" w:hAnsi="宋体" w:cs="仿宋_GB2312"/>
          <w:szCs w:val="21"/>
        </w:rPr>
        <w:t>指一个专用开关箱，</w:t>
      </w:r>
      <w:r>
        <w:rPr>
          <w:rFonts w:hint="eastAsia" w:ascii="宋体" w:hAnsi="宋体" w:cs="仿宋_GB2312"/>
          <w:szCs w:val="21"/>
        </w:rPr>
        <w:t>“</w:t>
      </w:r>
      <w:r>
        <w:rPr>
          <w:rFonts w:ascii="宋体" w:hAnsi="宋体" w:cs="仿宋_GB2312"/>
          <w:szCs w:val="21"/>
        </w:rPr>
        <w:t>一机</w:t>
      </w:r>
      <w:r>
        <w:rPr>
          <w:rFonts w:hint="eastAsia" w:ascii="宋体" w:hAnsi="宋体" w:cs="仿宋_GB2312"/>
          <w:szCs w:val="21"/>
        </w:rPr>
        <w:t>”</w:t>
      </w:r>
      <w:r>
        <w:rPr>
          <w:rFonts w:ascii="宋体" w:hAnsi="宋体" w:cs="仿宋_GB2312"/>
          <w:szCs w:val="21"/>
        </w:rPr>
        <w:t>指一台用电设备，</w:t>
      </w:r>
      <w:r>
        <w:rPr>
          <w:rFonts w:hint="eastAsia" w:ascii="宋体" w:hAnsi="宋体" w:cs="仿宋_GB2312"/>
          <w:szCs w:val="21"/>
        </w:rPr>
        <w:t>“</w:t>
      </w:r>
      <w:r>
        <w:rPr>
          <w:rFonts w:ascii="宋体" w:hAnsi="宋体" w:cs="仿宋_GB2312"/>
          <w:szCs w:val="21"/>
        </w:rPr>
        <w:t>一闸</w:t>
      </w:r>
      <w:r>
        <w:rPr>
          <w:rFonts w:hint="eastAsia" w:ascii="宋体" w:hAnsi="宋体" w:cs="仿宋_GB2312"/>
          <w:szCs w:val="21"/>
        </w:rPr>
        <w:t>”</w:t>
      </w:r>
      <w:r>
        <w:rPr>
          <w:rFonts w:ascii="宋体" w:hAnsi="宋体" w:cs="仿宋_GB2312"/>
          <w:szCs w:val="21"/>
        </w:rPr>
        <w:t>指一条线路，</w:t>
      </w:r>
      <w:r>
        <w:rPr>
          <w:rFonts w:hint="eastAsia" w:ascii="宋体" w:hAnsi="宋体" w:cs="仿宋_GB2312"/>
          <w:szCs w:val="21"/>
        </w:rPr>
        <w:t>“</w:t>
      </w:r>
      <w:r>
        <w:rPr>
          <w:rFonts w:ascii="宋体" w:hAnsi="宋体" w:cs="仿宋_GB2312"/>
          <w:szCs w:val="21"/>
        </w:rPr>
        <w:t>一漏</w:t>
      </w:r>
      <w:r>
        <w:rPr>
          <w:rFonts w:hint="eastAsia" w:ascii="宋体" w:hAnsi="宋体" w:cs="仿宋_GB2312"/>
          <w:szCs w:val="21"/>
        </w:rPr>
        <w:t>”</w:t>
      </w:r>
      <w:r>
        <w:rPr>
          <w:rFonts w:ascii="宋体" w:hAnsi="宋体" w:cs="仿宋_GB2312"/>
          <w:szCs w:val="21"/>
        </w:rPr>
        <w:t>指一台漏电保护器</w:t>
      </w:r>
      <w:r>
        <w:rPr>
          <w:rFonts w:hint="eastAsia" w:ascii="宋体" w:hAnsi="宋体" w:cs="仿宋_GB2312"/>
          <w:szCs w:val="21"/>
        </w:rPr>
        <w:t>)</w:t>
      </w:r>
      <w:r>
        <w:rPr>
          <w:rFonts w:ascii="宋体" w:hAnsi="宋体" w:cs="仿宋_GB2312"/>
          <w:szCs w:val="21"/>
        </w:rPr>
        <w:t>。即每一开关箱只能联接控制一台与其相关的用电设备，包括一组不超过30A负荷的照明器。</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10.</w:t>
      </w:r>
      <w:r>
        <w:rPr>
          <w:rFonts w:hint="eastAsia" w:ascii="宋体" w:hAnsi="宋体"/>
          <w:b/>
          <w:bCs/>
          <w:szCs w:val="21"/>
        </w:rPr>
        <w:t>★</w:t>
      </w:r>
      <w:r>
        <w:rPr>
          <w:rFonts w:hint="eastAsia" w:ascii="宋体" w:hAnsi="宋体" w:cs="仿宋_GB2312"/>
          <w:szCs w:val="21"/>
          <w:u w:val="single"/>
        </w:rPr>
        <w:t>现场设备故障，投标人作业人员应在接到设备故障通知起60分钟内完成处理，特殊情况下故障恢复时间不超过24h，确保设备运行稳定可靠。</w:t>
      </w:r>
    </w:p>
    <w:p>
      <w:pPr>
        <w:pStyle w:val="195"/>
        <w:keepNext w:val="0"/>
        <w:keepLines w:val="0"/>
        <w:pageBreakBefore w:val="0"/>
        <w:framePr w:wrap="auto" w:vAnchor="margin" w:hAnchor="text" w:yAlign="inline"/>
        <w:widowControl/>
        <w:tabs>
          <w:tab w:val="left" w:pos="120"/>
        </w:tabs>
        <w:kinsoku/>
        <w:wordWrap/>
        <w:overflowPunct/>
        <w:topLinePunct w:val="0"/>
        <w:autoSpaceDE/>
        <w:autoSpaceDN/>
        <w:bidi w:val="0"/>
        <w:adjustRightInd w:val="0"/>
        <w:snapToGrid/>
        <w:spacing w:line="360" w:lineRule="auto"/>
        <w:ind w:left="0" w:firstLine="422" w:firstLineChars="200"/>
        <w:textAlignment w:val="baseline"/>
        <w:outlineLvl w:val="9"/>
        <w:rPr>
          <w:b/>
        </w:rPr>
      </w:pPr>
      <w:bookmarkStart w:id="55" w:name="_Toc12281525"/>
      <w:r>
        <w:rPr>
          <w:rFonts w:hint="eastAsia"/>
          <w:b/>
        </w:rPr>
        <w:t>（四）其他</w:t>
      </w:r>
      <w:bookmarkEnd w:id="55"/>
    </w:p>
    <w:p>
      <w:pPr>
        <w:keepNext w:val="0"/>
        <w:keepLines w:val="0"/>
        <w:pageBreakBefore w:val="0"/>
        <w:kinsoku/>
        <w:wordWrap/>
        <w:overflowPunct/>
        <w:topLinePunct w:val="0"/>
        <w:autoSpaceDE/>
        <w:autoSpaceDN/>
        <w:bidi w:val="0"/>
        <w:snapToGrid/>
        <w:spacing w:line="360" w:lineRule="auto"/>
        <w:ind w:left="0" w:firstLine="422" w:firstLineChars="200"/>
        <w:outlineLvl w:val="9"/>
        <w:rPr>
          <w:rFonts w:ascii="宋体" w:hAnsi="宋体" w:cs="仿宋_GB2312"/>
          <w:szCs w:val="21"/>
          <w:u w:val="single"/>
        </w:rPr>
      </w:pPr>
      <w:r>
        <w:rPr>
          <w:rFonts w:hint="eastAsia" w:ascii="宋体" w:hAnsi="宋体"/>
          <w:b/>
          <w:bCs/>
          <w:szCs w:val="21"/>
        </w:rPr>
        <w:t>★</w:t>
      </w:r>
      <w:r>
        <w:rPr>
          <w:rFonts w:hint="eastAsia" w:ascii="宋体" w:hAnsi="宋体" w:cs="仿宋_GB2312"/>
          <w:szCs w:val="21"/>
          <w:u w:val="single"/>
        </w:rPr>
        <w:t>投标人应具有保密意识。对参与票款押运的人员、车辆、时间、路线、押运物品、相关视频等机密事项，未经招标人许可，不得向任何第三方泄露。</w:t>
      </w:r>
    </w:p>
    <w:p>
      <w:pPr>
        <w:pStyle w:val="32"/>
        <w:keepNext w:val="0"/>
        <w:keepLines w:val="0"/>
        <w:pageBreakBefore w:val="0"/>
        <w:tabs>
          <w:tab w:val="right" w:leader="dot" w:pos="8306"/>
        </w:tabs>
        <w:kinsoku/>
        <w:wordWrap/>
        <w:overflowPunct/>
        <w:topLinePunct w:val="0"/>
        <w:autoSpaceDE/>
        <w:autoSpaceDN/>
        <w:bidi w:val="0"/>
        <w:snapToGrid/>
        <w:spacing w:line="360" w:lineRule="auto"/>
        <w:ind w:left="0" w:firstLine="422" w:firstLineChars="200"/>
        <w:outlineLvl w:val="9"/>
        <w:rPr>
          <w:rFonts w:ascii="宋体" w:hAnsi="宋体" w:cs="楷体"/>
          <w:b/>
          <w:i/>
          <w:iCs/>
          <w:szCs w:val="21"/>
        </w:rPr>
      </w:pPr>
      <w:bookmarkStart w:id="56" w:name="_Toc12281526"/>
      <w:r>
        <w:rPr>
          <w:rFonts w:hint="eastAsia" w:ascii="宋体" w:hAnsi="宋体" w:cs="楷体"/>
          <w:b/>
          <w:szCs w:val="21"/>
        </w:rPr>
        <w:t>五、项</w:t>
      </w:r>
      <w:bookmarkStart w:id="57" w:name="_Hlt2066523"/>
      <w:bookmarkStart w:id="58" w:name="_Hlt2066522"/>
      <w:r>
        <w:rPr>
          <w:rFonts w:hint="eastAsia" w:ascii="宋体" w:hAnsi="宋体" w:cs="楷体"/>
          <w:b/>
          <w:szCs w:val="21"/>
        </w:rPr>
        <w:t>目</w:t>
      </w:r>
      <w:bookmarkEnd w:id="57"/>
      <w:bookmarkEnd w:id="58"/>
      <w:r>
        <w:rPr>
          <w:rFonts w:hint="eastAsia" w:ascii="宋体" w:hAnsi="宋体" w:cs="楷体"/>
          <w:b/>
          <w:szCs w:val="21"/>
        </w:rPr>
        <w:t>实施要求</w:t>
      </w:r>
      <w:bookmarkEnd w:id="56"/>
    </w:p>
    <w:p>
      <w:pPr>
        <w:keepNext w:val="0"/>
        <w:keepLines w:val="0"/>
        <w:pageBreakBefore w:val="0"/>
        <w:kinsoku/>
        <w:wordWrap/>
        <w:overflowPunct/>
        <w:topLinePunct w:val="0"/>
        <w:autoSpaceDE/>
        <w:autoSpaceDN/>
        <w:bidi w:val="0"/>
        <w:snapToGrid/>
        <w:spacing w:line="360" w:lineRule="auto"/>
        <w:ind w:left="0" w:firstLine="422" w:firstLineChars="200"/>
        <w:outlineLvl w:val="9"/>
        <w:rPr>
          <w:rFonts w:ascii="宋体" w:hAnsi="宋体"/>
          <w:b/>
          <w:szCs w:val="21"/>
        </w:rPr>
      </w:pPr>
      <w:bookmarkStart w:id="59" w:name="_Toc12281527"/>
      <w:r>
        <w:rPr>
          <w:rFonts w:hint="eastAsia" w:ascii="宋体" w:hAnsi="宋体"/>
          <w:b/>
          <w:szCs w:val="21"/>
        </w:rPr>
        <w:t>（一）权利与义务</w:t>
      </w:r>
      <w:bookmarkEnd w:id="59"/>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bookmarkStart w:id="60" w:name="_Toc28195"/>
      <w:r>
        <w:rPr>
          <w:rFonts w:hint="eastAsia" w:ascii="宋体" w:hAnsi="宋体" w:cs="仿宋_GB2312"/>
          <w:szCs w:val="21"/>
        </w:rPr>
        <w:t>1.</w:t>
      </w:r>
      <w:bookmarkEnd w:id="60"/>
      <w:r>
        <w:rPr>
          <w:rFonts w:hint="eastAsia" w:ascii="宋体" w:hAnsi="宋体" w:cs="仿宋_GB2312"/>
          <w:szCs w:val="21"/>
        </w:rPr>
        <w:t>招标人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对投标人的监控服务情况和设备作业情况，进行定期或不定期的检查，如发现有不符合要求之处，应要求投标人进行整改。若不及时或拒绝整改的，招标人有权视情况给予相关处罚，并有权保留终止合同的权利。</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招标人应在投标人作业人员进场前组织其开展安全培训，并进行考核，考核合格，方允许其参与作业。</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招标人应为投标人作业人员进场作业提供必要的配合工作，并不定时对现场作业情况进行监督检查。</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bookmarkStart w:id="61" w:name="_Toc25257"/>
      <w:r>
        <w:rPr>
          <w:rFonts w:hint="eastAsia" w:ascii="宋体" w:hAnsi="宋体" w:cs="仿宋_GB2312"/>
          <w:szCs w:val="21"/>
        </w:rPr>
        <w:t>2.</w:t>
      </w:r>
      <w:bookmarkEnd w:id="61"/>
      <w:r>
        <w:rPr>
          <w:rFonts w:hint="eastAsia" w:ascii="宋体" w:hAnsi="宋体" w:cs="仿宋_GB2312"/>
          <w:szCs w:val="21"/>
        </w:rPr>
        <w:t>投标人</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投标人必须严格遵守国家及相关管理规定，如发生违规情况，招标人有权对投标人进行考核。</w:t>
      </w:r>
    </w:p>
    <w:p>
      <w:pPr>
        <w:keepNext w:val="0"/>
        <w:keepLines w:val="0"/>
        <w:pageBreakBefore w:val="0"/>
        <w:kinsoku/>
        <w:wordWrap/>
        <w:overflowPunct/>
        <w:topLinePunct w:val="0"/>
        <w:autoSpaceDE/>
        <w:autoSpaceDN/>
        <w:bidi w:val="0"/>
        <w:snapToGrid/>
        <w:spacing w:line="360" w:lineRule="auto"/>
        <w:ind w:left="0" w:firstLine="420" w:firstLineChars="200"/>
        <w:outlineLvl w:val="9"/>
        <w:rPr>
          <w:rFonts w:ascii="宋体" w:hAnsi="宋体" w:cs="仿宋_GB2312"/>
          <w:szCs w:val="21"/>
        </w:rPr>
      </w:pPr>
      <w:r>
        <w:rPr>
          <w:rFonts w:hint="eastAsia" w:ascii="宋体" w:hAnsi="宋体" w:cs="仿宋_GB2312"/>
          <w:szCs w:val="21"/>
        </w:rPr>
        <w:t>因投标人原因造成设备故障、客伤、招标人或第三方财产或人身损害的，除负责赔偿责任外，还需向招标人赔付由招标人依据安全事故的性质、受伤乘客的人数、受伤害的程度、招标人的名誉、形象受损的范围和程度等确定的金额，并承担招标人因此产生的诉讼费、律师费等一切费用及承担相关法律责任。</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投标人须重视上岗员工的思想教育以及服务意识的培训，不得出现因投标人作业人员的恶劣行为从而影响车站正常运营，否则招标人将追究投标人的相应责任。</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ascii="宋体" w:hAnsi="宋体"/>
          <w:b/>
          <w:szCs w:val="21"/>
        </w:rPr>
      </w:pPr>
      <w:bookmarkStart w:id="62" w:name="_Toc12281528"/>
      <w:r>
        <w:rPr>
          <w:rFonts w:hint="eastAsia" w:ascii="宋体" w:hAnsi="宋体"/>
          <w:b/>
          <w:szCs w:val="21"/>
        </w:rPr>
        <w:t>（二）项目实施内容</w:t>
      </w:r>
      <w:bookmarkEnd w:id="62"/>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1.本项目在5号线试运营前一个月内完成报警设备初装、视频监控和联网报警线路及平台接入。其中，前端网络传输设备、前端存储设备及相关对接线缆由投标人负责提供并安装布放；上门收款点前端摄像头由招标人提供。投标人负责完成联网报警设备的初装，初装费用由招标人负责。</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2.若本合同到期后，招标人未提出续签合同要求的，投标人可决定其投资的设备撤留，如撤走应在5个工作日内完成，撤走时应保留相关线缆，并配合新的单位完成监控平台的接入，方可进行项目履约验收。所有设备费用(含设备维修更换费用)均已包含在项目总价中，招标人不再为此支付任何费用。逾期未按要求撤走的设备，招标人自本合同到期后第6个工作日开始有权自行处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3.投标人提供的2路视频（票务室视频和押运出入口视频）前端存储设备应满足90天存储要求。</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4.投标人应对采购范围中所列站点2路视频（票务室视频和押运出入口视频）进行票款押运过程视频监控服务；对采购范围中所列站点票务室进行24小时不间断联网报警服务；每半年提供一次全过程监控记录报请招标人确认。</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仿宋_GB2312"/>
          <w:szCs w:val="21"/>
        </w:rPr>
      </w:pPr>
      <w:r>
        <w:rPr>
          <w:rFonts w:hint="eastAsia" w:ascii="宋体" w:hAnsi="宋体" w:cs="仿宋_GB2312"/>
          <w:szCs w:val="21"/>
        </w:rPr>
        <w:t>5.本项目服务期内解码器外侧视频监控和联网报警相关设备维护和更换均由投标人负责，且因此过程中导致监控不力所造成的损失由投标人负责。在本项目服务期的最后一个月，投标人应对本项目的视频监控和联网报警相关设备组织一次全面排查，对排查出的故障进行及时修复。</w:t>
      </w:r>
      <w:bookmarkStart w:id="63" w:name="_Toc12281529"/>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outlineLvl w:val="9"/>
        <w:rPr>
          <w:rFonts w:ascii="宋体" w:hAnsi="宋体"/>
          <w:b/>
          <w:szCs w:val="21"/>
        </w:rPr>
      </w:pPr>
      <w:r>
        <w:rPr>
          <w:rFonts w:hint="eastAsia" w:ascii="宋体" w:hAnsi="宋体"/>
          <w:b/>
          <w:szCs w:val="21"/>
        </w:rPr>
        <w:t>（三）设备分界</w:t>
      </w:r>
      <w:bookmarkEnd w:id="63"/>
    </w:p>
    <w:p>
      <w:pPr>
        <w:spacing w:line="360" w:lineRule="auto"/>
        <w:jc w:val="center"/>
        <w:outlineLvl w:val="1"/>
        <w:rPr>
          <w:rFonts w:ascii="宋体" w:hAnsi="宋体"/>
          <w:szCs w:val="21"/>
        </w:rPr>
      </w:pPr>
      <w:r>
        <w:rPr>
          <w:rFonts w:ascii="宋体" w:hAnsi="宋体"/>
          <w:szCs w:val="21"/>
        </w:rPr>
        <w:pict>
          <v:group id="组合 17" o:spid="_x0000_s1044" o:spt="203" style="height:170.05pt;width:419.75pt;" coordorigin="7360,2793" coordsize="7980,3684">
            <o:lock v:ext="edit"/>
            <v:group id="组合 34" o:spid="_x0000_s1045" o:spt="203" style="position:absolute;left:7360;top:2793;height:3684;width:7981;" coordorigin="2209,2480" coordsize="7981,3684"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v:shape id="图片 2" o:spid="_x0000_s1046" o:spt="75" type="#_x0000_t75" style="position:absolute;left:2209;top:2480;height:3493;width:7924;" filled="f" o:preferrelative="t" stroked="f" coordsize="21600,21600" o:gfxdata="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gOxC8AAAA&#10;2gAAAA8AAAAAAAAAAQAgAAAAIgAAAGRycy9kb3ducmV2LnhtbFBLAQIUABQAAAAIAIdO4kAzLwWe&#10;OwAAADkAAAAQAAAAAAAAAAEAIAAAAAsBAABkcnMvc2hhcGV4bWwueG1sUEsFBgAAAAAGAAYAWwEA&#10;ALUDAAAAAA==&#10;">
                <v:path/>
                <v:fill on="f" focussize="0,0"/>
                <v:stroke on="f" joinstyle="miter"/>
                <v:imagedata r:id="rId11" o:title=""/>
                <o:lock v:ext="edit" aspectratio="t"/>
              </v:shape>
              <v:group id="组合 33" o:spid="_x0000_s1047" o:spt="203" style="position:absolute;left:2212;top:2586;height:3578;width:7978;" coordorigin="2212,2586" coordsize="7978,3578"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v:shape id="_x0000_s1048" o:spid="_x0000_s1048" o:spt="202" type="#_x0000_t202" style="position:absolute;left:2407;top:2753;height:483;width:1063;"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path/>
                  <v:fill focussize="0,0"/>
                  <v:stroke joinstyle="miter"/>
                  <v:imagedata o:title=""/>
                  <o:lock v:ext="edit"/>
                  <v:textbox>
                    <w:txbxContent>
                      <w:p>
                        <w:pPr>
                          <w:jc w:val="center"/>
                          <w:rPr>
                            <w:rFonts w:eastAsiaTheme="minorEastAsia"/>
                          </w:rPr>
                        </w:pPr>
                        <w:r>
                          <w:rPr>
                            <w:rFonts w:hint="eastAsia"/>
                          </w:rPr>
                          <w:t>投标人</w:t>
                        </w:r>
                      </w:p>
                    </w:txbxContent>
                  </v:textbox>
                </v:shape>
                <v:shape id="_x0000_s1049" o:spid="_x0000_s1049" o:spt="202" type="#_x0000_t202" style="position:absolute;left:8982;top:5555;height:483;width:1063;"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path/>
                  <v:fill focussize="0,0"/>
                  <v:stroke joinstyle="miter"/>
                  <v:imagedata o:title=""/>
                  <o:lock v:ext="edit"/>
                  <v:textbox>
                    <w:txbxContent>
                      <w:p>
                        <w:pPr>
                          <w:jc w:val="center"/>
                          <w:rPr>
                            <w:rFonts w:eastAsiaTheme="minorEastAsia"/>
                          </w:rPr>
                        </w:pPr>
                        <w:r>
                          <w:rPr>
                            <w:rFonts w:hint="eastAsia"/>
                          </w:rPr>
                          <w:t>招标人</w:t>
                        </w:r>
                      </w:p>
                    </w:txbxContent>
                  </v:textbox>
                </v:shape>
                <v:group id="组合 32" o:spid="_x0000_s1050" o:spt="203" style="position:absolute;left:2212;top:2586;height:3578;width:7978;" coordorigin="2212,2586" coordsize="7978,357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v:rect id="_x0000_s1051" o:spid="_x0000_s1051" o:spt="1" style="position:absolute;left:2224;top:2586;height:3578;width:7967;v-text-anchor:middle;" filled="f" coordsize="21600,21600" o:gfxdata="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TUqe/&#10;AAAA2wAAAA8AAAAAAAAAAQAgAAAAIgAAAGRycy9kb3ducmV2LnhtbFBLAQIUABQAAAAIAIdO4kAz&#10;LwWeOwAAADkAAAAQAAAAAAAAAAEAIAAAAA4BAABkcnMvc2hhcGV4bWwueG1sUEsFBgAAAAAGAAYA&#10;WwEAALgDAAAAAA==&#10;">
                    <v:path/>
                    <v:fill on="f" focussize="0,0"/>
                    <v:stroke weight="2pt" joinstyle="round"/>
                    <v:imagedata o:title=""/>
                    <o:lock v:ext="edit"/>
                  </v:rect>
                  <v:line id="直接连接符 28" o:spid="_x0000_s1052" o:spt="20" style="position:absolute;left:2212;top:4859;height:12;width:5100;"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path arrowok="t"/>
                    <v:fill focussize="0,0"/>
                    <v:stroke/>
                    <v:imagedata o:title=""/>
                    <o:lock v:ext="edit"/>
                  </v:line>
                  <v:line id="直接连接符 29" o:spid="_x0000_s1053" o:spt="20" style="position:absolute;left:7298;top:2588;height:2275;width:0;"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path arrowok="t"/>
                    <v:fill focussize="0,0"/>
                    <v:stroke/>
                    <v:imagedata o:title=""/>
                    <o:lock v:ext="edit"/>
                  </v:line>
                </v:group>
              </v:group>
            </v:group>
            <v:shape id="文本框 1" o:spid="_x0000_s1054" o:spt="202" type="#_x0000_t202" style="position:absolute;left:11236;top:5874;height:483;width:1063;"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path/>
              <v:fill focussize="0,0"/>
              <v:stroke joinstyle="miter"/>
              <v:imagedata o:title=""/>
              <o:lock v:ext="edit"/>
              <v:textbox>
                <w:txbxContent>
                  <w:p>
                    <w:pPr>
                      <w:jc w:val="center"/>
                      <w:rPr>
                        <w:rFonts w:eastAsiaTheme="minorEastAsia"/>
                      </w:rPr>
                    </w:pPr>
                    <w:r>
                      <w:rPr>
                        <w:rFonts w:hint="eastAsia"/>
                      </w:rPr>
                      <w:t>招标人</w:t>
                    </w:r>
                  </w:p>
                </w:txbxContent>
              </v:textbox>
            </v:shape>
            <w10:wrap type="none"/>
            <w10:anchorlock/>
          </v:group>
        </w:pict>
      </w:r>
    </w:p>
    <w:p>
      <w:pPr>
        <w:spacing w:line="360" w:lineRule="auto"/>
        <w:jc w:val="center"/>
        <w:outlineLvl w:val="9"/>
        <w:rPr>
          <w:rFonts w:ascii="宋体" w:hAnsi="宋体"/>
          <w:szCs w:val="21"/>
        </w:rPr>
      </w:pPr>
      <w:r>
        <w:rPr>
          <w:rFonts w:hint="eastAsia" w:ascii="宋体" w:hAnsi="宋体"/>
          <w:szCs w:val="21"/>
        </w:rPr>
        <w:t>图1  设备分界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设备分界如图1所示，专用通信设备室解码器外侧为分界，解码器外侧视频监控和联网报警相关设备由投标人负责提供、安装、调试及服务期内故障维护。解码器外侧视频监控设备产权归投标人所有，联网报警设备产权归招标人所有。设备分界图中联网报警设备、传输设备、录像存储设备、解码器之间的连接线缆，其产权归招标人所有，服务期内的所有故障维护由投标人负责。解码器及解码器内侧部分由招标人负责。具体分界如表五：</w:t>
      </w:r>
    </w:p>
    <w:tbl>
      <w:tblPr>
        <w:tblStyle w:val="47"/>
        <w:tblW w:w="8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15"/>
        <w:gridCol w:w="2600"/>
        <w:gridCol w:w="1547"/>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8514" w:type="dxa"/>
            <w:gridSpan w:val="5"/>
            <w:vAlign w:val="center"/>
          </w:tcPr>
          <w:p>
            <w:pPr>
              <w:jc w:val="center"/>
              <w:rPr>
                <w:b/>
              </w:rPr>
            </w:pPr>
            <w:r>
              <w:rPr>
                <w:rFonts w:hint="eastAsia"/>
                <w:b/>
              </w:rPr>
              <w:t>表五</w:t>
            </w:r>
            <w:r>
              <w:rPr>
                <w:rFonts w:hint="eastAsia"/>
                <w:b/>
                <w:lang w:val="en-US" w:eastAsia="zh-CN"/>
              </w:rPr>
              <w:t xml:space="preserve"> </w:t>
            </w:r>
            <w:r>
              <w:rPr>
                <w:rFonts w:hint="eastAsia"/>
                <w:b/>
              </w:rPr>
              <w:t xml:space="preserve"> 设备线缆分界表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序号</w:t>
            </w:r>
          </w:p>
        </w:tc>
        <w:tc>
          <w:tcPr>
            <w:tcW w:w="2715" w:type="dxa"/>
            <w:vAlign w:val="center"/>
          </w:tcPr>
          <w:p>
            <w:pPr>
              <w:jc w:val="center"/>
            </w:pPr>
            <w:r>
              <w:rPr>
                <w:rFonts w:hint="eastAsia"/>
              </w:rPr>
              <w:t>设备名称</w:t>
            </w:r>
          </w:p>
        </w:tc>
        <w:tc>
          <w:tcPr>
            <w:tcW w:w="2600" w:type="dxa"/>
            <w:vAlign w:val="center"/>
          </w:tcPr>
          <w:p>
            <w:pPr>
              <w:jc w:val="center"/>
            </w:pPr>
            <w:r>
              <w:rPr>
                <w:rFonts w:hint="eastAsia"/>
              </w:rPr>
              <w:t>安装、调试、维护</w:t>
            </w:r>
          </w:p>
        </w:tc>
        <w:tc>
          <w:tcPr>
            <w:tcW w:w="1547" w:type="dxa"/>
            <w:vAlign w:val="center"/>
          </w:tcPr>
          <w:p>
            <w:pPr>
              <w:jc w:val="center"/>
            </w:pPr>
            <w:r>
              <w:rPr>
                <w:rFonts w:hint="eastAsia"/>
              </w:rPr>
              <w:t>产权归属</w:t>
            </w:r>
          </w:p>
        </w:tc>
        <w:tc>
          <w:tcPr>
            <w:tcW w:w="832"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1</w:t>
            </w:r>
          </w:p>
        </w:tc>
        <w:tc>
          <w:tcPr>
            <w:tcW w:w="2715" w:type="dxa"/>
            <w:vAlign w:val="center"/>
          </w:tcPr>
          <w:p>
            <w:pPr>
              <w:jc w:val="center"/>
            </w:pPr>
            <w:r>
              <w:rPr>
                <w:rFonts w:hint="eastAsia"/>
              </w:rPr>
              <w:t>解码器</w:t>
            </w:r>
          </w:p>
        </w:tc>
        <w:tc>
          <w:tcPr>
            <w:tcW w:w="2600" w:type="dxa"/>
            <w:vAlign w:val="center"/>
          </w:tcPr>
          <w:p>
            <w:pPr>
              <w:jc w:val="center"/>
            </w:pPr>
            <w:r>
              <w:rPr>
                <w:rFonts w:hint="eastAsia"/>
              </w:rPr>
              <w:t>招标人</w:t>
            </w:r>
          </w:p>
        </w:tc>
        <w:tc>
          <w:tcPr>
            <w:tcW w:w="1547" w:type="dxa"/>
            <w:vAlign w:val="center"/>
          </w:tcPr>
          <w:p>
            <w:pPr>
              <w:jc w:val="center"/>
            </w:pPr>
            <w:r>
              <w:rPr>
                <w:rFonts w:hint="eastAsia"/>
              </w:rPr>
              <w:t>招标人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20" w:type="dxa"/>
            <w:vAlign w:val="center"/>
          </w:tcPr>
          <w:p>
            <w:pPr>
              <w:jc w:val="center"/>
            </w:pPr>
            <w:r>
              <w:rPr>
                <w:rFonts w:hint="eastAsia"/>
              </w:rPr>
              <w:t>2</w:t>
            </w:r>
          </w:p>
        </w:tc>
        <w:tc>
          <w:tcPr>
            <w:tcW w:w="2715" w:type="dxa"/>
            <w:vAlign w:val="center"/>
          </w:tcPr>
          <w:p>
            <w:pPr>
              <w:jc w:val="center"/>
            </w:pPr>
            <w:r>
              <w:rPr>
                <w:rFonts w:hint="eastAsia"/>
              </w:rPr>
              <w:t>联网报警</w:t>
            </w:r>
          </w:p>
        </w:tc>
        <w:tc>
          <w:tcPr>
            <w:tcW w:w="2600" w:type="dxa"/>
            <w:vAlign w:val="center"/>
          </w:tcPr>
          <w:p>
            <w:pPr>
              <w:jc w:val="center"/>
            </w:pPr>
            <w:r>
              <w:rPr>
                <w:rFonts w:hint="eastAsia"/>
              </w:rPr>
              <w:t>投标人</w:t>
            </w:r>
          </w:p>
        </w:tc>
        <w:tc>
          <w:tcPr>
            <w:tcW w:w="1547" w:type="dxa"/>
            <w:vAlign w:val="center"/>
          </w:tcPr>
          <w:p>
            <w:pPr>
              <w:jc w:val="center"/>
            </w:pPr>
            <w:r>
              <w:rPr>
                <w:rFonts w:hint="eastAsia"/>
              </w:rPr>
              <w:t>招标人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20" w:type="dxa"/>
            <w:vAlign w:val="center"/>
          </w:tcPr>
          <w:p>
            <w:pPr>
              <w:jc w:val="center"/>
            </w:pPr>
            <w:r>
              <w:rPr>
                <w:rFonts w:hint="eastAsia"/>
              </w:rPr>
              <w:t>3</w:t>
            </w:r>
          </w:p>
        </w:tc>
        <w:tc>
          <w:tcPr>
            <w:tcW w:w="2715" w:type="dxa"/>
            <w:vAlign w:val="center"/>
          </w:tcPr>
          <w:p>
            <w:pPr>
              <w:jc w:val="center"/>
            </w:pPr>
            <w:r>
              <w:rPr>
                <w:rFonts w:hint="eastAsia"/>
              </w:rPr>
              <w:t>传输设备</w:t>
            </w:r>
          </w:p>
        </w:tc>
        <w:tc>
          <w:tcPr>
            <w:tcW w:w="2600" w:type="dxa"/>
            <w:vAlign w:val="center"/>
          </w:tcPr>
          <w:p>
            <w:pPr>
              <w:jc w:val="center"/>
            </w:pPr>
            <w:r>
              <w:rPr>
                <w:rFonts w:hint="eastAsia"/>
              </w:rPr>
              <w:t>投标人</w:t>
            </w:r>
          </w:p>
        </w:tc>
        <w:tc>
          <w:tcPr>
            <w:tcW w:w="1547" w:type="dxa"/>
            <w:vAlign w:val="center"/>
          </w:tcPr>
          <w:p>
            <w:pPr>
              <w:jc w:val="center"/>
            </w:pPr>
            <w:r>
              <w:rPr>
                <w:rFonts w:hint="eastAsia"/>
              </w:rPr>
              <w:t>投标人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4</w:t>
            </w:r>
          </w:p>
        </w:tc>
        <w:tc>
          <w:tcPr>
            <w:tcW w:w="2715" w:type="dxa"/>
            <w:vAlign w:val="center"/>
          </w:tcPr>
          <w:p>
            <w:pPr>
              <w:jc w:val="center"/>
            </w:pPr>
            <w:r>
              <w:rPr>
                <w:rFonts w:hint="eastAsia"/>
              </w:rPr>
              <w:t>录像存储设备</w:t>
            </w:r>
          </w:p>
        </w:tc>
        <w:tc>
          <w:tcPr>
            <w:tcW w:w="2600" w:type="dxa"/>
            <w:vAlign w:val="center"/>
          </w:tcPr>
          <w:p>
            <w:pPr>
              <w:jc w:val="center"/>
            </w:pPr>
            <w:r>
              <w:rPr>
                <w:rFonts w:hint="eastAsia"/>
              </w:rPr>
              <w:t>投标人</w:t>
            </w:r>
          </w:p>
        </w:tc>
        <w:tc>
          <w:tcPr>
            <w:tcW w:w="1547" w:type="dxa"/>
            <w:vAlign w:val="center"/>
          </w:tcPr>
          <w:p>
            <w:pPr>
              <w:jc w:val="center"/>
            </w:pPr>
            <w:r>
              <w:rPr>
                <w:rFonts w:hint="eastAsia"/>
              </w:rPr>
              <w:t>投标人</w:t>
            </w:r>
          </w:p>
        </w:tc>
        <w:tc>
          <w:tcPr>
            <w:tcW w:w="83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20" w:type="dxa"/>
            <w:vAlign w:val="center"/>
          </w:tcPr>
          <w:p>
            <w:pPr>
              <w:jc w:val="center"/>
            </w:pPr>
            <w:r>
              <w:rPr>
                <w:rFonts w:hint="eastAsia"/>
              </w:rPr>
              <w:t>5</w:t>
            </w:r>
          </w:p>
        </w:tc>
        <w:tc>
          <w:tcPr>
            <w:tcW w:w="2715" w:type="dxa"/>
            <w:vAlign w:val="center"/>
          </w:tcPr>
          <w:p>
            <w:pPr>
              <w:jc w:val="center"/>
            </w:pPr>
            <w:r>
              <w:rPr>
                <w:rFonts w:hint="eastAsia"/>
              </w:rPr>
              <w:t>同轴电缆、网线</w:t>
            </w:r>
          </w:p>
        </w:tc>
        <w:tc>
          <w:tcPr>
            <w:tcW w:w="2600" w:type="dxa"/>
            <w:vAlign w:val="center"/>
          </w:tcPr>
          <w:p>
            <w:pPr>
              <w:jc w:val="center"/>
            </w:pPr>
            <w:r>
              <w:rPr>
                <w:rFonts w:hint="eastAsia"/>
              </w:rPr>
              <w:t>投标人</w:t>
            </w:r>
          </w:p>
        </w:tc>
        <w:tc>
          <w:tcPr>
            <w:tcW w:w="1547" w:type="dxa"/>
            <w:vAlign w:val="center"/>
          </w:tcPr>
          <w:p>
            <w:pPr>
              <w:jc w:val="center"/>
            </w:pPr>
            <w:r>
              <w:rPr>
                <w:rFonts w:hint="eastAsia"/>
              </w:rPr>
              <w:t>招标人</w:t>
            </w:r>
          </w:p>
        </w:tc>
        <w:tc>
          <w:tcPr>
            <w:tcW w:w="832" w:type="dxa"/>
            <w:vAlign w:val="center"/>
          </w:tcPr>
          <w:p>
            <w:pPr>
              <w:jc w:val="center"/>
            </w:pPr>
          </w:p>
        </w:tc>
      </w:tr>
    </w:tbl>
    <w:p>
      <w:pPr>
        <w:pStyle w:val="32"/>
        <w:tabs>
          <w:tab w:val="right" w:leader="dot" w:pos="8306"/>
        </w:tabs>
        <w:spacing w:line="360" w:lineRule="auto"/>
        <w:ind w:firstLine="422" w:firstLineChars="200"/>
        <w:outlineLvl w:val="0"/>
        <w:rPr>
          <w:rFonts w:ascii="宋体" w:hAnsi="宋体"/>
          <w:b/>
          <w:i/>
          <w:iCs/>
          <w:szCs w:val="21"/>
        </w:rPr>
      </w:pPr>
    </w:p>
    <w:p>
      <w:pPr>
        <w:pStyle w:val="3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ascii="宋体" w:hAnsi="宋体" w:cs="黑体"/>
          <w:b/>
          <w:i/>
          <w:iCs/>
          <w:szCs w:val="21"/>
        </w:rPr>
      </w:pPr>
      <w:r>
        <w:fldChar w:fldCharType="begin"/>
      </w:r>
      <w:r>
        <w:instrText xml:space="preserve"> HYPERLINK \l "_Toc28783" </w:instrText>
      </w:r>
      <w:r>
        <w:fldChar w:fldCharType="separate"/>
      </w:r>
      <w:bookmarkStart w:id="64" w:name="_Toc12281530"/>
      <w:r>
        <w:rPr>
          <w:rFonts w:hint="eastAsia" w:ascii="宋体" w:hAnsi="宋体" w:cs="黑体"/>
          <w:b/>
          <w:szCs w:val="21"/>
        </w:rPr>
        <w:t>六、项目验收</w:t>
      </w:r>
      <w:bookmarkEnd w:id="64"/>
      <w:r>
        <w:rPr>
          <w:rFonts w:hint="eastAsia" w:ascii="宋体" w:hAnsi="宋体" w:cs="黑体"/>
          <w:b/>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5" w:name="_Toc12281531"/>
      <w:r>
        <w:rPr>
          <w:rFonts w:hint="eastAsia" w:ascii="宋体" w:hAnsi="宋体"/>
          <w:szCs w:val="21"/>
        </w:rPr>
        <w:t>（一）验收小组</w:t>
      </w:r>
      <w:bookmarkEnd w:id="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验收小组由招标人相关人员组成，成员不少于3人。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6" w:name="_Toc12281532"/>
      <w:r>
        <w:rPr>
          <w:rFonts w:hint="eastAsia" w:ascii="宋体" w:hAnsi="宋体"/>
          <w:szCs w:val="21"/>
        </w:rPr>
        <w:t>（二）验收周期</w:t>
      </w:r>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此服务项目半年验收一次，投标人须提供服务周期内的服务报告、投标人服务单等招标人所需资料进行验收，招标人将安排人员在服务周期内不定期对服务质量进行抽查，发现不符合服务质量要求的内容将对投标人进行考核，考核标准参考质量考核标准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Cs w:val="21"/>
        </w:rPr>
      </w:pPr>
      <w:bookmarkStart w:id="67" w:name="_Toc12281533"/>
      <w:r>
        <w:rPr>
          <w:rFonts w:hint="eastAsia" w:ascii="宋体" w:hAnsi="宋体"/>
          <w:szCs w:val="21"/>
        </w:rPr>
        <w:t>（三）验收标准</w:t>
      </w:r>
      <w:bookmarkEnd w:id="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1.招标人有权根据合同规定的服务范围、内容以及合同附件对投标人提供的服务进行验收并进行不定期检查，所有服务应符合合同、竞争性谈判文件及《运营公司承包商安全管理办法》等文件的要求。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2.招标人有权安排专人全面检查并根据现场实际情况要求投标人现场整改或按照《整改通知书》的要求跟进处理。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3.投标人管理人员针对本项目提供的服务不少于4次现场检查，检查的记录留底备查。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4.投标人按照要求在服务周期结束后的5个工作日内以书面形式提交验收资料，相关报告经招标人确认达到合同要求的技术及质量标准，且服务过程中未发生发现可疑情况而没有及时通知招标人现场工作人员和押运组负责人并及时拨打110进行报警的情形，视为验收合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stheme="minorEastAsia"/>
          <w:szCs w:val="21"/>
        </w:rPr>
      </w:pPr>
      <w:r>
        <w:rPr>
          <w:rFonts w:hint="eastAsia" w:ascii="宋体" w:hAnsi="宋体" w:cs="仿宋_GB2312"/>
          <w:szCs w:val="21"/>
        </w:rPr>
        <w:t>5.</w:t>
      </w:r>
      <w:bookmarkStart w:id="68" w:name="_Toc30358"/>
      <w:bookmarkStart w:id="69" w:name="_Toc2952103"/>
      <w:bookmarkStart w:id="70" w:name="_Toc2935114"/>
      <w:bookmarkStart w:id="71" w:name="_Toc3219723"/>
      <w:r>
        <w:rPr>
          <w:rFonts w:hint="eastAsia" w:ascii="宋体" w:hAnsi="宋体" w:cs="仿宋_GB2312"/>
          <w:szCs w:val="21"/>
        </w:rPr>
        <w:t>招标人根据以下验收资料进行验收（包括但不限于）</w:t>
      </w:r>
      <w:bookmarkEnd w:id="68"/>
      <w:bookmarkEnd w:id="69"/>
      <w:bookmarkEnd w:id="70"/>
      <w:bookmarkEnd w:id="71"/>
      <w:r>
        <w:rPr>
          <w:rFonts w:hint="eastAsia" w:ascii="宋体" w:hAnsi="宋体" w:cs="仿宋_GB2312"/>
          <w:szCs w:val="21"/>
        </w:rPr>
        <w:t>。验收资料清单详见表六：</w:t>
      </w:r>
    </w:p>
    <w:tbl>
      <w:tblPr>
        <w:tblStyle w:val="46"/>
        <w:tblW w:w="8819" w:type="dxa"/>
        <w:jc w:val="center"/>
        <w:tblInd w:w="1157" w:type="dxa"/>
        <w:tblLayout w:type="fixed"/>
        <w:tblCellMar>
          <w:top w:w="0" w:type="dxa"/>
          <w:left w:w="108" w:type="dxa"/>
          <w:bottom w:w="0" w:type="dxa"/>
          <w:right w:w="108" w:type="dxa"/>
        </w:tblCellMar>
      </w:tblPr>
      <w:tblGrid>
        <w:gridCol w:w="825"/>
        <w:gridCol w:w="2303"/>
        <w:gridCol w:w="5691"/>
      </w:tblGrid>
      <w:tr>
        <w:tblPrEx>
          <w:tblLayout w:type="fixed"/>
          <w:tblCellMar>
            <w:top w:w="0" w:type="dxa"/>
            <w:left w:w="108" w:type="dxa"/>
            <w:bottom w:w="0" w:type="dxa"/>
            <w:right w:w="108" w:type="dxa"/>
          </w:tblCellMar>
        </w:tblPrEx>
        <w:trPr>
          <w:trHeight w:val="540" w:hRule="atLeast"/>
          <w:jc w:val="center"/>
        </w:trPr>
        <w:tc>
          <w:tcPr>
            <w:tcW w:w="881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theme="minorEastAsia"/>
                <w:b/>
                <w:bCs/>
                <w:color w:val="000000"/>
                <w:szCs w:val="21"/>
              </w:rPr>
            </w:pPr>
            <w:r>
              <w:rPr>
                <w:rFonts w:hint="eastAsia" w:ascii="宋体" w:hAnsi="宋体" w:cs="仿宋"/>
                <w:b/>
                <w:bCs/>
                <w:color w:val="000000"/>
                <w:szCs w:val="21"/>
              </w:rPr>
              <w:t>表六  验收标准表</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序号</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验收内容</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b/>
                <w:color w:val="000000"/>
                <w:szCs w:val="21"/>
              </w:rPr>
            </w:pPr>
            <w:r>
              <w:rPr>
                <w:rFonts w:hint="eastAsia" w:ascii="宋体" w:hAnsi="宋体" w:cs="仿宋"/>
                <w:b/>
                <w:color w:val="000000"/>
                <w:szCs w:val="21"/>
              </w:rPr>
              <w:t>验收标准</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1</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服务报告</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设备可用性指标、故障分析</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2</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测试报告</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设备联网告警功能正常</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3</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故障恢复</w:t>
            </w:r>
          </w:p>
        </w:tc>
        <w:tc>
          <w:tcPr>
            <w:tcW w:w="5691" w:type="dxa"/>
            <w:tcBorders>
              <w:top w:val="nil"/>
              <w:left w:val="nil"/>
              <w:bottom w:val="single" w:color="000000" w:sz="8" w:space="0"/>
              <w:right w:val="single" w:color="000000" w:sz="8" w:space="0"/>
            </w:tcBorders>
            <w:shd w:val="clear" w:color="auto" w:fill="auto"/>
            <w:noWrap/>
            <w:vAlign w:val="center"/>
          </w:tcPr>
          <w:p>
            <w:pPr>
              <w:widowControl/>
              <w:rPr>
                <w:rFonts w:ascii="宋体" w:hAnsi="宋体" w:cs="仿宋"/>
                <w:color w:val="000000"/>
                <w:szCs w:val="21"/>
              </w:rPr>
            </w:pPr>
            <w:r>
              <w:rPr>
                <w:rFonts w:hint="eastAsia" w:ascii="宋体" w:hAnsi="宋体" w:cs="仿宋"/>
                <w:color w:val="000000"/>
                <w:szCs w:val="21"/>
              </w:rPr>
              <w:t>接到故障通知起60分钟内现场响应及完成处理，特殊情况下故障恢复时间不超过24h。</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4</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人员排班表</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人员信息真实有效，满足合同要求</w:t>
            </w:r>
          </w:p>
        </w:tc>
      </w:tr>
      <w:tr>
        <w:tblPrEx>
          <w:tblLayout w:type="fixed"/>
          <w:tblCellMar>
            <w:top w:w="0" w:type="dxa"/>
            <w:left w:w="108" w:type="dxa"/>
            <w:bottom w:w="0" w:type="dxa"/>
            <w:right w:w="108" w:type="dxa"/>
          </w:tblCellMar>
        </w:tblPrEx>
        <w:trPr>
          <w:trHeight w:val="510" w:hRule="atLeast"/>
          <w:jc w:val="center"/>
        </w:trPr>
        <w:tc>
          <w:tcPr>
            <w:tcW w:w="825"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5</w:t>
            </w:r>
          </w:p>
        </w:tc>
        <w:tc>
          <w:tcPr>
            <w:tcW w:w="2303" w:type="dxa"/>
            <w:tcBorders>
              <w:top w:val="nil"/>
              <w:left w:val="nil"/>
              <w:bottom w:val="single" w:color="000000" w:sz="8" w:space="0"/>
              <w:right w:val="single" w:color="000000" w:sz="8" w:space="0"/>
            </w:tcBorders>
            <w:shd w:val="clear" w:color="auto" w:fill="auto"/>
            <w:noWrap/>
            <w:vAlign w:val="center"/>
          </w:tcPr>
          <w:p>
            <w:pPr>
              <w:widowControl/>
              <w:spacing w:line="360" w:lineRule="auto"/>
              <w:jc w:val="center"/>
              <w:rPr>
                <w:rFonts w:ascii="宋体" w:hAnsi="宋体" w:cs="仿宋"/>
                <w:color w:val="000000"/>
                <w:szCs w:val="21"/>
              </w:rPr>
            </w:pPr>
            <w:r>
              <w:rPr>
                <w:rFonts w:hint="eastAsia" w:ascii="宋体" w:hAnsi="宋体" w:cs="仿宋"/>
                <w:color w:val="000000"/>
                <w:szCs w:val="21"/>
              </w:rPr>
              <w:t>故障处理记录表</w:t>
            </w:r>
          </w:p>
        </w:tc>
        <w:tc>
          <w:tcPr>
            <w:tcW w:w="5691" w:type="dxa"/>
            <w:tcBorders>
              <w:top w:val="nil"/>
              <w:left w:val="nil"/>
              <w:bottom w:val="single" w:color="000000" w:sz="8" w:space="0"/>
              <w:right w:val="single" w:color="000000" w:sz="8" w:space="0"/>
            </w:tcBorders>
            <w:shd w:val="clear" w:color="auto" w:fill="auto"/>
            <w:noWrap/>
            <w:vAlign w:val="center"/>
          </w:tcPr>
          <w:p>
            <w:pPr>
              <w:widowControl/>
              <w:spacing w:line="360" w:lineRule="auto"/>
              <w:rPr>
                <w:rFonts w:ascii="宋体" w:hAnsi="宋体" w:cs="仿宋"/>
                <w:color w:val="000000"/>
                <w:szCs w:val="21"/>
              </w:rPr>
            </w:pPr>
            <w:r>
              <w:rPr>
                <w:rFonts w:hint="eastAsia" w:ascii="宋体" w:hAnsi="宋体" w:cs="仿宋"/>
                <w:color w:val="000000"/>
                <w:szCs w:val="21"/>
              </w:rPr>
              <w:t>故障记录完整无缺失，处理过程迅速高效</w:t>
            </w:r>
          </w:p>
        </w:tc>
      </w:tr>
    </w:tbl>
    <w:p>
      <w:pPr>
        <w:pStyle w:val="32"/>
        <w:tabs>
          <w:tab w:val="right" w:leader="dot" w:pos="8306"/>
        </w:tabs>
        <w:spacing w:line="360" w:lineRule="auto"/>
        <w:ind w:firstLine="422" w:firstLineChars="200"/>
        <w:outlineLvl w:val="0"/>
        <w:rPr>
          <w:rFonts w:ascii="宋体" w:hAnsi="宋体" w:cs="楷体"/>
          <w:b/>
          <w:szCs w:val="21"/>
        </w:rPr>
      </w:pPr>
      <w:bookmarkStart w:id="72" w:name="_Toc12281534"/>
    </w:p>
    <w:p>
      <w:pPr>
        <w:pStyle w:val="32"/>
        <w:keepNext w:val="0"/>
        <w:keepLines w:val="0"/>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9"/>
        <w:rPr>
          <w:rFonts w:ascii="宋体" w:hAnsi="宋体" w:cs="楷体"/>
          <w:b/>
          <w:i/>
          <w:iCs/>
          <w:szCs w:val="21"/>
        </w:rPr>
      </w:pPr>
      <w:r>
        <w:rPr>
          <w:rFonts w:hint="eastAsia" w:ascii="宋体" w:hAnsi="宋体" w:cs="楷体"/>
          <w:b/>
          <w:szCs w:val="21"/>
        </w:rPr>
        <w:t>七、质保期</w:t>
      </w:r>
      <w:bookmarkEnd w:id="72"/>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仿宋_GB2312"/>
          <w:szCs w:val="21"/>
        </w:rPr>
      </w:pPr>
      <w:r>
        <w:rPr>
          <w:rFonts w:hint="eastAsia" w:ascii="宋体" w:hAnsi="宋体" w:cs="仿宋_GB2312"/>
          <w:szCs w:val="21"/>
        </w:rPr>
        <w:t>服务期内的所有故障维护由投标人负责，出现故障需免费更换，更换的备件质保期为24个月。</w:t>
      </w:r>
    </w:p>
    <w:p>
      <w:pPr>
        <w:pStyle w:val="32"/>
        <w:keepNext w:val="0"/>
        <w:keepLines w:val="0"/>
        <w:pageBreakBefore w:val="0"/>
        <w:widowControl w:val="0"/>
        <w:tabs>
          <w:tab w:val="right" w:leader="dot" w:pos="8306"/>
        </w:tabs>
        <w:kinsoku/>
        <w:wordWrap/>
        <w:overflowPunct/>
        <w:topLinePunct w:val="0"/>
        <w:autoSpaceDE/>
        <w:autoSpaceDN/>
        <w:bidi w:val="0"/>
        <w:spacing w:line="360" w:lineRule="auto"/>
        <w:ind w:firstLine="422" w:firstLineChars="200"/>
        <w:textAlignment w:val="auto"/>
        <w:outlineLvl w:val="9"/>
        <w:rPr>
          <w:rFonts w:ascii="宋体" w:hAnsi="宋体" w:cs="楷体"/>
          <w:b/>
          <w:i/>
          <w:iCs/>
          <w:szCs w:val="21"/>
        </w:rPr>
      </w:pPr>
      <w:bookmarkStart w:id="73" w:name="_Toc12281535"/>
      <w:r>
        <w:rPr>
          <w:rFonts w:hint="eastAsia" w:ascii="宋体" w:hAnsi="宋体" w:cs="楷体"/>
          <w:b/>
          <w:szCs w:val="21"/>
        </w:rPr>
        <w:t>八、考核标准</w:t>
      </w:r>
      <w:bookmarkEnd w:id="73"/>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投标人违反招标人相关规定、制度，对招标人造成影响，按照表七质量考核标准表、表八考核支付表</w:t>
      </w:r>
      <w:r>
        <w:rPr>
          <w:rFonts w:hint="eastAsia" w:ascii="宋体" w:hAnsi="宋体"/>
          <w:szCs w:val="21"/>
          <w:lang w:eastAsia="zh-CN"/>
        </w:rPr>
        <w:t>执行</w:t>
      </w:r>
      <w:r>
        <w:rPr>
          <w:rFonts w:hint="eastAsia" w:ascii="宋体" w:hAnsi="宋体"/>
          <w:szCs w:val="21"/>
        </w:rPr>
        <w:t>（包括但不限于）：</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szCs w:val="21"/>
        </w:rPr>
      </w:pPr>
      <w:r>
        <w:rPr>
          <w:rFonts w:hint="eastAsia" w:ascii="宋体" w:hAnsi="宋体"/>
          <w:szCs w:val="21"/>
        </w:rPr>
        <w:t>（一）质量考核标准</w:t>
      </w:r>
    </w:p>
    <w:tbl>
      <w:tblPr>
        <w:tblStyle w:val="46"/>
        <w:tblpPr w:leftFromText="180" w:rightFromText="180" w:vertAnchor="text" w:horzAnchor="page" w:tblpXSpec="center" w:tblpY="154"/>
        <w:tblOverlap w:val="never"/>
        <w:tblW w:w="8909" w:type="dxa"/>
        <w:jc w:val="center"/>
        <w:tblInd w:w="0" w:type="dxa"/>
        <w:tblLayout w:type="fixed"/>
        <w:tblCellMar>
          <w:top w:w="0" w:type="dxa"/>
          <w:left w:w="108" w:type="dxa"/>
          <w:bottom w:w="0" w:type="dxa"/>
          <w:right w:w="108" w:type="dxa"/>
        </w:tblCellMar>
      </w:tblPr>
      <w:tblGrid>
        <w:gridCol w:w="808"/>
        <w:gridCol w:w="3684"/>
        <w:gridCol w:w="3451"/>
        <w:gridCol w:w="966"/>
      </w:tblGrid>
      <w:tr>
        <w:tblPrEx>
          <w:tblLayout w:type="fixed"/>
          <w:tblCellMar>
            <w:top w:w="0" w:type="dxa"/>
            <w:left w:w="108" w:type="dxa"/>
            <w:bottom w:w="0" w:type="dxa"/>
            <w:right w:w="108" w:type="dxa"/>
          </w:tblCellMar>
        </w:tblPrEx>
        <w:trPr>
          <w:trHeight w:val="561"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color w:val="000000"/>
                <w:szCs w:val="21"/>
              </w:rPr>
              <w:t xml:space="preserve">表七 </w:t>
            </w:r>
            <w:r>
              <w:rPr>
                <w:rFonts w:hint="eastAsia" w:ascii="宋体" w:hAnsi="宋体" w:cs="仿宋"/>
                <w:b/>
                <w:bCs/>
                <w:color w:val="000000"/>
                <w:szCs w:val="21"/>
                <w:lang w:val="en-US" w:eastAsia="zh-CN"/>
              </w:rPr>
              <w:t xml:space="preserve"> </w:t>
            </w:r>
            <w:r>
              <w:rPr>
                <w:rFonts w:hint="eastAsia" w:ascii="宋体" w:hAnsi="宋体" w:cs="仿宋"/>
                <w:b/>
                <w:bCs/>
                <w:color w:val="000000"/>
                <w:szCs w:val="21"/>
              </w:rPr>
              <w:t>质量考核标准表</w:t>
            </w:r>
          </w:p>
        </w:tc>
      </w:tr>
      <w:tr>
        <w:tblPrEx>
          <w:tblLayout w:type="fixed"/>
          <w:tblCellMar>
            <w:top w:w="0" w:type="dxa"/>
            <w:left w:w="108" w:type="dxa"/>
            <w:bottom w:w="0" w:type="dxa"/>
            <w:right w:w="108" w:type="dxa"/>
          </w:tblCellMar>
        </w:tblPrEx>
        <w:trPr>
          <w:trHeight w:val="46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序号</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考核内容</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处罚结果</w:t>
            </w:r>
          </w:p>
        </w:tc>
        <w:tc>
          <w:tcPr>
            <w:tcW w:w="9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b/>
                <w:bCs/>
                <w:szCs w:val="21"/>
              </w:rPr>
            </w:pPr>
            <w:r>
              <w:rPr>
                <w:rFonts w:hint="eastAsia" w:ascii="宋体" w:hAnsi="宋体" w:cs="仿宋"/>
                <w:b/>
                <w:bCs/>
                <w:szCs w:val="21"/>
              </w:rPr>
              <w:t>备注</w:t>
            </w:r>
          </w:p>
        </w:tc>
      </w:tr>
      <w:tr>
        <w:tblPrEx>
          <w:tblLayout w:type="fixed"/>
          <w:tblCellMar>
            <w:top w:w="0" w:type="dxa"/>
            <w:left w:w="108" w:type="dxa"/>
            <w:bottom w:w="0" w:type="dxa"/>
            <w:right w:w="108" w:type="dxa"/>
          </w:tblCellMar>
        </w:tblPrEx>
        <w:trPr>
          <w:trHeight w:val="9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1</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因投标人原因造成招标人的设施设备报警、损坏，自身及招标人或第三方财产或人身损害的。</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849"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2</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作业存在严重违章违纪作业等重大安全隐患。</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扣10分，招标人有权解除合同要求投标人承担所有责任。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70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3</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对运营公司提出的整改措施不予落实，逾期落实，或因此造成影响。</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87"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4</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投标人在作业中发现的故障或问题，未能按故障维修标准及时修复的。</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994"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5</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服务过程中发生可疑情况而没有及时通知招标人现场工作人员和押运车组负责人并及时拨打110报警的情形。</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扣20分，招标人有权解除合同要求投标人承担所有责任。</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98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6</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投标人接到故障通知起60分钟内未完成处理，非特殊情况下故障恢复时间超过24h。</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96"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7</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投标人处理故障不彻底，导致同一故障短时间（2小时内）重复出现。</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r>
        <w:tblPrEx>
          <w:tblLayout w:type="fixed"/>
          <w:tblCellMar>
            <w:top w:w="0" w:type="dxa"/>
            <w:left w:w="108" w:type="dxa"/>
            <w:bottom w:w="0" w:type="dxa"/>
            <w:right w:w="108" w:type="dxa"/>
          </w:tblCellMar>
        </w:tblPrEx>
        <w:trPr>
          <w:trHeight w:val="693"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仿宋"/>
                <w:szCs w:val="21"/>
              </w:rPr>
            </w:pPr>
            <w:r>
              <w:rPr>
                <w:rFonts w:hint="eastAsia" w:ascii="宋体" w:hAnsi="宋体" w:cs="仿宋"/>
                <w:szCs w:val="21"/>
              </w:rPr>
              <w:t>8</w:t>
            </w:r>
          </w:p>
        </w:tc>
        <w:tc>
          <w:tcPr>
            <w:tcW w:w="3684"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未按规定办理请销点手续，擅自进行施工作业等违规事件。</w:t>
            </w:r>
          </w:p>
        </w:tc>
        <w:tc>
          <w:tcPr>
            <w:tcW w:w="34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r>
              <w:rPr>
                <w:rFonts w:hint="eastAsia" w:ascii="宋体" w:hAnsi="宋体" w:cs="仿宋"/>
                <w:szCs w:val="21"/>
              </w:rPr>
              <w:t>扣5分</w:t>
            </w:r>
          </w:p>
        </w:tc>
        <w:tc>
          <w:tcPr>
            <w:tcW w:w="9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仿宋"/>
                <w:szCs w:val="21"/>
              </w:rPr>
            </w:pPr>
          </w:p>
        </w:tc>
      </w:tr>
    </w:tbl>
    <w:p>
      <w:pPr>
        <w:spacing w:line="360" w:lineRule="auto"/>
        <w:ind w:firstLine="420" w:firstLineChars="200"/>
        <w:rPr>
          <w:rFonts w:ascii="宋体" w:hAnsi="宋体"/>
          <w:szCs w:val="21"/>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szCs w:val="21"/>
        </w:rPr>
      </w:pPr>
      <w:r>
        <w:rPr>
          <w:rFonts w:hint="eastAsia" w:ascii="宋体" w:hAnsi="宋体"/>
          <w:szCs w:val="21"/>
        </w:rPr>
        <w:t>（二）考核结果应用</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rPr>
        <w:t>本项目考核每半年进行一次，根据招标人相关管理办法，招标人每半年对投标人进行一次综合评分，考核原则如表七：</w:t>
      </w:r>
    </w:p>
    <w:tbl>
      <w:tblPr>
        <w:tblStyle w:val="47"/>
        <w:tblW w:w="8993" w:type="dxa"/>
        <w:jc w:val="center"/>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876"/>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993" w:type="dxa"/>
            <w:gridSpan w:val="3"/>
            <w:vAlign w:val="center"/>
          </w:tcPr>
          <w:p>
            <w:pPr>
              <w:pStyle w:val="45"/>
              <w:spacing w:line="240" w:lineRule="auto"/>
              <w:ind w:firstLine="422"/>
              <w:jc w:val="center"/>
              <w:rPr>
                <w:rFonts w:ascii="宋体" w:hAnsi="宋体" w:cs="仿宋"/>
                <w:b/>
                <w:szCs w:val="21"/>
              </w:rPr>
            </w:pPr>
            <w:r>
              <w:rPr>
                <w:rFonts w:hint="eastAsia" w:ascii="宋体" w:hAnsi="宋体" w:cs="仿宋"/>
                <w:b/>
                <w:color w:val="000000"/>
                <w:szCs w:val="21"/>
              </w:rPr>
              <w:t xml:space="preserve">表八 </w:t>
            </w:r>
            <w:r>
              <w:rPr>
                <w:rFonts w:hint="eastAsia" w:ascii="宋体" w:hAnsi="宋体" w:cs="仿宋"/>
                <w:b/>
                <w:color w:val="000000"/>
                <w:szCs w:val="21"/>
                <w:lang w:val="en-US" w:eastAsia="zh-CN"/>
              </w:rPr>
              <w:t xml:space="preserve"> </w:t>
            </w:r>
            <w:r>
              <w:rPr>
                <w:rFonts w:hint="eastAsia" w:ascii="宋体" w:hAnsi="宋体" w:cs="仿宋"/>
                <w:b/>
                <w:color w:val="000000"/>
                <w:szCs w:val="21"/>
              </w:rPr>
              <w:t>考核支付表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540" w:type="dxa"/>
            <w:vAlign w:val="center"/>
          </w:tcPr>
          <w:p>
            <w:pPr>
              <w:widowControl/>
              <w:jc w:val="center"/>
              <w:rPr>
                <w:rFonts w:ascii="宋体" w:hAnsi="宋体" w:cs="仿宋"/>
                <w:b/>
                <w:color w:val="000000"/>
                <w:szCs w:val="21"/>
              </w:rPr>
            </w:pPr>
            <w:r>
              <w:rPr>
                <w:rFonts w:hint="eastAsia" w:ascii="宋体" w:hAnsi="宋体" w:cs="仿宋"/>
                <w:b/>
                <w:color w:val="000000"/>
                <w:szCs w:val="21"/>
              </w:rPr>
              <w:t>考评等级</w:t>
            </w:r>
          </w:p>
        </w:tc>
        <w:tc>
          <w:tcPr>
            <w:tcW w:w="3876" w:type="dxa"/>
            <w:vAlign w:val="center"/>
          </w:tcPr>
          <w:p>
            <w:pPr>
              <w:widowControl/>
              <w:jc w:val="center"/>
              <w:rPr>
                <w:rFonts w:ascii="宋体" w:hAnsi="宋体" w:cs="仿宋"/>
                <w:b/>
                <w:color w:val="000000"/>
                <w:szCs w:val="21"/>
              </w:rPr>
            </w:pPr>
            <w:r>
              <w:rPr>
                <w:rFonts w:hint="eastAsia" w:ascii="宋体" w:hAnsi="宋体" w:cs="仿宋"/>
                <w:b/>
                <w:color w:val="000000"/>
                <w:szCs w:val="21"/>
              </w:rPr>
              <w:t>考评标准（基础分100分）</w:t>
            </w:r>
          </w:p>
        </w:tc>
        <w:tc>
          <w:tcPr>
            <w:tcW w:w="3577" w:type="dxa"/>
            <w:vAlign w:val="center"/>
          </w:tcPr>
          <w:p>
            <w:pPr>
              <w:widowControl/>
              <w:jc w:val="center"/>
              <w:rPr>
                <w:rFonts w:ascii="宋体" w:hAnsi="宋体" w:cs="仿宋"/>
                <w:b/>
                <w:color w:val="000000"/>
                <w:szCs w:val="21"/>
              </w:rPr>
            </w:pPr>
            <w:r>
              <w:rPr>
                <w:rFonts w:hint="eastAsia" w:ascii="宋体" w:hAnsi="宋体" w:cs="仿宋"/>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A级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综合考评分≥90分，支付比例100%。</w:t>
            </w:r>
          </w:p>
        </w:tc>
        <w:tc>
          <w:tcPr>
            <w:tcW w:w="3577" w:type="dxa"/>
            <w:vAlign w:val="center"/>
          </w:tcPr>
          <w:p>
            <w:pPr>
              <w:widowControl/>
              <w:rPr>
                <w:rFonts w:ascii="宋体" w:hAnsi="宋体"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B级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80分≤综合考评分&lt;90分，支付比例95%。</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扣当次支付项目进度款5%金额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C级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70分≤综合考评分&lt;80分，支付比例90%。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扣当次支付项目进度款10%金额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D级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60分≤综合考评分&lt;70分，支付比例80%。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扣当次支付项目进度款20%金额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0" w:type="dxa"/>
            <w:vAlign w:val="center"/>
          </w:tcPr>
          <w:p>
            <w:pPr>
              <w:widowControl/>
              <w:jc w:val="center"/>
              <w:rPr>
                <w:rFonts w:ascii="宋体" w:hAnsi="宋体" w:cs="仿宋"/>
                <w:bCs/>
                <w:color w:val="000000"/>
                <w:szCs w:val="21"/>
              </w:rPr>
            </w:pPr>
            <w:r>
              <w:rPr>
                <w:rFonts w:hint="eastAsia" w:ascii="宋体" w:hAnsi="宋体" w:cs="仿宋"/>
                <w:bCs/>
                <w:color w:val="000000"/>
                <w:szCs w:val="21"/>
              </w:rPr>
              <w:t>E级</w:t>
            </w:r>
          </w:p>
        </w:tc>
        <w:tc>
          <w:tcPr>
            <w:tcW w:w="3876" w:type="dxa"/>
            <w:vAlign w:val="center"/>
          </w:tcPr>
          <w:p>
            <w:pPr>
              <w:widowControl/>
              <w:rPr>
                <w:rFonts w:ascii="宋体" w:hAnsi="宋体" w:cs="仿宋"/>
                <w:bCs/>
                <w:color w:val="000000"/>
                <w:szCs w:val="21"/>
              </w:rPr>
            </w:pPr>
            <w:r>
              <w:rPr>
                <w:rFonts w:hint="eastAsia" w:ascii="宋体" w:hAnsi="宋体" w:cs="仿宋"/>
                <w:bCs/>
                <w:color w:val="000000"/>
                <w:szCs w:val="21"/>
              </w:rPr>
              <w:t>综合考评分&lt;60分，支付比例70%。</w:t>
            </w:r>
          </w:p>
        </w:tc>
        <w:tc>
          <w:tcPr>
            <w:tcW w:w="3577" w:type="dxa"/>
            <w:vAlign w:val="center"/>
          </w:tcPr>
          <w:p>
            <w:pPr>
              <w:widowControl/>
              <w:rPr>
                <w:rFonts w:ascii="宋体" w:hAnsi="宋体" w:cs="仿宋"/>
                <w:bCs/>
                <w:color w:val="000000"/>
                <w:szCs w:val="21"/>
              </w:rPr>
            </w:pPr>
            <w:r>
              <w:rPr>
                <w:rFonts w:hint="eastAsia" w:ascii="宋体" w:hAnsi="宋体" w:cs="仿宋"/>
                <w:bCs/>
                <w:color w:val="000000"/>
                <w:szCs w:val="21"/>
              </w:rPr>
              <w:t>扣当次支付项目进度款30%金额，赔偿相关损失，招标人有权解除合同。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8993" w:type="dxa"/>
            <w:gridSpan w:val="3"/>
            <w:vAlign w:val="center"/>
          </w:tcPr>
          <w:p>
            <w:pPr>
              <w:widowControl/>
              <w:rPr>
                <w:rFonts w:ascii="宋体" w:hAnsi="宋体" w:cs="仿宋"/>
                <w:bCs/>
                <w:color w:val="000000"/>
                <w:szCs w:val="21"/>
              </w:rPr>
            </w:pPr>
            <w:r>
              <w:rPr>
                <w:rFonts w:hint="eastAsia" w:ascii="宋体" w:hAnsi="宋体" w:cs="仿宋"/>
                <w:bCs/>
                <w:color w:val="000000"/>
                <w:szCs w:val="21"/>
              </w:rPr>
              <w:t xml:space="preserve">    当综合考评分90分以上（含90分）时，按照《运营公司承包商安全管理办法》、《通号部委外管理办法》进行考核，当综合考评分数在90分以下时，按照此表扣除相对应的服务费，扣除费用不再支付。同时，供应商应遵守《运营公司承包商安全管理办法》、《通号部委外管理办法》相关规定。</w:t>
            </w:r>
          </w:p>
        </w:tc>
      </w:tr>
    </w:tbl>
    <w:p>
      <w:pPr>
        <w:pStyle w:val="45"/>
        <w:spacing w:line="360" w:lineRule="auto"/>
        <w:rPr>
          <w:rFonts w:ascii="宋体" w:hAnsi="宋体"/>
          <w:szCs w:val="21"/>
        </w:rPr>
      </w:pPr>
    </w:p>
    <w:p>
      <w:pPr>
        <w:pStyle w:val="32"/>
        <w:numPr>
          <w:ilvl w:val="0"/>
          <w:numId w:val="6"/>
        </w:numPr>
        <w:tabs>
          <w:tab w:val="right" w:leader="dot" w:pos="8306"/>
        </w:tabs>
        <w:spacing w:line="360" w:lineRule="auto"/>
        <w:ind w:firstLine="422" w:firstLineChars="200"/>
        <w:outlineLvl w:val="9"/>
        <w:rPr>
          <w:rFonts w:hint="eastAsia" w:ascii="宋体" w:hAnsi="宋体" w:cs="楷体"/>
          <w:b/>
          <w:szCs w:val="21"/>
        </w:rPr>
      </w:pPr>
      <w:r>
        <w:rPr>
          <w:rFonts w:hint="eastAsia" w:ascii="宋体" w:hAnsi="宋体" w:cs="楷体"/>
          <w:b/>
          <w:szCs w:val="21"/>
        </w:rPr>
        <w:t>其他</w:t>
      </w:r>
    </w:p>
    <w:p>
      <w:pPr>
        <w:pStyle w:val="32"/>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楷体"/>
          <w:b w:val="0"/>
          <w:bCs/>
          <w:szCs w:val="21"/>
          <w:lang w:eastAsia="zh-CN"/>
        </w:rPr>
      </w:pPr>
      <w:r>
        <w:rPr>
          <w:rFonts w:hint="eastAsia" w:ascii="宋体" w:hAnsi="宋体" w:cs="楷体"/>
          <w:b w:val="0"/>
          <w:bCs/>
          <w:szCs w:val="21"/>
        </w:rPr>
        <w:t>无</w:t>
      </w:r>
      <w:r>
        <w:rPr>
          <w:rFonts w:hint="eastAsia" w:ascii="宋体" w:hAnsi="宋体" w:cs="楷体"/>
          <w:b w:val="0"/>
          <w:bCs/>
          <w:szCs w:val="21"/>
          <w:lang w:eastAsia="zh-CN"/>
        </w:rPr>
        <w:t>。</w:t>
      </w:r>
    </w:p>
    <w:p>
      <w:pPr>
        <w:pStyle w:val="1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sectPr>
          <w:headerReference r:id="rId7" w:type="default"/>
          <w:footerReference r:id="rId8" w:type="default"/>
          <w:pgSz w:w="11906" w:h="16838"/>
          <w:pgMar w:top="1440" w:right="1797" w:bottom="1440" w:left="1797" w:header="851" w:footer="851" w:gutter="0"/>
          <w:pgNumType w:fmt="decimal"/>
          <w:cols w:space="720" w:num="1"/>
          <w:docGrid w:linePitch="312" w:charSpace="0"/>
        </w:sectPr>
      </w:pPr>
    </w:p>
    <w:p/>
    <w:p>
      <w:pPr>
        <w:pStyle w:val="3"/>
        <w:keepNext w:val="0"/>
        <w:rPr>
          <w:rFonts w:hint="eastAsia" w:ascii="宋体" w:hAnsi="宋体" w:eastAsia="宋体" w:cs="宋体"/>
          <w:bCs w:val="0"/>
          <w:color w:val="FF0000"/>
          <w:sz w:val="32"/>
          <w:szCs w:val="32"/>
        </w:rPr>
      </w:pPr>
      <w:bookmarkStart w:id="74" w:name="_Toc14891078"/>
      <w:bookmarkStart w:id="75" w:name="_Toc13521"/>
      <w:bookmarkStart w:id="76" w:name="_Toc17441"/>
      <w:bookmarkStart w:id="77" w:name="_Toc22262"/>
      <w:bookmarkStart w:id="78" w:name="_Toc19554"/>
      <w:r>
        <w:rPr>
          <w:rFonts w:hint="eastAsia" w:ascii="宋体" w:hAnsi="宋体" w:eastAsia="宋体" w:cs="宋体"/>
          <w:bCs w:val="0"/>
          <w:color w:val="auto"/>
          <w:sz w:val="32"/>
          <w:szCs w:val="32"/>
        </w:rPr>
        <w:t xml:space="preserve">第五章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74"/>
      <w:bookmarkEnd w:id="75"/>
      <w:bookmarkEnd w:id="76"/>
      <w:bookmarkEnd w:id="77"/>
      <w:bookmarkEnd w:id="78"/>
    </w:p>
    <w:p>
      <w:pPr>
        <w:snapToGrid w:val="0"/>
        <w:spacing w:line="360" w:lineRule="auto"/>
        <w:jc w:val="center"/>
        <w:rPr>
          <w:rFonts w:ascii="黑体" w:eastAsia="黑体"/>
          <w:b/>
          <w:sz w:val="32"/>
          <w:szCs w:val="32"/>
        </w:rPr>
      </w:pPr>
    </w:p>
    <w:p>
      <w:pPr>
        <w:adjustRightInd w:val="0"/>
        <w:snapToGrid w:val="0"/>
        <w:spacing w:line="360" w:lineRule="auto"/>
        <w:ind w:firstLine="2880" w:firstLineChars="1200"/>
        <w:jc w:val="right"/>
        <w:rPr>
          <w:rFonts w:hint="eastAsia" w:ascii="宋体" w:hAnsi="宋体" w:eastAsia="宋体" w:cs="宋体"/>
          <w:sz w:val="22"/>
          <w:szCs w:val="18"/>
        </w:rPr>
      </w:pPr>
      <w:r>
        <w:rPr>
          <w:rFonts w:hint="eastAsia" w:ascii="宋体" w:hAnsi="宋体" w:eastAsia="宋体" w:cs="宋体"/>
          <w:sz w:val="24"/>
        </w:rPr>
        <w:t>合同编号:长轨运</w:t>
      </w:r>
      <w:r>
        <w:rPr>
          <w:rFonts w:hint="eastAsia" w:ascii="宋体" w:hAnsi="宋体" w:eastAsia="宋体" w:cs="宋体"/>
          <w:sz w:val="24"/>
          <w:u w:val="single"/>
          <w:lang w:val="en-US" w:eastAsia="zh-CN"/>
        </w:rPr>
        <w:t xml:space="preserve">   </w:t>
      </w:r>
      <w:r>
        <w:rPr>
          <w:rFonts w:hint="eastAsia" w:ascii="宋体" w:hAnsi="宋体" w:eastAsia="宋体" w:cs="宋体"/>
          <w:sz w:val="24"/>
          <w:lang w:eastAsia="zh-CN"/>
        </w:rPr>
        <w:t>服</w:t>
      </w:r>
      <w:r>
        <w:rPr>
          <w:rFonts w:hint="eastAsia" w:ascii="宋体" w:hAnsi="宋体" w:eastAsia="宋体" w:cs="宋体"/>
          <w:sz w:val="24"/>
        </w:rPr>
        <w:t>合[20</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号</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jc w:val="center"/>
        <w:rPr>
          <w:rFonts w:hint="eastAsia" w:ascii="宋体" w:hAnsi="宋体" w:eastAsia="宋体" w:cs="宋体"/>
          <w:b/>
          <w:sz w:val="48"/>
          <w:szCs w:val="48"/>
        </w:rPr>
      </w:pPr>
      <w:r>
        <w:rPr>
          <w:rFonts w:hint="eastAsia" w:ascii="宋体" w:hAnsi="宋体" w:eastAsia="宋体" w:cs="宋体"/>
          <w:b/>
          <w:spacing w:val="20"/>
          <w:sz w:val="52"/>
          <w:szCs w:val="52"/>
          <w:lang w:eastAsia="zh-CN"/>
        </w:rPr>
        <w:t>服务项目</w:t>
      </w:r>
      <w:r>
        <w:rPr>
          <w:rFonts w:hint="eastAsia" w:ascii="宋体" w:hAnsi="宋体" w:eastAsia="宋体" w:cs="宋体"/>
          <w:b/>
          <w:spacing w:val="20"/>
          <w:sz w:val="52"/>
          <w:szCs w:val="52"/>
        </w:rPr>
        <w:t>合同</w:t>
      </w: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line="360" w:lineRule="auto"/>
        <w:rPr>
          <w:rFonts w:hint="eastAsia" w:ascii="宋体" w:hAnsi="宋体" w:eastAsia="宋体" w:cs="宋体"/>
          <w:b/>
          <w:sz w:val="18"/>
          <w:szCs w:val="1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项目</w:t>
      </w:r>
      <w:r>
        <w:rPr>
          <w:rFonts w:hint="eastAsia" w:ascii="宋体" w:hAnsi="宋体" w:eastAsia="宋体" w:cs="宋体"/>
          <w:b/>
          <w:sz w:val="28"/>
          <w:szCs w:val="28"/>
        </w:rPr>
        <w:t>名称：</w:t>
      </w:r>
      <w:r>
        <w:rPr>
          <w:rFonts w:hint="eastAsia" w:ascii="宋体" w:hAnsi="宋体" w:eastAsia="宋体" w:cs="宋体"/>
          <w:b/>
          <w:sz w:val="28"/>
          <w:szCs w:val="28"/>
          <w:u w:val="dotted"/>
          <w:lang w:val="en-US" w:eastAsia="zh-CN"/>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项目</w:t>
      </w:r>
      <w:r>
        <w:rPr>
          <w:rFonts w:hint="eastAsia" w:ascii="宋体" w:hAnsi="宋体" w:eastAsia="宋体" w:cs="宋体"/>
          <w:b/>
          <w:sz w:val="28"/>
          <w:szCs w:val="28"/>
        </w:rPr>
        <w:t>地点：</w:t>
      </w:r>
      <w:r>
        <w:rPr>
          <w:rFonts w:hint="eastAsia" w:ascii="宋体" w:hAnsi="宋体" w:eastAsia="宋体" w:cs="宋体"/>
          <w:b/>
          <w:sz w:val="28"/>
          <w:szCs w:val="28"/>
          <w:u w:val="dotted"/>
        </w:rPr>
        <w:t>湖南省长沙市</w:t>
      </w:r>
      <w:r>
        <w:rPr>
          <w:rFonts w:hint="eastAsia" w:ascii="宋体" w:hAnsi="宋体" w:eastAsia="宋体" w:cs="宋体"/>
          <w:b/>
          <w:sz w:val="28"/>
          <w:szCs w:val="28"/>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p>
    <w:p>
      <w:pPr>
        <w:adjustRightInd w:val="0"/>
        <w:snapToGrid w:val="0"/>
        <w:spacing w:afterLines="0" w:line="360" w:lineRule="auto"/>
        <w:jc w:val="left"/>
        <w:rPr>
          <w:rFonts w:hint="eastAsia" w:ascii="宋体" w:hAnsi="宋体" w:eastAsia="宋体" w:cs="宋体"/>
          <w:b/>
          <w:sz w:val="28"/>
          <w:szCs w:val="28"/>
        </w:rPr>
      </w:pP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lang w:eastAsia="zh-CN"/>
        </w:rPr>
        <w:t>甲方</w:t>
      </w:r>
      <w:r>
        <w:rPr>
          <w:rFonts w:hint="eastAsia" w:ascii="宋体" w:hAnsi="宋体" w:eastAsia="宋体" w:cs="宋体"/>
          <w:b/>
          <w:sz w:val="28"/>
          <w:szCs w:val="28"/>
        </w:rPr>
        <w:t>：</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rPr>
        <w:t xml:space="preserve">    </w:t>
      </w:r>
    </w:p>
    <w:p>
      <w:pPr>
        <w:adjustRightInd w:val="0"/>
        <w:snapToGrid w:val="0"/>
        <w:spacing w:afterLines="0"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乙方：</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u w:val="dotted"/>
          <w:lang w:val="en-US" w:eastAsia="zh-CN"/>
        </w:rPr>
        <w:t xml:space="preserve"> </w:t>
      </w:r>
      <w:r>
        <w:rPr>
          <w:rFonts w:hint="eastAsia" w:ascii="宋体" w:hAnsi="宋体" w:eastAsia="宋体" w:cs="宋体"/>
          <w:b/>
          <w:sz w:val="28"/>
          <w:szCs w:val="28"/>
          <w:u w:val="dotted"/>
        </w:rPr>
        <w:t xml:space="preserve">         </w:t>
      </w:r>
      <w:r>
        <w:rPr>
          <w:rFonts w:hint="eastAsia" w:ascii="宋体" w:hAnsi="宋体" w:eastAsia="宋体" w:cs="宋体"/>
          <w:b/>
          <w:sz w:val="28"/>
          <w:szCs w:val="28"/>
        </w:rPr>
        <w:t xml:space="preserve">    </w:t>
      </w:r>
    </w:p>
    <w:p>
      <w:pPr>
        <w:rPr>
          <w:rFonts w:hint="eastAsia" w:ascii="仿宋_GB2312" w:hAnsi="仿宋" w:eastAsia="仿宋_GB2312" w:cs="宋体"/>
          <w:b/>
          <w:bCs/>
          <w:sz w:val="32"/>
          <w:szCs w:val="32"/>
        </w:rPr>
      </w:pPr>
      <w:r>
        <w:rPr>
          <w:rFonts w:hint="eastAsia" w:ascii="仿宋_GB2312" w:hAnsi="仿宋" w:eastAsia="仿宋_GB2312" w:cs="宋体"/>
          <w:b/>
          <w:bCs/>
          <w:sz w:val="32"/>
          <w:szCs w:val="32"/>
        </w:rPr>
        <w:br w:type="page"/>
      </w:r>
    </w:p>
    <w:p>
      <w:pPr>
        <w:jc w:val="center"/>
        <w:outlineLvl w:val="9"/>
        <w:rPr>
          <w:rFonts w:hint="eastAsia" w:ascii="宋体" w:hAnsi="宋体" w:eastAsia="宋体" w:cs="宋体"/>
          <w:b w:val="0"/>
          <w:bCs w:val="0"/>
          <w:szCs w:val="32"/>
        </w:rPr>
      </w:pPr>
      <w:bookmarkStart w:id="79" w:name="_Toc524010281"/>
      <w:r>
        <w:rPr>
          <w:rFonts w:hint="eastAsia" w:ascii="宋体" w:hAnsi="宋体" w:eastAsia="宋体" w:cs="宋体"/>
          <w:sz w:val="32"/>
          <w:szCs w:val="32"/>
        </w:rPr>
        <w:t>第一部分 合同协议书</w:t>
      </w:r>
      <w:bookmarkEnd w:id="79"/>
    </w:p>
    <w:p>
      <w:pPr>
        <w:spacing w:before="14" w:line="360" w:lineRule="auto"/>
        <w:rPr>
          <w:rFonts w:hint="eastAsia" w:ascii="宋体" w:hAnsi="宋体" w:eastAsia="宋体" w:cs="宋体"/>
          <w:bCs/>
          <w:sz w:val="24"/>
        </w:rPr>
      </w:pPr>
    </w:p>
    <w:p>
      <w:pPr>
        <w:spacing w:before="14" w:line="360" w:lineRule="auto"/>
        <w:rPr>
          <w:rFonts w:hint="eastAsia" w:ascii="宋体" w:hAnsi="宋体" w:eastAsia="宋体" w:cs="宋体"/>
          <w:sz w:val="21"/>
          <w:szCs w:val="21"/>
        </w:rPr>
      </w:pPr>
      <w:r>
        <w:rPr>
          <w:rFonts w:hint="eastAsia" w:ascii="宋体" w:hAnsi="宋体" w:eastAsia="宋体" w:cs="宋体"/>
          <w:bCs/>
          <w:sz w:val="21"/>
          <w:szCs w:val="21"/>
        </w:rPr>
        <w:t>甲方（全称）：</w:t>
      </w:r>
      <w:r>
        <w:rPr>
          <w:rFonts w:hint="eastAsia" w:ascii="宋体" w:hAnsi="宋体" w:eastAsia="宋体" w:cs="宋体"/>
          <w:bCs/>
          <w:sz w:val="21"/>
          <w:szCs w:val="21"/>
          <w:u w:val="single"/>
          <w:lang w:val="en-US" w:eastAsia="zh-CN"/>
        </w:rPr>
        <w:t xml:space="preserve">                               </w:t>
      </w:r>
      <w:r>
        <w:rPr>
          <w:rFonts w:hint="eastAsia" w:ascii="宋体" w:hAnsi="宋体" w:eastAsia="宋体" w:cs="宋体"/>
          <w:sz w:val="21"/>
          <w:szCs w:val="21"/>
        </w:rPr>
        <w:t xml:space="preserve"> </w:t>
      </w:r>
    </w:p>
    <w:p>
      <w:pPr>
        <w:spacing w:before="14" w:line="360" w:lineRule="auto"/>
        <w:rPr>
          <w:rFonts w:hint="eastAsia" w:ascii="宋体" w:hAnsi="宋体" w:eastAsia="宋体" w:cs="宋体"/>
          <w:bCs/>
          <w:sz w:val="21"/>
          <w:szCs w:val="21"/>
          <w:u w:val="single"/>
        </w:rPr>
      </w:pPr>
      <w:r>
        <w:rPr>
          <w:rFonts w:hint="eastAsia" w:ascii="宋体" w:hAnsi="宋体" w:eastAsia="宋体" w:cs="宋体"/>
          <w:bCs/>
          <w:sz w:val="21"/>
          <w:szCs w:val="21"/>
        </w:rPr>
        <w:t>乙方（全称）：</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spacing w:before="14" w:line="360" w:lineRule="auto"/>
        <w:ind w:firstLine="420" w:firstLineChars="200"/>
        <w:rPr>
          <w:rFonts w:hint="eastAsia" w:ascii="宋体" w:hAnsi="宋体" w:eastAsia="宋体" w:cs="宋体"/>
          <w:sz w:val="21"/>
          <w:szCs w:val="21"/>
        </w:rPr>
      </w:pP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为进一步明确各方的权利、义务，甲、乙双方根据《中华人民共和国合同法》以及有关法律法规的规定，遵循平等、自愿、公平和诚实信用的原则，就</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有关事宜协商一致，签订本合同。</w:t>
      </w:r>
    </w:p>
    <w:p>
      <w:pPr>
        <w:adjustRightInd w:val="0"/>
        <w:snapToGrid w:val="0"/>
        <w:spacing w:line="4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一、项目概况：</w:t>
      </w:r>
      <w:r>
        <w:rPr>
          <w:rFonts w:hint="eastAsia" w:ascii="宋体" w:hAnsi="宋体" w:eastAsia="宋体" w:cs="宋体"/>
          <w:sz w:val="21"/>
          <w:szCs w:val="21"/>
          <w:u w:val="single"/>
        </w:rPr>
        <w:t>具体内容</w:t>
      </w:r>
      <w:r>
        <w:rPr>
          <w:rFonts w:hint="eastAsia" w:ascii="宋体" w:hAnsi="宋体" w:eastAsia="宋体" w:cs="宋体"/>
          <w:sz w:val="21"/>
          <w:szCs w:val="21"/>
          <w:u w:val="single"/>
          <w:lang w:val="en-US" w:eastAsia="zh-CN"/>
        </w:rPr>
        <w:t xml:space="preserve">详见用户需求书/技术规格书    </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二、服务范围及内容：</w:t>
      </w:r>
      <w:r>
        <w:rPr>
          <w:rFonts w:hint="eastAsia" w:ascii="宋体" w:hAnsi="宋体" w:eastAsia="宋体" w:cs="宋体"/>
          <w:sz w:val="21"/>
          <w:szCs w:val="21"/>
          <w:u w:val="single"/>
        </w:rPr>
        <w:t>具体内容详见</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三、服务期限：</w:t>
      </w:r>
      <w:r>
        <w:rPr>
          <w:rFonts w:hint="eastAsia" w:ascii="宋体" w:hAnsi="宋体" w:eastAsia="宋体" w:cs="宋体"/>
          <w:sz w:val="21"/>
          <w:szCs w:val="21"/>
          <w:u w:val="single"/>
        </w:rPr>
        <w:t>具体内容详见</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四、下述文件是本合同的一部分，一起阅读和解释：</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（1）补充协议（如果有）；</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（2）合同协议书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（3）中</w:t>
      </w:r>
      <w:r>
        <w:rPr>
          <w:rFonts w:hint="eastAsia" w:ascii="宋体" w:hAnsi="宋体" w:eastAsia="宋体" w:cs="宋体"/>
          <w:sz w:val="21"/>
          <w:szCs w:val="21"/>
          <w:lang w:eastAsia="zh-CN"/>
        </w:rPr>
        <w:t>选</w:t>
      </w:r>
      <w:r>
        <w:rPr>
          <w:rFonts w:hint="eastAsia" w:ascii="宋体" w:hAnsi="宋体" w:eastAsia="宋体" w:cs="宋体"/>
          <w:sz w:val="21"/>
          <w:szCs w:val="21"/>
        </w:rPr>
        <w:t>通知书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（4）合同条款</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u w:val="single"/>
          <w:lang w:eastAsia="zh-CN"/>
        </w:rPr>
        <w:t>用户需求书</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技术规格书</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（6）价格清单</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（7）合同其他附件及乙方按合同附录格式及要求出具的文件</w:t>
      </w:r>
      <w:r>
        <w:rPr>
          <w:rFonts w:hint="eastAsia" w:ascii="宋体" w:hAnsi="宋体" w:cs="宋体"/>
          <w:sz w:val="21"/>
          <w:szCs w:val="21"/>
          <w:lang w:eastAsia="zh-CN"/>
        </w:rPr>
        <w:t>；</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自主竞争性谈判</w:t>
      </w:r>
      <w:r>
        <w:rPr>
          <w:rFonts w:hint="eastAsia" w:ascii="宋体" w:hAnsi="宋体" w:eastAsia="宋体" w:cs="宋体"/>
          <w:sz w:val="21"/>
          <w:szCs w:val="21"/>
        </w:rPr>
        <w:t>文件、澄清与答疑文件及其它补充资料；</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响应</w:t>
      </w:r>
      <w:r>
        <w:rPr>
          <w:rFonts w:hint="eastAsia" w:ascii="宋体" w:hAnsi="宋体" w:eastAsia="宋体" w:cs="宋体"/>
          <w:sz w:val="21"/>
          <w:szCs w:val="21"/>
        </w:rPr>
        <w:t>文件、澄清文件及其它补充资料；</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（10）其他构成本合同的文件。</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五、考虑到甲方将按照本合同向乙方支付，乙方在此保证全部按照合同的规定向甲方提供货物和服务。</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六、考虑到乙方提供的货物和服务，甲方在此保证按照合同规定的时间和方式向乙方支付合同价格或其它按合同规定应支付的金额。</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七、本合同正本二份、副本</w:t>
      </w:r>
      <w:r>
        <w:rPr>
          <w:rFonts w:hint="eastAsia" w:ascii="宋体" w:hAnsi="宋体" w:eastAsia="宋体" w:cs="宋体"/>
          <w:sz w:val="21"/>
          <w:szCs w:val="21"/>
          <w:lang w:eastAsia="zh-CN"/>
        </w:rPr>
        <w:t>六</w:t>
      </w:r>
      <w:r>
        <w:rPr>
          <w:rFonts w:hint="eastAsia" w:ascii="宋体" w:hAnsi="宋体" w:eastAsia="宋体" w:cs="宋体"/>
          <w:sz w:val="21"/>
          <w:szCs w:val="21"/>
        </w:rPr>
        <w:t>份，甲方持正本一份、副本</w:t>
      </w:r>
      <w:r>
        <w:rPr>
          <w:rFonts w:hint="eastAsia" w:ascii="宋体" w:hAnsi="宋体" w:eastAsia="宋体" w:cs="宋体"/>
          <w:sz w:val="21"/>
          <w:szCs w:val="21"/>
          <w:lang w:eastAsia="zh-CN"/>
        </w:rPr>
        <w:t>五</w:t>
      </w:r>
      <w:r>
        <w:rPr>
          <w:rFonts w:hint="eastAsia" w:ascii="宋体" w:hAnsi="宋体" w:eastAsia="宋体" w:cs="宋体"/>
          <w:sz w:val="21"/>
          <w:szCs w:val="21"/>
        </w:rPr>
        <w:t>份，乙方持正本一份、副本</w:t>
      </w:r>
      <w:r>
        <w:rPr>
          <w:rFonts w:hint="eastAsia" w:ascii="宋体" w:hAnsi="宋体" w:eastAsia="宋体" w:cs="宋体"/>
          <w:sz w:val="21"/>
          <w:szCs w:val="21"/>
          <w:lang w:eastAsia="zh-CN"/>
        </w:rPr>
        <w:t>一</w:t>
      </w:r>
      <w:r>
        <w:rPr>
          <w:rFonts w:hint="eastAsia" w:ascii="宋体" w:hAnsi="宋体" w:eastAsia="宋体" w:cs="宋体"/>
          <w:sz w:val="21"/>
          <w:szCs w:val="21"/>
        </w:rPr>
        <w:t>份。合同正本与副本具有同等效力，当合同副本与正本之间存有差异时，以合同正本为准。</w:t>
      </w:r>
    </w:p>
    <w:p>
      <w:pPr>
        <w:adjustRightInd w:val="0"/>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八、本合同自双方法定代表人或授权代理人签字，加盖合同专用章后生效。</w:t>
      </w:r>
    </w:p>
    <w:p>
      <w:pPr>
        <w:adjustRightInd w:val="0"/>
        <w:snapToGrid w:val="0"/>
        <w:spacing w:line="460" w:lineRule="exact"/>
        <w:ind w:firstLine="420" w:firstLineChars="200"/>
        <w:rPr>
          <w:rFonts w:hint="eastAsia" w:ascii="宋体" w:hAnsi="宋体" w:eastAsia="宋体" w:cs="宋体"/>
          <w:sz w:val="21"/>
          <w:szCs w:val="21"/>
        </w:rPr>
      </w:pPr>
    </w:p>
    <w:p>
      <w:pPr>
        <w:adjustRightInd w:val="0"/>
        <w:snapToGrid w:val="0"/>
        <w:spacing w:line="460" w:lineRule="exact"/>
        <w:ind w:firstLine="420" w:firstLineChars="200"/>
        <w:rPr>
          <w:rFonts w:hint="eastAsia" w:ascii="宋体" w:hAnsi="宋体" w:eastAsia="宋体" w:cs="宋体"/>
          <w:sz w:val="21"/>
          <w:szCs w:val="21"/>
        </w:rPr>
      </w:pPr>
    </w:p>
    <w:tbl>
      <w:tblPr>
        <w:tblStyle w:val="46"/>
        <w:tblW w:w="7780" w:type="dxa"/>
        <w:jc w:val="center"/>
        <w:tblInd w:w="0" w:type="dxa"/>
        <w:tblLayout w:type="fixed"/>
        <w:tblCellMar>
          <w:top w:w="0" w:type="dxa"/>
          <w:left w:w="108" w:type="dxa"/>
          <w:bottom w:w="0" w:type="dxa"/>
          <w:right w:w="108" w:type="dxa"/>
        </w:tblCellMar>
      </w:tblPr>
      <w:tblGrid>
        <w:gridCol w:w="3986"/>
        <w:gridCol w:w="3794"/>
      </w:tblGrid>
      <w:tr>
        <w:tblPrEx>
          <w:tblLayout w:type="fixed"/>
          <w:tblCellMar>
            <w:top w:w="0" w:type="dxa"/>
            <w:left w:w="108" w:type="dxa"/>
            <w:bottom w:w="0" w:type="dxa"/>
            <w:right w:w="108" w:type="dxa"/>
          </w:tblCellMar>
        </w:tblPrEx>
        <w:trPr>
          <w:trHeight w:val="539"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：(盖章)</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乙</w:t>
            </w:r>
            <w:r>
              <w:rPr>
                <w:rFonts w:hint="eastAsia" w:ascii="宋体" w:hAnsi="宋体" w:eastAsia="宋体" w:cs="宋体"/>
                <w:sz w:val="21"/>
                <w:szCs w:val="21"/>
              </w:rPr>
              <w:t>方：（盖章）</w:t>
            </w:r>
          </w:p>
        </w:tc>
      </w:tr>
      <w:tr>
        <w:tblPrEx>
          <w:tblLayout w:type="fixed"/>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地址：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邮编：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邮编：</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电话：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r>
      <w:tr>
        <w:tblPrEx>
          <w:tblLayout w:type="fixed"/>
          <w:tblCellMar>
            <w:top w:w="0" w:type="dxa"/>
            <w:left w:w="108" w:type="dxa"/>
            <w:bottom w:w="0" w:type="dxa"/>
            <w:right w:w="108" w:type="dxa"/>
          </w:tblCellMar>
        </w:tblPrEx>
        <w:trPr>
          <w:trHeight w:val="1286"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传真：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传真：</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电子邮箱：</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开户银行：</w:t>
            </w:r>
          </w:p>
        </w:tc>
      </w:tr>
      <w:tr>
        <w:tblPrEx>
          <w:tblLayout w:type="fixed"/>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账号：</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账号：</w:t>
            </w:r>
          </w:p>
        </w:tc>
      </w:tr>
      <w:tr>
        <w:tblPrEx>
          <w:tblLayout w:type="fixed"/>
          <w:tblCellMar>
            <w:top w:w="0" w:type="dxa"/>
            <w:left w:w="108" w:type="dxa"/>
            <w:bottom w:w="0" w:type="dxa"/>
            <w:right w:w="108" w:type="dxa"/>
          </w:tblCellMar>
        </w:tblPrEx>
        <w:trPr>
          <w:trHeight w:val="507" w:hRule="atLeast"/>
          <w:jc w:val="center"/>
        </w:trPr>
        <w:tc>
          <w:tcPr>
            <w:tcW w:w="3986" w:type="dxa"/>
            <w:tcBorders>
              <w:top w:val="nil"/>
              <w:left w:val="nil"/>
              <w:bottom w:val="nil"/>
              <w:right w:val="nil"/>
            </w:tcBorders>
            <w:noWrap w:val="0"/>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税号：</w:t>
            </w:r>
            <w:r>
              <w:rPr>
                <w:rFonts w:hint="eastAsia" w:ascii="宋体" w:hAnsi="宋体" w:eastAsia="宋体" w:cs="宋体"/>
                <w:sz w:val="21"/>
                <w:szCs w:val="21"/>
                <w:lang w:val="en-US" w:eastAsia="zh-CN"/>
              </w:rPr>
              <w:t xml:space="preserve"> </w:t>
            </w:r>
          </w:p>
        </w:tc>
        <w:tc>
          <w:tcPr>
            <w:tcW w:w="3794" w:type="dxa"/>
            <w:tcBorders>
              <w:top w:val="nil"/>
              <w:left w:val="nil"/>
              <w:bottom w:val="nil"/>
              <w:right w:val="nil"/>
            </w:tcBorders>
            <w:noWrap w:val="0"/>
            <w:vAlign w:val="top"/>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税号：</w:t>
            </w:r>
          </w:p>
        </w:tc>
      </w:tr>
    </w:tbl>
    <w:p>
      <w:pPr>
        <w:rPr>
          <w:rFonts w:hint="eastAsia" w:ascii="宋体" w:hAnsi="宋体" w:eastAsia="宋体" w:cs="宋体"/>
          <w:b/>
          <w:sz w:val="21"/>
          <w:szCs w:val="21"/>
        </w:rPr>
      </w:pPr>
    </w:p>
    <w:p>
      <w:pPr>
        <w:rPr>
          <w:rFonts w:hint="eastAsia" w:ascii="宋体" w:hAnsi="宋体" w:eastAsia="宋体" w:cs="宋体"/>
          <w:b/>
          <w:sz w:val="32"/>
          <w:szCs w:val="72"/>
        </w:rPr>
      </w:pPr>
    </w:p>
    <w:p>
      <w:pPr>
        <w:rPr>
          <w:rFonts w:hint="eastAsia" w:ascii="宋体" w:hAnsi="宋体" w:eastAsia="宋体" w:cs="宋体"/>
          <w:b/>
          <w:sz w:val="32"/>
          <w:szCs w:val="72"/>
        </w:rPr>
      </w:pPr>
      <w:bookmarkStart w:id="80" w:name="_Toc524010282"/>
      <w:r>
        <w:rPr>
          <w:rFonts w:hint="eastAsia" w:ascii="宋体" w:hAnsi="宋体" w:eastAsia="宋体" w:cs="宋体"/>
          <w:b/>
          <w:sz w:val="32"/>
          <w:szCs w:val="72"/>
        </w:rPr>
        <w:br w:type="page"/>
      </w:r>
    </w:p>
    <w:p>
      <w:pPr>
        <w:adjustRightInd w:val="0"/>
        <w:snapToGrid w:val="0"/>
        <w:spacing w:line="360" w:lineRule="auto"/>
        <w:jc w:val="center"/>
        <w:outlineLvl w:val="9"/>
        <w:rPr>
          <w:rFonts w:hint="eastAsia" w:ascii="宋体" w:hAnsi="宋体" w:eastAsia="宋体" w:cs="宋体"/>
          <w:b/>
          <w:sz w:val="32"/>
          <w:szCs w:val="72"/>
          <w:lang w:eastAsia="zh-CN"/>
        </w:rPr>
      </w:pPr>
      <w:r>
        <w:rPr>
          <w:rFonts w:hint="eastAsia" w:ascii="宋体" w:hAnsi="宋体" w:eastAsia="宋体" w:cs="宋体"/>
          <w:b/>
          <w:sz w:val="32"/>
          <w:szCs w:val="72"/>
        </w:rPr>
        <w:t>第二部分 中</w:t>
      </w:r>
      <w:r>
        <w:rPr>
          <w:rFonts w:hint="eastAsia" w:ascii="宋体" w:hAnsi="宋体" w:eastAsia="宋体" w:cs="宋体"/>
          <w:b/>
          <w:sz w:val="32"/>
          <w:szCs w:val="72"/>
          <w:lang w:eastAsia="zh-CN"/>
        </w:rPr>
        <w:t>选</w:t>
      </w:r>
      <w:r>
        <w:rPr>
          <w:rFonts w:hint="eastAsia" w:ascii="宋体" w:hAnsi="宋体" w:eastAsia="宋体" w:cs="宋体"/>
          <w:b/>
          <w:sz w:val="32"/>
          <w:szCs w:val="72"/>
        </w:rPr>
        <w:t>通知书</w:t>
      </w:r>
      <w:bookmarkEnd w:id="80"/>
    </w:p>
    <w:p>
      <w:pPr>
        <w:outlineLvl w:val="9"/>
        <w:rPr>
          <w:rFonts w:hint="eastAsia" w:ascii="宋体" w:hAnsi="宋体" w:eastAsia="宋体" w:cs="宋体"/>
          <w:b/>
          <w:sz w:val="32"/>
          <w:szCs w:val="72"/>
        </w:rPr>
      </w:pPr>
    </w:p>
    <w:p>
      <w:pPr>
        <w:outlineLvl w:val="9"/>
        <w:rPr>
          <w:rFonts w:hint="eastAsia" w:ascii="宋体" w:hAnsi="宋体" w:eastAsia="宋体" w:cs="宋体"/>
          <w:b/>
          <w:sz w:val="32"/>
          <w:szCs w:val="72"/>
        </w:rPr>
      </w:pPr>
    </w:p>
    <w:p>
      <w:pPr>
        <w:outlineLvl w:val="9"/>
        <w:rPr>
          <w:rFonts w:hint="eastAsia" w:ascii="宋体" w:hAnsi="宋体" w:eastAsia="宋体" w:cs="宋体"/>
          <w:b/>
          <w:sz w:val="32"/>
          <w:szCs w:val="72"/>
        </w:rPr>
      </w:pPr>
      <w:bookmarkStart w:id="81" w:name="_Toc524010283"/>
      <w:r>
        <w:rPr>
          <w:rFonts w:hint="eastAsia" w:ascii="宋体" w:hAnsi="宋体" w:eastAsia="宋体" w:cs="宋体"/>
          <w:b/>
          <w:sz w:val="32"/>
          <w:szCs w:val="72"/>
        </w:rPr>
        <w:br w:type="page"/>
      </w:r>
    </w:p>
    <w:p>
      <w:pPr>
        <w:adjustRightInd w:val="0"/>
        <w:snapToGrid w:val="0"/>
        <w:spacing w:line="360" w:lineRule="auto"/>
        <w:jc w:val="center"/>
        <w:outlineLvl w:val="9"/>
        <w:rPr>
          <w:rFonts w:hint="eastAsia" w:ascii="宋体" w:hAnsi="宋体" w:eastAsia="宋体" w:cs="宋体"/>
          <w:b/>
          <w:sz w:val="32"/>
          <w:szCs w:val="72"/>
        </w:rPr>
      </w:pPr>
      <w:r>
        <w:rPr>
          <w:rFonts w:hint="eastAsia" w:ascii="宋体" w:hAnsi="宋体" w:eastAsia="宋体" w:cs="宋体"/>
          <w:b/>
          <w:sz w:val="32"/>
          <w:szCs w:val="72"/>
        </w:rPr>
        <w:t>第三部分 合同条款</w:t>
      </w:r>
      <w:bookmarkEnd w:id="81"/>
    </w:p>
    <w:p>
      <w:pPr>
        <w:outlineLvl w:val="9"/>
        <w:rPr>
          <w:rFonts w:hint="eastAsia" w:ascii="宋体" w:hAnsi="宋体" w:eastAsia="宋体" w:cs="宋体"/>
          <w:b/>
          <w:sz w:val="21"/>
          <w:szCs w:val="21"/>
        </w:rPr>
      </w:pPr>
      <w:bookmarkStart w:id="82" w:name="_Toc490667197"/>
      <w:bookmarkStart w:id="83" w:name="_Toc524010284"/>
      <w:bookmarkStart w:id="84" w:name="_Toc25426"/>
      <w:r>
        <w:rPr>
          <w:rFonts w:hint="eastAsia" w:ascii="宋体" w:hAnsi="宋体" w:eastAsia="宋体" w:cs="宋体"/>
          <w:b/>
          <w:sz w:val="21"/>
          <w:szCs w:val="21"/>
        </w:rPr>
        <w:t>一、定义与解释</w:t>
      </w:r>
      <w:bookmarkEnd w:id="82"/>
      <w:bookmarkEnd w:id="83"/>
      <w:bookmarkEnd w:id="84"/>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1、“合同”是指甲乙双方签署的、合同格式中载明的甲乙双方所达成的协议，包括合同协议书、合同条款及合同附件、合同附录和上述文件所提到的构成合同的所有文件。</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2、“签约酬金”是指甲方和乙方在合同协议书中确定的金额，即本项目的中标价或中选价或成交价。</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3、“酬金”是指根据本合同规定乙方在正确地完全履行合同义务后，经长沙市政府相关职能部门或</w:t>
      </w:r>
      <w:r>
        <w:rPr>
          <w:rFonts w:hint="eastAsia" w:ascii="宋体" w:hAnsi="宋体" w:eastAsia="宋体" w:cs="宋体"/>
          <w:sz w:val="21"/>
          <w:szCs w:val="21"/>
          <w:lang w:eastAsia="zh-CN"/>
        </w:rPr>
        <w:t>甲方</w:t>
      </w:r>
      <w:r>
        <w:rPr>
          <w:rFonts w:hint="eastAsia" w:ascii="宋体" w:hAnsi="宋体" w:eastAsia="宋体" w:cs="宋体"/>
          <w:sz w:val="21"/>
          <w:szCs w:val="21"/>
        </w:rPr>
        <w:t>审定的结算价格。</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4、“服务”是指根据本合同规定乙方在本项目中应承担所有工作和一切义务。</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5、“甲方”是指委托服务的一方以及其合法继承人，即合同协议书中所述的甲方。</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6、“乙方”是指承担服务的一方以及其合法继承人，即合同协议书中所述的乙方。</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7、“现场”是指合同协议书中明确的履行服务的现场。</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8、“日”是指任何一天零时至第二天零时的时间段。</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9、“月”是指根据公历从一个月份中任何一天开始到下一个月相应日期的前一天的时间段。</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11、“书面形式”是指合同书、信件和数据电文（包括电报、电传、传真、电子数据交换和电子邮件）等可以有形地表现所载内容的形式。</w:t>
      </w:r>
    </w:p>
    <w:p>
      <w:pPr>
        <w:adjustRightInd w:val="0"/>
        <w:snapToGrid w:val="0"/>
        <w:spacing w:line="360" w:lineRule="auto"/>
        <w:ind w:firstLine="411" w:firstLineChars="196"/>
        <w:rPr>
          <w:rFonts w:hint="eastAsia" w:ascii="宋体" w:hAnsi="宋体" w:eastAsia="宋体" w:cs="宋体"/>
          <w:sz w:val="21"/>
          <w:szCs w:val="21"/>
        </w:rPr>
      </w:pPr>
      <w:r>
        <w:rPr>
          <w:rFonts w:hint="eastAsia" w:ascii="宋体" w:hAnsi="宋体" w:eastAsia="宋体" w:cs="宋体"/>
          <w:sz w:val="21"/>
          <w:szCs w:val="21"/>
        </w:rPr>
        <w:t>12、“不可抗力”是指委托人和咨询人在订立本合同时不可预见，在合同履行过程中不可避免并不能克服的自然灾害和社会性突发事件，如地震、海啸、瘟疫、水灾、骚乱、暴动、战争等情形。</w:t>
      </w:r>
      <w:bookmarkStart w:id="85" w:name="_Toc12453"/>
      <w:bookmarkStart w:id="86" w:name="_Toc1523"/>
    </w:p>
    <w:p>
      <w:pPr>
        <w:outlineLvl w:val="9"/>
        <w:rPr>
          <w:rFonts w:hint="eastAsia" w:ascii="宋体" w:hAnsi="宋体" w:eastAsia="宋体" w:cs="宋体"/>
          <w:b/>
          <w:bCs w:val="0"/>
          <w:sz w:val="21"/>
          <w:szCs w:val="21"/>
        </w:rPr>
      </w:pPr>
      <w:bookmarkStart w:id="87" w:name="_Toc524010285"/>
      <w:r>
        <w:rPr>
          <w:rFonts w:hint="eastAsia" w:ascii="宋体" w:hAnsi="宋体" w:eastAsia="宋体" w:cs="宋体"/>
          <w:b/>
          <w:sz w:val="21"/>
          <w:szCs w:val="21"/>
        </w:rPr>
        <w:t>二、标准和规范</w:t>
      </w:r>
      <w:bookmarkEnd w:id="85"/>
      <w:bookmarkEnd w:id="87"/>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sz w:val="21"/>
          <w:szCs w:val="21"/>
        </w:rPr>
      </w:pPr>
      <w:r>
        <w:rPr>
          <w:rFonts w:hint="eastAsia" w:ascii="宋体" w:hAnsi="宋体" w:eastAsia="宋体" w:cs="宋体"/>
          <w:sz w:val="21"/>
          <w:szCs w:val="21"/>
        </w:rPr>
        <w:t>2.1 适用国家标准、行业标准、工程所在地的地方性标准，以及相应的规范、规程等。</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2.2 甲方对本项目的技术标准或功能的其他要求</w:t>
      </w:r>
      <w:r>
        <w:rPr>
          <w:rFonts w:hint="eastAsia" w:ascii="宋体" w:hAnsi="宋体" w:eastAsia="宋体" w:cs="宋体"/>
          <w:sz w:val="21"/>
          <w:szCs w:val="21"/>
          <w:u w:val="single"/>
        </w:rPr>
        <w:t>以</w:t>
      </w:r>
      <w:r>
        <w:rPr>
          <w:rFonts w:hint="eastAsia" w:ascii="宋体" w:hAnsi="宋体" w:eastAsia="宋体" w:cs="宋体"/>
          <w:sz w:val="21"/>
          <w:szCs w:val="21"/>
          <w:u w:val="single"/>
          <w:lang w:eastAsia="zh-CN"/>
        </w:rPr>
        <w:t>用户需求书/技术规格书</w:t>
      </w:r>
      <w:r>
        <w:rPr>
          <w:rFonts w:hint="eastAsia" w:ascii="宋体" w:hAnsi="宋体" w:eastAsia="宋体" w:cs="宋体"/>
          <w:sz w:val="21"/>
          <w:szCs w:val="21"/>
          <w:u w:val="single"/>
        </w:rPr>
        <w:t>为准</w:t>
      </w:r>
      <w:r>
        <w:rPr>
          <w:rFonts w:hint="eastAsia" w:ascii="宋体" w:hAnsi="宋体" w:eastAsia="宋体" w:cs="宋体"/>
          <w:sz w:val="21"/>
          <w:szCs w:val="21"/>
        </w:rPr>
        <w:t>。</w:t>
      </w:r>
    </w:p>
    <w:p>
      <w:pPr>
        <w:outlineLvl w:val="9"/>
        <w:rPr>
          <w:rFonts w:hint="eastAsia" w:ascii="宋体" w:hAnsi="宋体" w:eastAsia="宋体" w:cs="宋体"/>
          <w:b/>
          <w:bCs w:val="0"/>
          <w:sz w:val="21"/>
          <w:szCs w:val="21"/>
        </w:rPr>
      </w:pPr>
      <w:bookmarkStart w:id="88" w:name="_Toc524010286"/>
      <w:r>
        <w:rPr>
          <w:rFonts w:hint="eastAsia" w:ascii="宋体" w:hAnsi="宋体" w:eastAsia="宋体" w:cs="宋体"/>
          <w:b/>
          <w:sz w:val="21"/>
          <w:szCs w:val="21"/>
        </w:rPr>
        <w:t>三、</w:t>
      </w:r>
      <w:bookmarkEnd w:id="86"/>
      <w:r>
        <w:rPr>
          <w:rFonts w:hint="eastAsia" w:ascii="宋体" w:hAnsi="宋体" w:eastAsia="宋体" w:cs="宋体"/>
          <w:b/>
          <w:sz w:val="21"/>
          <w:szCs w:val="21"/>
        </w:rPr>
        <w:t>价款</w:t>
      </w:r>
      <w:bookmarkEnd w:id="88"/>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3.1本项目签约酬金为（大写）人民币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元</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3.2本项目为</w:t>
      </w:r>
      <w:r>
        <w:rPr>
          <w:rFonts w:hint="eastAsia" w:ascii="宋体" w:hAnsi="宋体" w:eastAsia="宋体" w:cs="宋体"/>
          <w:sz w:val="21"/>
          <w:szCs w:val="21"/>
          <w:u w:val="single"/>
        </w:rPr>
        <w:t>单价</w:t>
      </w:r>
      <w:r>
        <w:rPr>
          <w:rFonts w:hint="eastAsia" w:ascii="宋体" w:hAnsi="宋体" w:eastAsia="宋体" w:cs="宋体"/>
          <w:sz w:val="21"/>
          <w:szCs w:val="21"/>
        </w:rPr>
        <w:t>合同，酬金包括</w:t>
      </w:r>
      <w:r>
        <w:rPr>
          <w:rFonts w:hint="eastAsia" w:ascii="宋体" w:hAnsi="宋体" w:eastAsia="宋体" w:cs="宋体"/>
          <w:sz w:val="21"/>
          <w:szCs w:val="21"/>
          <w:u w:val="single"/>
        </w:rPr>
        <w:t>运营期票款押运网络监控服务过程中的人工、材料、设备材料（含采购及租用）、故障维修</w:t>
      </w:r>
      <w:r>
        <w:rPr>
          <w:rFonts w:hint="eastAsia" w:ascii="宋体" w:hAnsi="宋体" w:eastAsia="宋体" w:cs="宋体"/>
          <w:sz w:val="21"/>
          <w:szCs w:val="21"/>
        </w:rPr>
        <w:t>及其它在服务过程中所需的管理费、利润、税金等一切费用。在项目实施中出现任何遗漏，均由乙方免费提供，甲方不再支付任何费用。</w:t>
      </w:r>
      <w:bookmarkStart w:id="89" w:name="_Toc357774463"/>
      <w:bookmarkStart w:id="90" w:name="_Toc8367"/>
      <w:bookmarkStart w:id="91" w:name="_Toc136850801"/>
      <w:bookmarkStart w:id="92" w:name="_Toc240992306"/>
      <w:bookmarkStart w:id="93" w:name="_Toc192323515"/>
      <w:bookmarkStart w:id="94" w:name="_Toc23767"/>
    </w:p>
    <w:p>
      <w:pPr>
        <w:outlineLvl w:val="9"/>
        <w:rPr>
          <w:rFonts w:hint="eastAsia" w:ascii="宋体" w:hAnsi="宋体" w:eastAsia="宋体" w:cs="宋体"/>
          <w:b/>
          <w:bCs w:val="0"/>
          <w:sz w:val="21"/>
          <w:szCs w:val="21"/>
        </w:rPr>
      </w:pPr>
      <w:bookmarkStart w:id="95" w:name="_Toc524010287"/>
      <w:r>
        <w:rPr>
          <w:rFonts w:hint="eastAsia" w:ascii="宋体" w:hAnsi="宋体" w:eastAsia="宋体" w:cs="宋体"/>
          <w:b/>
          <w:sz w:val="21"/>
          <w:szCs w:val="21"/>
        </w:rPr>
        <w:t>四、</w:t>
      </w:r>
      <w:bookmarkEnd w:id="89"/>
      <w:bookmarkEnd w:id="90"/>
      <w:bookmarkEnd w:id="91"/>
      <w:bookmarkEnd w:id="92"/>
      <w:bookmarkEnd w:id="93"/>
      <w:r>
        <w:rPr>
          <w:rFonts w:hint="eastAsia" w:ascii="宋体" w:hAnsi="宋体" w:eastAsia="宋体" w:cs="宋体"/>
          <w:b/>
          <w:sz w:val="21"/>
          <w:szCs w:val="21"/>
        </w:rPr>
        <w:t>支付</w:t>
      </w:r>
      <w:bookmarkEnd w:id="95"/>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bCs/>
          <w:sz w:val="21"/>
          <w:szCs w:val="21"/>
        </w:rPr>
        <w:t>4.1</w:t>
      </w:r>
      <w:r>
        <w:rPr>
          <w:rFonts w:hint="eastAsia" w:ascii="宋体" w:hAnsi="宋体" w:eastAsia="宋体" w:cs="宋体"/>
          <w:sz w:val="21"/>
          <w:szCs w:val="21"/>
        </w:rPr>
        <w:t>付款周期为每</w:t>
      </w:r>
      <w:r>
        <w:rPr>
          <w:rFonts w:hint="eastAsia" w:ascii="宋体" w:hAnsi="宋体" w:eastAsia="宋体" w:cs="宋体"/>
          <w:sz w:val="21"/>
          <w:szCs w:val="21"/>
          <w:u w:val="single"/>
          <w:lang w:eastAsia="zh-CN"/>
        </w:rPr>
        <w:t>半年</w:t>
      </w:r>
      <w:r>
        <w:rPr>
          <w:rFonts w:hint="eastAsia" w:ascii="宋体" w:hAnsi="宋体" w:eastAsia="宋体" w:cs="宋体"/>
          <w:sz w:val="21"/>
          <w:szCs w:val="21"/>
        </w:rPr>
        <w:t>支付一次，甲方对乙方工作进行验收，且乙方按甲方的支付程序办理请款手续并提供合规的增值税专用发票后28个工作日内，由甲方向乙方支付；</w:t>
      </w:r>
    </w:p>
    <w:p>
      <w:pPr>
        <w:adjustRightInd w:val="0"/>
        <w:snapToGrid w:val="0"/>
        <w:spacing w:line="360" w:lineRule="auto"/>
        <w:ind w:firstLine="411" w:firstLineChars="196"/>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4.2每次支付金额为</w:t>
      </w:r>
      <w:r>
        <w:rPr>
          <w:rFonts w:hint="eastAsia" w:ascii="宋体" w:hAnsi="宋体" w:eastAsia="宋体" w:cs="宋体"/>
          <w:sz w:val="21"/>
          <w:szCs w:val="21"/>
          <w:lang w:eastAsia="zh-CN"/>
        </w:rPr>
        <w:t>当期</w:t>
      </w:r>
      <w:r>
        <w:rPr>
          <w:rFonts w:hint="eastAsia" w:ascii="宋体" w:hAnsi="宋体" w:eastAsia="宋体" w:cs="宋体"/>
          <w:sz w:val="21"/>
          <w:szCs w:val="21"/>
        </w:rPr>
        <w:t>计量金额综合</w:t>
      </w:r>
      <w:r>
        <w:rPr>
          <w:rFonts w:hint="eastAsia" w:ascii="宋体" w:hAnsi="宋体" w:eastAsia="宋体" w:cs="宋体"/>
          <w:sz w:val="21"/>
          <w:szCs w:val="21"/>
          <w:lang w:eastAsia="zh-CN"/>
        </w:rPr>
        <w:t>当期</w:t>
      </w:r>
      <w:r>
        <w:rPr>
          <w:rFonts w:hint="eastAsia" w:ascii="宋体" w:hAnsi="宋体" w:eastAsia="宋体" w:cs="宋体"/>
          <w:sz w:val="21"/>
          <w:szCs w:val="21"/>
        </w:rPr>
        <w:t>检查考评结果后的金额</w:t>
      </w:r>
      <w:r>
        <w:rPr>
          <w:rFonts w:hint="eastAsia" w:ascii="宋体" w:hAnsi="宋体" w:eastAsia="宋体" w:cs="宋体"/>
          <w:sz w:val="21"/>
          <w:szCs w:val="21"/>
          <w:lang w:eastAsia="zh-CN"/>
        </w:rPr>
        <w:t>，</w:t>
      </w:r>
      <w:r>
        <w:rPr>
          <w:rFonts w:hint="eastAsia" w:ascii="宋体" w:hAnsi="宋体" w:eastAsia="宋体" w:cs="宋体"/>
          <w:sz w:val="21"/>
          <w:szCs w:val="21"/>
        </w:rPr>
        <w:t>甲方</w:t>
      </w:r>
      <w:r>
        <w:rPr>
          <w:rFonts w:hint="eastAsia" w:ascii="宋体" w:hAnsi="宋体" w:eastAsia="宋体" w:cs="宋体"/>
          <w:bCs/>
          <w:sz w:val="21"/>
          <w:szCs w:val="21"/>
        </w:rPr>
        <w:t>验收合</w:t>
      </w:r>
      <w:r>
        <w:rPr>
          <w:rFonts w:hint="eastAsia" w:ascii="宋体" w:hAnsi="宋体" w:eastAsia="宋体" w:cs="宋体"/>
          <w:sz w:val="21"/>
          <w:szCs w:val="21"/>
        </w:rPr>
        <w:t>格后向乙方支付上一个付款周期的价款</w:t>
      </w:r>
      <w:r>
        <w:rPr>
          <w:rFonts w:hint="eastAsia" w:ascii="宋体" w:hAnsi="宋体" w:eastAsia="宋体" w:cs="宋体"/>
          <w:sz w:val="21"/>
          <w:szCs w:val="21"/>
          <w:lang w:eastAsia="zh-CN"/>
        </w:rPr>
        <w:t>，</w:t>
      </w:r>
      <w:r>
        <w:rPr>
          <w:rFonts w:hint="eastAsia" w:ascii="宋体" w:hAnsi="宋体" w:eastAsia="宋体" w:cs="宋体"/>
          <w:color w:val="auto"/>
          <w:sz w:val="21"/>
          <w:szCs w:val="21"/>
          <w:highlight w:val="none"/>
          <w:lang w:val="en-US" w:eastAsia="zh-CN"/>
        </w:rPr>
        <w:t>最后一个付款周期需在办完履约验收完成后付款。</w:t>
      </w:r>
    </w:p>
    <w:p>
      <w:pPr>
        <w:adjustRightInd w:val="0"/>
        <w:snapToGrid w:val="0"/>
        <w:spacing w:line="360" w:lineRule="auto"/>
        <w:ind w:firstLine="411" w:firstLineChars="196"/>
        <w:outlineLvl w:val="9"/>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lang w:val="en-US" w:eastAsia="zh-CN"/>
        </w:rPr>
        <w:t>其中，当期计量金额=</w:t>
      </w:r>
      <w:r>
        <w:rPr>
          <w:rFonts w:hint="eastAsia" w:ascii="宋体" w:hAnsi="宋体" w:eastAsia="宋体" w:cs="宋体"/>
          <w:b w:val="0"/>
          <w:bCs w:val="0"/>
          <w:sz w:val="21"/>
          <w:szCs w:val="21"/>
          <w:lang w:eastAsia="zh-CN"/>
        </w:rPr>
        <w:t>（联网报警</w:t>
      </w:r>
      <w:r>
        <w:rPr>
          <w:rFonts w:hint="eastAsia" w:ascii="宋体" w:hAnsi="宋体" w:eastAsia="宋体" w:cs="宋体"/>
          <w:b w:val="0"/>
          <w:bCs w:val="0"/>
          <w:sz w:val="21"/>
          <w:szCs w:val="21"/>
        </w:rPr>
        <w:t>单价</w:t>
      </w:r>
      <w:r>
        <w:rPr>
          <w:rFonts w:hint="eastAsia" w:ascii="宋体" w:hAnsi="宋体" w:eastAsia="宋体" w:cs="宋体"/>
          <w:b w:val="0"/>
          <w:bCs w:val="0"/>
          <w:sz w:val="21"/>
          <w:szCs w:val="21"/>
          <w:lang w:val="en-US" w:eastAsia="zh-CN"/>
        </w:rPr>
        <w:t>+视频监控单价+每个站点初装费平均到当期的费用）</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当期</w:t>
      </w:r>
      <w:r>
        <w:rPr>
          <w:rFonts w:hint="eastAsia" w:ascii="宋体" w:hAnsi="宋体" w:eastAsia="宋体" w:cs="宋体"/>
          <w:b w:val="0"/>
          <w:bCs w:val="0"/>
          <w:sz w:val="21"/>
          <w:szCs w:val="21"/>
        </w:rPr>
        <w:t>实际服务站点</w:t>
      </w:r>
      <w:r>
        <w:rPr>
          <w:rFonts w:hint="eastAsia" w:ascii="宋体" w:hAnsi="宋体" w:eastAsia="宋体" w:cs="宋体"/>
          <w:b w:val="0"/>
          <w:bCs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履约验收完成付款：乙方按合同规定完成履约，且收到乙方提交经审批同意的支付申请及增值税专用税务发票、有效期内的履约担保复印件等相关资料后28个工作日内，支付最后一个付款周期的酬金。项目履约验收按甲方相关规定执行。</w:t>
      </w:r>
    </w:p>
    <w:p>
      <w:pPr>
        <w:outlineLvl w:val="9"/>
        <w:rPr>
          <w:rFonts w:hint="eastAsia" w:ascii="宋体" w:hAnsi="宋体" w:eastAsia="宋体" w:cs="宋体"/>
          <w:b/>
          <w:bCs w:val="0"/>
          <w:sz w:val="21"/>
          <w:szCs w:val="21"/>
        </w:rPr>
      </w:pPr>
      <w:bookmarkStart w:id="96" w:name="_Toc524010288"/>
      <w:r>
        <w:rPr>
          <w:rFonts w:hint="eastAsia" w:ascii="宋体" w:hAnsi="宋体" w:eastAsia="宋体" w:cs="宋体"/>
          <w:b/>
          <w:sz w:val="21"/>
          <w:szCs w:val="21"/>
        </w:rPr>
        <w:t>五、履约担保</w:t>
      </w:r>
      <w:bookmarkEnd w:id="94"/>
      <w:bookmarkEnd w:id="96"/>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kern w:val="0"/>
          <w:sz w:val="21"/>
          <w:szCs w:val="21"/>
        </w:rPr>
        <w:t>履约担保是办理付款的必要条件之一，乙方应在本合同签订后</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个工作日内提供履约担保。</w:t>
      </w:r>
    </w:p>
    <w:p>
      <w:pPr>
        <w:adjustRightInd w:val="0"/>
        <w:snapToGrid w:val="0"/>
        <w:spacing w:line="360" w:lineRule="auto"/>
        <w:ind w:firstLine="411" w:firstLineChars="196"/>
        <w:outlineLvl w:val="9"/>
        <w:rPr>
          <w:rFonts w:hint="eastAsia" w:ascii="宋体" w:hAnsi="宋体" w:eastAsia="宋体" w:cs="宋体"/>
          <w:kern w:val="0"/>
          <w:sz w:val="21"/>
          <w:szCs w:val="21"/>
        </w:rPr>
      </w:pPr>
      <w:r>
        <w:rPr>
          <w:rFonts w:hint="eastAsia" w:ascii="宋体" w:hAnsi="宋体" w:eastAsia="宋体" w:cs="宋体"/>
          <w:sz w:val="21"/>
          <w:szCs w:val="21"/>
        </w:rPr>
        <w:t>5.2</w:t>
      </w:r>
      <w:r>
        <w:rPr>
          <w:rFonts w:hint="eastAsia" w:ascii="宋体" w:hAnsi="宋体" w:eastAsia="宋体" w:cs="宋体"/>
          <w:kern w:val="0"/>
          <w:sz w:val="21"/>
          <w:szCs w:val="21"/>
        </w:rPr>
        <w:t>履约担保用于补偿甲方因乙方不能完成其合同义务而蒙受的损失。</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kern w:val="0"/>
          <w:sz w:val="21"/>
          <w:szCs w:val="21"/>
        </w:rPr>
        <w:t>5.3乙方提供履约担保的形式、金额及期限可采用以下两种方式之一：</w:t>
      </w:r>
      <w:bookmarkStart w:id="97" w:name="_Toc384885957"/>
    </w:p>
    <w:p>
      <w:pPr>
        <w:adjustRightInd w:val="0"/>
        <w:snapToGrid w:val="0"/>
        <w:spacing w:line="360" w:lineRule="auto"/>
        <w:ind w:firstLine="411" w:firstLineChars="196"/>
        <w:outlineLvl w:val="9"/>
        <w:rPr>
          <w:rFonts w:hint="eastAsia" w:ascii="宋体" w:hAnsi="宋体" w:eastAsia="宋体" w:cs="宋体"/>
          <w:kern w:val="0"/>
          <w:sz w:val="21"/>
          <w:szCs w:val="21"/>
        </w:rPr>
      </w:pPr>
      <w:r>
        <w:rPr>
          <w:rFonts w:hint="eastAsia" w:ascii="宋体" w:hAnsi="宋体" w:eastAsia="宋体" w:cs="宋体"/>
          <w:kern w:val="0"/>
          <w:sz w:val="21"/>
          <w:szCs w:val="21"/>
        </w:rPr>
        <w:t>（1）采用银行履约保函形式，银行履约保函的担保额度为签约</w:t>
      </w:r>
      <w:r>
        <w:rPr>
          <w:rFonts w:hint="eastAsia" w:ascii="宋体" w:hAnsi="宋体" w:eastAsia="宋体" w:cs="宋体"/>
          <w:kern w:val="0"/>
          <w:sz w:val="21"/>
          <w:szCs w:val="21"/>
          <w:lang w:eastAsia="zh-CN"/>
        </w:rPr>
        <w:t>酬金</w:t>
      </w:r>
      <w:r>
        <w:rPr>
          <w:rFonts w:hint="eastAsia" w:ascii="宋体" w:hAnsi="宋体" w:eastAsia="宋体" w:cs="宋体"/>
          <w:kern w:val="0"/>
          <w:sz w:val="21"/>
          <w:szCs w:val="21"/>
        </w:rPr>
        <w:t>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kern w:val="0"/>
          <w:sz w:val="21"/>
          <w:szCs w:val="21"/>
        </w:rPr>
      </w:pPr>
      <w:r>
        <w:rPr>
          <w:rFonts w:hint="eastAsia" w:ascii="宋体" w:hAnsi="宋体" w:eastAsia="宋体" w:cs="宋体"/>
          <w:kern w:val="0"/>
          <w:sz w:val="21"/>
          <w:szCs w:val="21"/>
        </w:rPr>
        <w:t>（2）采用现金形式，现金担保额度为签约</w:t>
      </w:r>
      <w:r>
        <w:rPr>
          <w:rFonts w:hint="eastAsia" w:ascii="宋体" w:hAnsi="宋体" w:eastAsia="宋体" w:cs="宋体"/>
          <w:kern w:val="0"/>
          <w:sz w:val="21"/>
          <w:szCs w:val="21"/>
          <w:lang w:eastAsia="zh-CN"/>
        </w:rPr>
        <w:t>酬金</w:t>
      </w:r>
      <w:r>
        <w:rPr>
          <w:rFonts w:hint="eastAsia" w:ascii="宋体" w:hAnsi="宋体" w:eastAsia="宋体" w:cs="宋体"/>
          <w:kern w:val="0"/>
          <w:sz w:val="21"/>
          <w:szCs w:val="21"/>
        </w:rPr>
        <w:t>的10%，担保期限为履约保证金到账之日起，至服务期满之日止。履约担保以现金形式提交的，乙方应从其</w:t>
      </w:r>
      <w:r>
        <w:rPr>
          <w:rFonts w:hint="eastAsia" w:ascii="宋体" w:hAnsi="宋体" w:eastAsia="宋体" w:cs="宋体"/>
          <w:kern w:val="0"/>
          <w:sz w:val="21"/>
          <w:szCs w:val="21"/>
          <w:lang w:eastAsia="zh-CN"/>
        </w:rPr>
        <w:t>公司</w:t>
      </w:r>
      <w:r>
        <w:rPr>
          <w:rFonts w:hint="eastAsia" w:ascii="宋体" w:hAnsi="宋体" w:eastAsia="宋体" w:cs="宋体"/>
          <w:kern w:val="0"/>
          <w:sz w:val="21"/>
          <w:szCs w:val="21"/>
        </w:rPr>
        <w:t>账户通过</w:t>
      </w:r>
      <w:r>
        <w:rPr>
          <w:rFonts w:hint="eastAsia" w:ascii="宋体" w:hAnsi="宋体" w:eastAsia="宋体" w:cs="宋体"/>
          <w:kern w:val="0"/>
          <w:sz w:val="21"/>
          <w:szCs w:val="21"/>
          <w:lang w:eastAsia="zh-CN"/>
        </w:rPr>
        <w:t>转账</w:t>
      </w:r>
      <w:r>
        <w:rPr>
          <w:rFonts w:hint="eastAsia" w:ascii="宋体" w:hAnsi="宋体" w:eastAsia="宋体" w:cs="宋体"/>
          <w:kern w:val="0"/>
          <w:sz w:val="21"/>
          <w:szCs w:val="21"/>
        </w:rPr>
        <w:t>或电汇至甲方指定的账户。</w:t>
      </w:r>
    </w:p>
    <w:p>
      <w:pPr>
        <w:tabs>
          <w:tab w:val="left" w:pos="851"/>
        </w:tabs>
        <w:adjustRightInd w:val="0"/>
        <w:snapToGrid w:val="0"/>
        <w:spacing w:line="360" w:lineRule="auto"/>
        <w:ind w:firstLine="420" w:firstLineChars="200"/>
        <w:textAlignment w:val="baseline"/>
        <w:outlineLvl w:val="9"/>
        <w:rPr>
          <w:rFonts w:hint="eastAsia" w:ascii="宋体" w:hAnsi="宋体" w:eastAsia="宋体" w:cs="宋体"/>
          <w:kern w:val="0"/>
          <w:sz w:val="21"/>
          <w:szCs w:val="21"/>
        </w:rPr>
      </w:pPr>
      <w:r>
        <w:rPr>
          <w:rFonts w:hint="eastAsia" w:ascii="宋体" w:hAnsi="宋体" w:eastAsia="宋体" w:cs="宋体"/>
          <w:kern w:val="0"/>
          <w:sz w:val="21"/>
          <w:szCs w:val="21"/>
        </w:rPr>
        <w:t>5.4在乙方完成其合同义务包括任何保证义务后，甲方将把履约担保无息退还乙方。</w:t>
      </w:r>
    </w:p>
    <w:p>
      <w:pPr>
        <w:outlineLvl w:val="9"/>
        <w:rPr>
          <w:rFonts w:hint="eastAsia" w:ascii="宋体" w:hAnsi="宋体" w:eastAsia="宋体" w:cs="宋体"/>
          <w:b/>
          <w:sz w:val="21"/>
          <w:szCs w:val="21"/>
        </w:rPr>
      </w:pPr>
      <w:bookmarkStart w:id="98" w:name="_Toc524010289"/>
      <w:r>
        <w:rPr>
          <w:rFonts w:hint="eastAsia" w:ascii="宋体" w:hAnsi="宋体" w:eastAsia="宋体" w:cs="宋体"/>
          <w:b/>
          <w:sz w:val="21"/>
          <w:szCs w:val="21"/>
        </w:rPr>
        <w:t>六、双方责任</w:t>
      </w:r>
      <w:bookmarkEnd w:id="98"/>
    </w:p>
    <w:p>
      <w:pPr>
        <w:adjustRightInd w:val="0"/>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6.1甲方责任</w:t>
      </w:r>
      <w:bookmarkEnd w:id="97"/>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1、在服务期间,向乙方提供必要的工作条件。</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2、提供服务工作所需的基础资料。</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3、甲方在本项目履行期间派一名代表协助乙方处理项目执行中存在的问题，并对乙方工作进行监督、检查。</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4、根据本合同规定按时向乙方付款。</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5、按合同要求组织验收。</w:t>
      </w:r>
    </w:p>
    <w:p>
      <w:pPr>
        <w:widowControl/>
        <w:adjustRightInd w:val="0"/>
        <w:snapToGrid w:val="0"/>
        <w:spacing w:line="360" w:lineRule="auto"/>
        <w:ind w:firstLine="413" w:firstLineChars="196"/>
        <w:outlineLvl w:val="9"/>
        <w:rPr>
          <w:rFonts w:hint="eastAsia" w:ascii="宋体" w:hAnsi="宋体" w:eastAsia="宋体" w:cs="宋体"/>
          <w:b/>
          <w:sz w:val="21"/>
          <w:szCs w:val="21"/>
        </w:rPr>
      </w:pPr>
      <w:bookmarkStart w:id="99" w:name="_Toc384885958"/>
      <w:r>
        <w:rPr>
          <w:rFonts w:hint="eastAsia" w:ascii="宋体" w:hAnsi="宋体" w:eastAsia="宋体" w:cs="宋体"/>
          <w:b/>
          <w:sz w:val="21"/>
          <w:szCs w:val="21"/>
        </w:rPr>
        <w:t>6.2乙方责任</w:t>
      </w:r>
      <w:bookmarkEnd w:id="99"/>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1、乙方应严格按照合同约定的标准、规范提供服务。</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2、乙方须安排专人值守，确保通讯畅通。一旦发现可疑情况或接收报警信号，应及时通知甲方工作人员和押运车组负责人及时处置。</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3、发现或接报故障后，应按甲方要求在规定时间内响并进行处理。</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4、乙方须接受甲方对工期、质量、人员组成、设备、仪器、故障维护过程的监督。</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5、无论是合同期内或合同到期后，乙方须严格遵守保密制度。对包括但不限于参与押运的人员、车辆、时间、线路、押运物品、相关视频等机密事项，不得向任何第三方泄露，但必要的司法协助时除外。</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5、乙方需负责合同约定设备的提供、安装、调试及服务期内故障维护、巡检及合同到期后设备的拆回。</w:t>
      </w:r>
    </w:p>
    <w:p>
      <w:pPr>
        <w:adjustRightInd w:val="0"/>
        <w:snapToGrid w:val="0"/>
        <w:spacing w:line="360" w:lineRule="auto"/>
        <w:ind w:firstLine="411" w:firstLineChars="196"/>
        <w:outlineLvl w:val="9"/>
        <w:rPr>
          <w:rFonts w:hint="eastAsia" w:ascii="宋体" w:hAnsi="宋体" w:eastAsia="宋体" w:cs="宋体"/>
          <w:sz w:val="21"/>
          <w:szCs w:val="21"/>
        </w:rPr>
      </w:pPr>
      <w:r>
        <w:rPr>
          <w:rFonts w:hint="eastAsia" w:ascii="宋体" w:hAnsi="宋体" w:eastAsia="宋体" w:cs="宋体"/>
          <w:sz w:val="21"/>
          <w:szCs w:val="21"/>
        </w:rPr>
        <w:t>6、乙方应按照甲方要求提交服务报告、故障处理记录等相关资料。</w:t>
      </w:r>
    </w:p>
    <w:p>
      <w:pPr>
        <w:outlineLvl w:val="9"/>
        <w:rPr>
          <w:rFonts w:hint="eastAsia" w:ascii="宋体" w:hAnsi="宋体" w:eastAsia="宋体" w:cs="宋体"/>
          <w:b/>
          <w:bCs w:val="0"/>
          <w:sz w:val="21"/>
          <w:szCs w:val="21"/>
        </w:rPr>
      </w:pPr>
      <w:bookmarkStart w:id="100" w:name="_Toc524010290"/>
      <w:r>
        <w:rPr>
          <w:rFonts w:hint="eastAsia" w:ascii="宋体" w:hAnsi="宋体" w:eastAsia="宋体" w:cs="宋体"/>
          <w:b/>
          <w:sz w:val="21"/>
          <w:szCs w:val="21"/>
        </w:rPr>
        <w:t>七、项目验收</w:t>
      </w:r>
      <w:bookmarkEnd w:id="100"/>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乙方应按甲方规定的时间以书面形式提交服务报告、故障处理记录等相关资料，经甲方确认达到本合同要求的技术及质量标准，视为验收合格。具体要求以</w:t>
      </w:r>
      <w:r>
        <w:rPr>
          <w:rFonts w:hint="eastAsia" w:ascii="宋体" w:hAnsi="宋体" w:eastAsia="宋体" w:cs="宋体"/>
          <w:sz w:val="21"/>
          <w:szCs w:val="21"/>
          <w:lang w:eastAsia="zh-CN"/>
        </w:rPr>
        <w:t>用户需求书/</w:t>
      </w:r>
      <w:r>
        <w:rPr>
          <w:rFonts w:hint="eastAsia" w:ascii="宋体" w:hAnsi="宋体" w:cs="宋体"/>
          <w:sz w:val="21"/>
          <w:szCs w:val="21"/>
          <w:lang w:eastAsia="zh-CN"/>
        </w:rPr>
        <w:t>技术规格书</w:t>
      </w:r>
      <w:r>
        <w:rPr>
          <w:rFonts w:hint="eastAsia" w:ascii="宋体" w:hAnsi="宋体" w:eastAsia="宋体" w:cs="宋体"/>
          <w:sz w:val="21"/>
          <w:szCs w:val="21"/>
        </w:rPr>
        <w:t>为准。</w:t>
      </w:r>
    </w:p>
    <w:p>
      <w:pPr>
        <w:outlineLvl w:val="9"/>
        <w:rPr>
          <w:rFonts w:hint="eastAsia" w:ascii="宋体" w:hAnsi="宋体" w:eastAsia="宋体" w:cs="宋体"/>
          <w:b/>
          <w:sz w:val="21"/>
          <w:szCs w:val="21"/>
        </w:rPr>
      </w:pPr>
      <w:bookmarkStart w:id="101" w:name="_Toc524010291"/>
      <w:r>
        <w:rPr>
          <w:rFonts w:hint="eastAsia" w:ascii="宋体" w:hAnsi="宋体" w:eastAsia="宋体" w:cs="宋体"/>
          <w:b/>
          <w:sz w:val="21"/>
          <w:szCs w:val="21"/>
        </w:rPr>
        <w:t>八、违约责任</w:t>
      </w:r>
      <w:bookmarkEnd w:id="101"/>
    </w:p>
    <w:p>
      <w:pPr>
        <w:widowControl/>
        <w:adjustRightInd w:val="0"/>
        <w:snapToGrid w:val="0"/>
        <w:spacing w:line="360" w:lineRule="auto"/>
        <w:ind w:firstLine="420" w:firstLineChars="200"/>
        <w:outlineLvl w:val="9"/>
        <w:rPr>
          <w:rFonts w:hint="eastAsia" w:ascii="宋体" w:hAnsi="宋体" w:eastAsia="宋体" w:cs="宋体"/>
          <w:b/>
          <w:sz w:val="21"/>
          <w:szCs w:val="21"/>
        </w:rPr>
      </w:pPr>
      <w:r>
        <w:rPr>
          <w:rFonts w:hint="eastAsia" w:ascii="宋体" w:hAnsi="宋体" w:eastAsia="宋体" w:cs="宋体"/>
          <w:sz w:val="21"/>
          <w:szCs w:val="21"/>
        </w:rPr>
        <w:t>1、发现或接报故障后，未按甲方要求的时间响应或进行处理的，甲方有权要求乙方交付1000-20000元/次的违约金。</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2、乙方在值守中因工作疏漏、玩忽职守等未及时通知处理和/或给甲方造成损失的，乙方除承担由此给甲方造成的一切损失外，甲方有权要求解除合同。</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3、乙方未采取严格的安全防护措施导致发生人员安全事故的，由乙方承担全部责任及由此而产生的一切费用。</w:t>
      </w:r>
    </w:p>
    <w:p>
      <w:pPr>
        <w:pStyle w:val="45"/>
        <w:spacing w:after="0"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4、因违反保密条款，乙方除承担由此给甲方造成的一切损失外，甲方有权要求解除合同。</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5、乙方未按合同规定的时间及要求完成设备的安装调试、提交服务报告、监控记录、故障处理记录等相关资料，甲方有权要求乙方交纳2000元/次的违约金。</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color w:val="000000"/>
          <w:sz w:val="21"/>
          <w:szCs w:val="21"/>
        </w:rPr>
        <w:t>乙方未在本合同签订后15个工作日内提供履约担保的，</w:t>
      </w:r>
      <w:r>
        <w:rPr>
          <w:rFonts w:hint="eastAsia" w:ascii="宋体" w:hAnsi="宋体" w:eastAsia="宋体" w:cs="宋体"/>
          <w:color w:val="000000"/>
          <w:sz w:val="21"/>
          <w:szCs w:val="21"/>
          <w:lang w:eastAsia="zh-CN"/>
        </w:rPr>
        <w:t>每延迟一天</w:t>
      </w:r>
      <w:r>
        <w:rPr>
          <w:rFonts w:hint="eastAsia" w:ascii="宋体" w:hAnsi="宋体" w:eastAsia="宋体" w:cs="宋体"/>
          <w:color w:val="000000"/>
          <w:sz w:val="21"/>
          <w:szCs w:val="21"/>
        </w:rPr>
        <w:t>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交纳</w:t>
      </w:r>
      <w:r>
        <w:rPr>
          <w:rFonts w:hint="eastAsia" w:ascii="宋体" w:hAnsi="宋体" w:eastAsia="宋体" w:cs="宋体"/>
          <w:color w:val="000000"/>
          <w:sz w:val="21"/>
          <w:szCs w:val="21"/>
        </w:rPr>
        <w:t>违约金</w:t>
      </w:r>
      <w:r>
        <w:rPr>
          <w:rFonts w:hint="eastAsia" w:ascii="宋体" w:hAnsi="宋体" w:eastAsia="宋体" w:cs="宋体"/>
          <w:color w:val="000000"/>
          <w:sz w:val="21"/>
          <w:szCs w:val="21"/>
          <w:lang w:eastAsia="zh-CN"/>
        </w:rPr>
        <w:t>，违约金最高不超过签约合同价的10%。</w:t>
      </w:r>
    </w:p>
    <w:p>
      <w:pPr>
        <w:outlineLvl w:val="9"/>
        <w:rPr>
          <w:rFonts w:hint="eastAsia" w:ascii="宋体" w:hAnsi="宋体" w:eastAsia="宋体" w:cs="宋体"/>
          <w:b/>
          <w:sz w:val="21"/>
          <w:szCs w:val="21"/>
        </w:rPr>
      </w:pPr>
      <w:bookmarkStart w:id="102" w:name="_Toc524010292"/>
      <w:r>
        <w:rPr>
          <w:rFonts w:hint="eastAsia" w:ascii="宋体" w:hAnsi="宋体" w:eastAsia="宋体" w:cs="宋体"/>
          <w:b/>
          <w:sz w:val="21"/>
          <w:szCs w:val="21"/>
        </w:rPr>
        <w:t>九、争议的解决</w:t>
      </w:r>
      <w:bookmarkEnd w:id="102"/>
      <w:bookmarkStart w:id="103" w:name="_Toc368066699"/>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9.1合同双方在履行合同中发生争议的，先应友好协商解决或委托中介机构或专业部门进行鉴定，检测或审核，也可提请行政主管部门的专门机构进行调解。</w:t>
      </w:r>
    </w:p>
    <w:p>
      <w:pPr>
        <w:widowControl/>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9.2合同当事人友好协商解决不成，不愿委托中介机构或专业部门鉴定、检测、审核、也不提请调解的，或不接受鉴定、检测、审核结论或调解意见的，可向甲方所在地的人民法院提起诉讼。</w:t>
      </w:r>
    </w:p>
    <w:bookmarkEnd w:id="103"/>
    <w:p>
      <w:pPr>
        <w:outlineLvl w:val="9"/>
        <w:rPr>
          <w:rFonts w:hint="eastAsia" w:ascii="宋体" w:hAnsi="宋体" w:eastAsia="宋体" w:cs="宋体"/>
          <w:b/>
          <w:sz w:val="21"/>
          <w:szCs w:val="21"/>
        </w:rPr>
      </w:pPr>
      <w:bookmarkStart w:id="104" w:name="_Toc524010293"/>
      <w:r>
        <w:rPr>
          <w:rFonts w:hint="eastAsia" w:ascii="宋体" w:hAnsi="宋体" w:eastAsia="宋体" w:cs="宋体"/>
          <w:b/>
          <w:sz w:val="21"/>
          <w:szCs w:val="21"/>
        </w:rPr>
        <w:t>十、双方约定的其他事项</w:t>
      </w:r>
      <w:bookmarkEnd w:id="104"/>
    </w:p>
    <w:p>
      <w:pPr>
        <w:widowControl/>
        <w:adjustRightInd w:val="0"/>
        <w:snapToGrid w:val="0"/>
        <w:spacing w:line="360" w:lineRule="auto"/>
        <w:ind w:firstLine="420" w:firstLineChars="200"/>
        <w:outlineLvl w:val="9"/>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widowControl/>
        <w:adjustRightInd w:val="0"/>
        <w:snapToGrid w:val="0"/>
        <w:spacing w:line="360" w:lineRule="auto"/>
        <w:ind w:firstLine="480" w:firstLineChars="200"/>
        <w:outlineLvl w:val="9"/>
        <w:rPr>
          <w:rFonts w:hint="eastAsia" w:ascii="宋体" w:hAnsi="宋体" w:eastAsia="宋体" w:cs="宋体"/>
          <w:sz w:val="24"/>
        </w:rPr>
      </w:pPr>
    </w:p>
    <w:p>
      <w:pPr>
        <w:widowControl/>
        <w:adjustRightInd w:val="0"/>
        <w:snapToGrid w:val="0"/>
        <w:spacing w:line="360" w:lineRule="auto"/>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tabs>
          <w:tab w:val="left" w:pos="851"/>
          <w:tab w:val="left" w:pos="1440"/>
        </w:tabs>
        <w:adjustRightInd w:val="0"/>
        <w:snapToGrid w:val="0"/>
        <w:spacing w:beforeLines="50" w:afterLines="50" w:line="360" w:lineRule="auto"/>
        <w:jc w:val="center"/>
        <w:outlineLvl w:val="9"/>
        <w:rPr>
          <w:rFonts w:hint="eastAsia" w:ascii="宋体" w:hAnsi="宋体" w:eastAsia="宋体" w:cs="宋体"/>
          <w:b/>
          <w:color w:val="000000"/>
          <w:kern w:val="0"/>
          <w:sz w:val="32"/>
          <w:szCs w:val="32"/>
        </w:rPr>
      </w:pPr>
      <w:bookmarkStart w:id="105" w:name="_Toc29947"/>
      <w:bookmarkStart w:id="106" w:name="_Toc524010294"/>
      <w:r>
        <w:rPr>
          <w:rFonts w:hint="eastAsia" w:ascii="宋体" w:hAnsi="宋体" w:eastAsia="宋体" w:cs="宋体"/>
          <w:b/>
          <w:color w:val="000000"/>
          <w:kern w:val="0"/>
          <w:sz w:val="32"/>
          <w:szCs w:val="32"/>
        </w:rPr>
        <w:t>第</w:t>
      </w:r>
      <w:r>
        <w:rPr>
          <w:rFonts w:hint="eastAsia" w:ascii="宋体" w:hAnsi="宋体" w:cs="宋体"/>
          <w:b/>
          <w:color w:val="000000"/>
          <w:kern w:val="0"/>
          <w:sz w:val="32"/>
          <w:szCs w:val="32"/>
          <w:lang w:eastAsia="zh-CN"/>
        </w:rPr>
        <w:t>四</w:t>
      </w:r>
      <w:r>
        <w:rPr>
          <w:rFonts w:hint="eastAsia" w:ascii="宋体" w:hAnsi="宋体" w:eastAsia="宋体" w:cs="宋体"/>
          <w:b/>
          <w:color w:val="000000"/>
          <w:kern w:val="0"/>
          <w:sz w:val="32"/>
          <w:szCs w:val="32"/>
        </w:rPr>
        <w:t>部分 合同附件</w:t>
      </w:r>
      <w:bookmarkEnd w:id="105"/>
      <w:bookmarkEnd w:id="106"/>
    </w:p>
    <w:p>
      <w:pPr>
        <w:tabs>
          <w:tab w:val="left" w:pos="540"/>
        </w:tabs>
        <w:spacing w:line="360" w:lineRule="auto"/>
        <w:outlineLvl w:val="9"/>
        <w:rPr>
          <w:rFonts w:hint="eastAsia" w:ascii="宋体" w:hAnsi="宋体" w:eastAsia="宋体" w:cs="宋体"/>
          <w:b/>
          <w:bCs/>
          <w:sz w:val="21"/>
          <w:szCs w:val="21"/>
        </w:rPr>
      </w:pPr>
      <w:bookmarkStart w:id="107" w:name="_Toc452557272"/>
      <w:bookmarkStart w:id="108" w:name="_Toc19498"/>
      <w:bookmarkStart w:id="109" w:name="_Toc524010295"/>
      <w:r>
        <w:rPr>
          <w:rFonts w:hint="eastAsia" w:ascii="宋体" w:hAnsi="宋体" w:eastAsia="宋体" w:cs="宋体"/>
          <w:b/>
          <w:bCs/>
          <w:sz w:val="21"/>
          <w:szCs w:val="21"/>
        </w:rPr>
        <w:t>附件1 价格清单</w:t>
      </w:r>
      <w:bookmarkEnd w:id="107"/>
      <w:bookmarkEnd w:id="108"/>
      <w:bookmarkEnd w:id="109"/>
    </w:p>
    <w:tbl>
      <w:tblPr>
        <w:tblStyle w:val="46"/>
        <w:tblW w:w="10005" w:type="dxa"/>
        <w:tblInd w:w="-711" w:type="dxa"/>
        <w:tblLayout w:type="fixed"/>
        <w:tblCellMar>
          <w:top w:w="15" w:type="dxa"/>
          <w:left w:w="15" w:type="dxa"/>
          <w:bottom w:w="15" w:type="dxa"/>
          <w:right w:w="15" w:type="dxa"/>
        </w:tblCellMar>
      </w:tblPr>
      <w:tblGrid>
        <w:gridCol w:w="402"/>
        <w:gridCol w:w="990"/>
        <w:gridCol w:w="706"/>
        <w:gridCol w:w="983"/>
        <w:gridCol w:w="4282"/>
        <w:gridCol w:w="2642"/>
      </w:tblGrid>
      <w:tr>
        <w:tblPrEx>
          <w:tblLayout w:type="fixed"/>
          <w:tblCellMar>
            <w:top w:w="15" w:type="dxa"/>
            <w:left w:w="15" w:type="dxa"/>
            <w:bottom w:w="15" w:type="dxa"/>
            <w:right w:w="15" w:type="dxa"/>
          </w:tblCellMar>
        </w:tblPrEx>
        <w:trPr>
          <w:trHeight w:val="99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bookmarkStart w:id="110" w:name="_Toc452557274"/>
            <w:bookmarkStart w:id="111" w:name="_Toc14441"/>
            <w:r>
              <w:rPr>
                <w:rFonts w:hint="eastAsia" w:ascii="宋体" w:hAnsi="宋体" w:eastAsia="宋体" w:cs="宋体"/>
                <w:b/>
                <w:kern w:val="0"/>
                <w:sz w:val="21"/>
                <w:szCs w:val="21"/>
                <w:lang w:bidi="ar"/>
              </w:rPr>
              <w:t>序号</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项目名称</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单位</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控制价</w:t>
            </w:r>
          </w:p>
        </w:tc>
        <w:tc>
          <w:tcPr>
            <w:tcW w:w="4282" w:type="dxa"/>
            <w:tcBorders>
              <w:top w:val="single" w:color="000000" w:sz="4" w:space="0"/>
              <w:left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综合单价报价</w:t>
            </w:r>
            <w:r>
              <w:rPr>
                <w:rFonts w:hint="eastAsia" w:ascii="宋体" w:hAnsi="宋体" w:eastAsia="宋体" w:cs="宋体"/>
                <w:b/>
                <w:kern w:val="0"/>
                <w:sz w:val="21"/>
                <w:szCs w:val="21"/>
                <w:lang w:eastAsia="zh-CN" w:bidi="ar"/>
              </w:rPr>
              <w:t>（</w:t>
            </w:r>
            <w:r>
              <w:rPr>
                <w:rFonts w:hint="eastAsia" w:ascii="宋体" w:hAnsi="宋体" w:eastAsia="宋体" w:cs="宋体"/>
                <w:b/>
                <w:kern w:val="0"/>
                <w:sz w:val="21"/>
                <w:szCs w:val="21"/>
                <w:lang w:val="en-US" w:eastAsia="zh-CN" w:bidi="ar"/>
              </w:rPr>
              <w:t>5</w:t>
            </w:r>
            <w:r>
              <w:rPr>
                <w:rFonts w:hint="eastAsia" w:ascii="宋体" w:hAnsi="宋体" w:eastAsia="宋体" w:cs="宋体"/>
                <w:b/>
                <w:kern w:val="0"/>
                <w:sz w:val="21"/>
                <w:szCs w:val="21"/>
                <w:lang w:bidi="ar"/>
              </w:rPr>
              <w:t>号线</w:t>
            </w:r>
            <w:r>
              <w:rPr>
                <w:rFonts w:hint="eastAsia" w:ascii="宋体" w:hAnsi="宋体" w:eastAsia="宋体" w:cs="宋体"/>
                <w:b/>
                <w:kern w:val="0"/>
                <w:sz w:val="21"/>
                <w:szCs w:val="21"/>
                <w:lang w:eastAsia="zh-CN" w:bidi="ar"/>
              </w:rPr>
              <w:t>）</w:t>
            </w:r>
          </w:p>
        </w:tc>
        <w:tc>
          <w:tcPr>
            <w:tcW w:w="2642" w:type="dxa"/>
            <w:tcBorders>
              <w:top w:val="single" w:color="000000" w:sz="4" w:space="0"/>
              <w:left w:val="single" w:color="000000" w:sz="4" w:space="0"/>
              <w:right w:val="single" w:color="000000" w:sz="4" w:space="0"/>
            </w:tcBorders>
            <w:vAlign w:val="center"/>
          </w:tcPr>
          <w:p>
            <w:pPr>
              <w:widowControl/>
              <w:jc w:val="center"/>
              <w:textAlignment w:val="center"/>
              <w:outlineLvl w:val="9"/>
              <w:rPr>
                <w:rFonts w:hint="eastAsia" w:ascii="宋体" w:hAnsi="宋体" w:eastAsia="宋体" w:cs="宋体"/>
                <w:b/>
                <w:sz w:val="21"/>
                <w:szCs w:val="21"/>
              </w:rPr>
            </w:pPr>
            <w:r>
              <w:rPr>
                <w:rFonts w:hint="eastAsia" w:ascii="宋体" w:hAnsi="宋体" w:eastAsia="宋体" w:cs="宋体"/>
                <w:b/>
                <w:kern w:val="0"/>
                <w:sz w:val="21"/>
                <w:szCs w:val="21"/>
                <w:lang w:bidi="ar"/>
              </w:rPr>
              <w:t>备注</w:t>
            </w: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联网报警单价</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left"/>
              <w:outlineLvl w:val="9"/>
              <w:rPr>
                <w:rFonts w:hint="eastAsia" w:ascii="宋体" w:hAnsi="宋体" w:eastAsia="宋体" w:cs="宋体"/>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视频监控单价</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left"/>
              <w:outlineLvl w:val="9"/>
              <w:rPr>
                <w:rFonts w:hint="eastAsia" w:ascii="宋体" w:hAnsi="宋体" w:eastAsia="宋体" w:cs="宋体"/>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初装费</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元/网点</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lang w:val="en-US" w:eastAsia="zh-CN"/>
              </w:rPr>
            </w:pP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lang w:val="en-US" w:eastAsia="zh-CN"/>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网点</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b/>
                <w:sz w:val="21"/>
                <w:szCs w:val="21"/>
              </w:rPr>
            </w:pP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月</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服务期为预估量，结算时按实际服务天数结算。</w:t>
            </w:r>
          </w:p>
        </w:tc>
      </w:tr>
      <w:tr>
        <w:tblPrEx>
          <w:tblLayout w:type="fixed"/>
          <w:tblCellMar>
            <w:top w:w="15" w:type="dxa"/>
            <w:left w:w="15" w:type="dxa"/>
            <w:bottom w:w="15" w:type="dxa"/>
            <w:right w:w="15" w:type="dxa"/>
          </w:tblCellMar>
        </w:tblPrEx>
        <w:trPr>
          <w:trHeight w:val="60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小计</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u w:val="none"/>
              </w:rPr>
            </w:pPr>
          </w:p>
        </w:tc>
        <w:tc>
          <w:tcPr>
            <w:tcW w:w="2642" w:type="dxa"/>
            <w:tcBorders>
              <w:top w:val="single" w:color="000000" w:sz="4" w:space="0"/>
              <w:left w:val="single" w:color="000000" w:sz="4" w:space="0"/>
              <w:bottom w:val="single" w:color="000000" w:sz="4" w:space="0"/>
              <w:right w:val="single" w:color="000000" w:sz="4" w:space="0"/>
            </w:tcBorders>
            <w:vAlign w:val="center"/>
          </w:tcPr>
          <w:p>
            <w:pPr>
              <w:outlineLvl w:val="9"/>
              <w:rPr>
                <w:rFonts w:hint="eastAsia" w:ascii="宋体" w:hAnsi="宋体" w:eastAsia="宋体" w:cs="宋体"/>
                <w:sz w:val="21"/>
                <w:szCs w:val="21"/>
                <w:lang w:val="en-US" w:eastAsia="zh-CN"/>
              </w:rPr>
            </w:pPr>
          </w:p>
        </w:tc>
      </w:tr>
      <w:tr>
        <w:tblPrEx>
          <w:tblLayout w:type="fixed"/>
          <w:tblCellMar>
            <w:top w:w="15" w:type="dxa"/>
            <w:left w:w="15" w:type="dxa"/>
            <w:bottom w:w="15" w:type="dxa"/>
            <w:right w:w="15" w:type="dxa"/>
          </w:tblCellMar>
        </w:tblPrEx>
        <w:trPr>
          <w:trHeight w:val="510"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合计</w:t>
            </w:r>
          </w:p>
        </w:tc>
        <w:tc>
          <w:tcPr>
            <w:tcW w:w="7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w:t>
            </w: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9"/>
              <w:rPr>
                <w:rFonts w:hint="eastAsia" w:ascii="宋体" w:hAnsi="宋体" w:eastAsia="宋体" w:cs="宋体"/>
                <w:sz w:val="21"/>
                <w:szCs w:val="21"/>
              </w:rPr>
            </w:pPr>
          </w:p>
        </w:tc>
        <w:tc>
          <w:tcPr>
            <w:tcW w:w="4282" w:type="dxa"/>
            <w:tcBorders>
              <w:top w:val="single" w:color="000000" w:sz="4" w:space="0"/>
              <w:left w:val="single" w:color="000000" w:sz="4" w:space="0"/>
              <w:bottom w:val="single" w:color="000000" w:sz="4" w:space="0"/>
              <w:right w:val="single" w:color="000000" w:sz="4" w:space="0"/>
            </w:tcBorders>
            <w:vAlign w:val="center"/>
          </w:tcPr>
          <w:p>
            <w:pPr>
              <w:jc w:val="center"/>
              <w:outlineLvl w:val="9"/>
              <w:rPr>
                <w:rFonts w:hint="eastAsia" w:ascii="宋体" w:hAnsi="宋体" w:eastAsia="宋体" w:cs="宋体"/>
                <w:sz w:val="21"/>
                <w:szCs w:val="21"/>
                <w:lang w:val="en-US" w:eastAsia="zh-CN"/>
              </w:rPr>
            </w:pPr>
          </w:p>
        </w:tc>
        <w:tc>
          <w:tcPr>
            <w:tcW w:w="2642" w:type="dxa"/>
            <w:tcBorders>
              <w:top w:val="single" w:color="000000" w:sz="4" w:space="0"/>
              <w:left w:val="single" w:color="000000" w:sz="4" w:space="0"/>
              <w:bottom w:val="single" w:color="000000" w:sz="4" w:space="0"/>
              <w:right w:val="single" w:color="000000" w:sz="4" w:space="0"/>
            </w:tcBorders>
            <w:vAlign w:val="center"/>
          </w:tcPr>
          <w:p>
            <w:pPr>
              <w:outlineLvl w:val="9"/>
              <w:rPr>
                <w:rFonts w:hint="eastAsia" w:ascii="宋体" w:hAnsi="宋体" w:eastAsia="宋体" w:cs="宋体"/>
                <w:sz w:val="21"/>
                <w:szCs w:val="21"/>
              </w:rPr>
            </w:pPr>
          </w:p>
        </w:tc>
      </w:tr>
    </w:tbl>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adjustRightInd w:val="0"/>
        <w:snapToGrid w:val="0"/>
        <w:spacing w:line="360" w:lineRule="auto"/>
        <w:rPr>
          <w:rFonts w:hint="eastAsia" w:ascii="宋体" w:hAnsi="宋体" w:eastAsia="宋体" w:cs="宋体"/>
          <w:b/>
          <w:bCs/>
          <w:sz w:val="24"/>
        </w:rPr>
      </w:pPr>
    </w:p>
    <w:p>
      <w:pPr>
        <w:rPr>
          <w:rFonts w:hint="eastAsia" w:ascii="宋体" w:hAnsi="宋体" w:eastAsia="宋体" w:cs="宋体"/>
          <w:b/>
          <w:sz w:val="24"/>
        </w:rPr>
      </w:pPr>
      <w:bookmarkStart w:id="112" w:name="_Toc524010296"/>
      <w:r>
        <w:rPr>
          <w:rFonts w:hint="eastAsia" w:ascii="宋体" w:hAnsi="宋体" w:eastAsia="宋体" w:cs="宋体"/>
          <w:b/>
          <w:sz w:val="24"/>
        </w:rPr>
        <w:br w:type="page"/>
      </w:r>
    </w:p>
    <w:p>
      <w:pPr>
        <w:jc w:val="both"/>
        <w:outlineLvl w:val="9"/>
        <w:rPr>
          <w:rFonts w:hint="eastAsia" w:ascii="宋体" w:hAnsi="宋体" w:eastAsia="宋体" w:cs="宋体"/>
          <w:sz w:val="21"/>
          <w:szCs w:val="21"/>
          <w:lang w:val="en-US" w:eastAsia="zh-CN"/>
        </w:rPr>
      </w:pPr>
      <w:r>
        <w:rPr>
          <w:rFonts w:hint="eastAsia" w:ascii="宋体" w:hAnsi="宋体" w:eastAsia="宋体" w:cs="宋体"/>
          <w:b/>
          <w:sz w:val="21"/>
          <w:szCs w:val="21"/>
        </w:rPr>
        <w:t>附件</w:t>
      </w:r>
      <w:bookmarkEnd w:id="110"/>
      <w:r>
        <w:rPr>
          <w:rFonts w:hint="eastAsia" w:ascii="宋体" w:hAnsi="宋体" w:eastAsia="宋体" w:cs="宋体"/>
          <w:b/>
          <w:sz w:val="21"/>
          <w:szCs w:val="21"/>
        </w:rPr>
        <w:t xml:space="preserve">2 </w:t>
      </w:r>
      <w:bookmarkEnd w:id="112"/>
      <w:r>
        <w:rPr>
          <w:rFonts w:hint="eastAsia" w:ascii="宋体" w:hAnsi="宋体" w:eastAsia="宋体" w:cs="宋体"/>
          <w:b/>
          <w:sz w:val="21"/>
          <w:szCs w:val="21"/>
          <w:lang w:eastAsia="zh-CN"/>
        </w:rPr>
        <w:t>用户需求书/技术规格书</w:t>
      </w:r>
    </w:p>
    <w:p>
      <w:pPr>
        <w:adjustRightInd w:val="0"/>
        <w:snapToGrid w:val="0"/>
        <w:spacing w:line="360" w:lineRule="auto"/>
        <w:outlineLvl w:val="9"/>
        <w:rPr>
          <w:rFonts w:hint="eastAsia" w:ascii="宋体" w:hAnsi="宋体" w:eastAsia="宋体" w:cs="宋体"/>
          <w:b/>
          <w:bCs/>
          <w:sz w:val="21"/>
          <w:szCs w:val="21"/>
        </w:rPr>
      </w:pPr>
    </w:p>
    <w:p>
      <w:pPr>
        <w:outlineLvl w:val="9"/>
        <w:rPr>
          <w:rFonts w:hint="eastAsia" w:ascii="宋体" w:hAnsi="宋体" w:eastAsia="宋体" w:cs="宋体"/>
          <w:b/>
          <w:bCs w:val="0"/>
          <w:sz w:val="21"/>
          <w:szCs w:val="21"/>
        </w:rPr>
      </w:pPr>
      <w:bookmarkStart w:id="113" w:name="_Toc524010297"/>
      <w:r>
        <w:rPr>
          <w:rFonts w:hint="eastAsia" w:ascii="宋体" w:hAnsi="宋体" w:eastAsia="宋体" w:cs="宋体"/>
          <w:b/>
          <w:sz w:val="21"/>
          <w:szCs w:val="21"/>
        </w:rPr>
        <w:t>附件3</w:t>
      </w:r>
      <w:r>
        <w:rPr>
          <w:rFonts w:hint="eastAsia" w:ascii="宋体" w:hAnsi="宋体" w:cs="宋体"/>
          <w:b/>
          <w:sz w:val="21"/>
          <w:szCs w:val="21"/>
          <w:lang w:val="en-US" w:eastAsia="zh-CN"/>
        </w:rPr>
        <w:t xml:space="preserve"> </w:t>
      </w:r>
      <w:r>
        <w:rPr>
          <w:rFonts w:hint="eastAsia" w:ascii="宋体" w:hAnsi="宋体" w:eastAsia="宋体" w:cs="宋体"/>
          <w:b/>
          <w:sz w:val="21"/>
          <w:szCs w:val="21"/>
        </w:rPr>
        <w:t>澄清与答疑</w:t>
      </w:r>
      <w:bookmarkEnd w:id="111"/>
      <w:r>
        <w:rPr>
          <w:rFonts w:hint="eastAsia" w:ascii="宋体" w:hAnsi="宋体" w:eastAsia="宋体" w:cs="宋体"/>
          <w:b/>
          <w:sz w:val="21"/>
          <w:szCs w:val="21"/>
        </w:rPr>
        <w:t>文件</w:t>
      </w:r>
      <w:bookmarkEnd w:id="113"/>
    </w:p>
    <w:p>
      <w:pPr>
        <w:outlineLvl w:val="9"/>
        <w:rPr>
          <w:rFonts w:hint="eastAsia" w:ascii="宋体" w:hAnsi="宋体" w:eastAsia="宋体" w:cs="宋体"/>
          <w:b/>
          <w:sz w:val="24"/>
        </w:rPr>
      </w:pPr>
      <w:bookmarkStart w:id="114" w:name="_Toc524010298"/>
      <w:r>
        <w:rPr>
          <w:rFonts w:hint="eastAsia" w:ascii="宋体" w:hAnsi="宋体" w:eastAsia="宋体" w:cs="宋体"/>
          <w:b/>
          <w:sz w:val="24"/>
        </w:rPr>
        <w:br w:type="page"/>
      </w:r>
    </w:p>
    <w:p>
      <w:pPr>
        <w:jc w:val="both"/>
        <w:outlineLvl w:val="9"/>
        <w:rPr>
          <w:rFonts w:hint="eastAsia" w:ascii="宋体" w:hAnsi="宋体" w:eastAsia="宋体" w:cs="宋体"/>
          <w:b/>
          <w:bCs w:val="0"/>
          <w:sz w:val="21"/>
          <w:szCs w:val="21"/>
        </w:rPr>
      </w:pPr>
      <w:r>
        <w:rPr>
          <w:rFonts w:hint="eastAsia" w:ascii="宋体" w:hAnsi="宋体" w:eastAsia="宋体" w:cs="宋体"/>
          <w:b/>
          <w:sz w:val="21"/>
          <w:szCs w:val="21"/>
        </w:rPr>
        <w:t>附件4 廉政合同</w:t>
      </w:r>
      <w:bookmarkEnd w:id="114"/>
    </w:p>
    <w:p>
      <w:pPr>
        <w:tabs>
          <w:tab w:val="left" w:pos="540"/>
        </w:tabs>
        <w:spacing w:line="360" w:lineRule="auto"/>
        <w:jc w:val="center"/>
        <w:outlineLvl w:val="9"/>
        <w:rPr>
          <w:rFonts w:hint="eastAsia" w:ascii="宋体" w:hAnsi="宋体" w:eastAsia="宋体" w:cs="宋体"/>
          <w:b/>
          <w:bCs/>
          <w:sz w:val="24"/>
          <w:szCs w:val="24"/>
        </w:rPr>
      </w:pPr>
      <w:bookmarkStart w:id="115" w:name="_Toc23736"/>
      <w:bookmarkStart w:id="116" w:name="_Toc20995"/>
      <w:r>
        <w:rPr>
          <w:rFonts w:hint="eastAsia" w:ascii="宋体" w:hAnsi="宋体" w:eastAsia="宋体" w:cs="宋体"/>
          <w:b/>
          <w:sz w:val="32"/>
          <w:szCs w:val="32"/>
        </w:rPr>
        <w:t>廉政合同</w:t>
      </w:r>
      <w:bookmarkEnd w:id="115"/>
      <w:bookmarkEnd w:id="116"/>
    </w:p>
    <w:p>
      <w:pPr>
        <w:spacing w:line="400" w:lineRule="exact"/>
        <w:ind w:left="0" w:firstLine="420" w:firstLineChars="200"/>
        <w:jc w:val="left"/>
        <w:outlineLvl w:val="9"/>
        <w:rPr>
          <w:rFonts w:hint="eastAsia" w:ascii="宋体" w:hAnsi="宋体" w:eastAsia="宋体" w:cs="宋体"/>
          <w:sz w:val="21"/>
          <w:szCs w:val="21"/>
        </w:rPr>
      </w:pPr>
      <w:bookmarkStart w:id="117" w:name="_Toc59896701"/>
      <w:bookmarkStart w:id="118" w:name="_Toc59900969"/>
      <w:r>
        <w:rPr>
          <w:rFonts w:hint="eastAsia" w:ascii="宋体" w:hAnsi="宋体" w:eastAsia="宋体" w:cs="宋体"/>
          <w:sz w:val="21"/>
          <w:szCs w:val="21"/>
        </w:rPr>
        <w:t>根据国家法律、法规以及有关项目建设、廉政建设的规定，为做好项目建设中的党风廉政建设，保证项目建设高效优质，保证项目资金的安全和有效使用，</w:t>
      </w:r>
    </w:p>
    <w:p>
      <w:pPr>
        <w:spacing w:line="400" w:lineRule="exact"/>
        <w:jc w:val="left"/>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的项目法人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（以下称乙方），特订立如下合同：</w:t>
      </w:r>
    </w:p>
    <w:p>
      <w:pPr>
        <w:spacing w:line="400" w:lineRule="exact"/>
        <w:ind w:left="0"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第一条 甲乙双方的权利和义务</w:t>
      </w:r>
      <w:bookmarkEnd w:id="117"/>
      <w:bookmarkEnd w:id="118"/>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lang w:val="en-US" w:eastAsia="zh-CN" w:bidi="ar"/>
        </w:rPr>
        <w:t xml:space="preserve">                   </w:t>
      </w:r>
      <w:r>
        <w:rPr>
          <w:rFonts w:hint="eastAsia" w:ascii="宋体" w:hAnsi="宋体" w:eastAsia="宋体" w:cs="宋体"/>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sz w:val="21"/>
          <w:szCs w:val="21"/>
        </w:rPr>
      </w:pPr>
      <w:bookmarkStart w:id="119" w:name="_Toc59900970"/>
      <w:bookmarkStart w:id="120" w:name="_Toc59896702"/>
      <w:r>
        <w:rPr>
          <w:rFonts w:hint="eastAsia" w:ascii="宋体" w:hAnsi="宋体" w:eastAsia="宋体" w:cs="宋体"/>
          <w:b/>
          <w:sz w:val="21"/>
          <w:szCs w:val="21"/>
        </w:rPr>
        <w:t>第二条 甲方的义务</w:t>
      </w:r>
      <w:bookmarkEnd w:id="119"/>
      <w:bookmarkEnd w:id="120"/>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sz w:val="21"/>
          <w:szCs w:val="21"/>
        </w:rPr>
      </w:pPr>
      <w:bookmarkStart w:id="121" w:name="_Toc59900971"/>
      <w:bookmarkStart w:id="122" w:name="_Toc59896703"/>
      <w:r>
        <w:rPr>
          <w:rFonts w:hint="eastAsia" w:ascii="宋体" w:hAnsi="宋体" w:eastAsia="宋体" w:cs="宋体"/>
          <w:b/>
          <w:sz w:val="21"/>
          <w:szCs w:val="21"/>
        </w:rPr>
        <w:t>第三条 乙方的义务</w:t>
      </w:r>
      <w:bookmarkEnd w:id="121"/>
      <w:bookmarkEnd w:id="122"/>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sz w:val="21"/>
          <w:szCs w:val="21"/>
        </w:rPr>
      </w:pPr>
      <w:r>
        <w:rPr>
          <w:rFonts w:hint="eastAsia" w:ascii="宋体" w:hAnsi="宋体" w:eastAsia="宋体" w:cs="宋体"/>
          <w:b/>
          <w:sz w:val="21"/>
          <w:szCs w:val="21"/>
        </w:rPr>
        <w:t>第四条 违约责任</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sz w:val="21"/>
          <w:szCs w:val="21"/>
        </w:rPr>
        <w:t>第七条</w:t>
      </w:r>
      <w:r>
        <w:rPr>
          <w:rFonts w:hint="eastAsia" w:ascii="宋体" w:hAnsi="宋体" w:eastAsia="宋体" w:cs="宋体"/>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（1）监督举报电话（限短信方式）：15367896029，</w:t>
      </w:r>
      <w:r>
        <w:rPr>
          <w:rFonts w:hint="eastAsia" w:ascii="宋体" w:hAnsi="宋体" w:eastAsia="宋体" w:cs="宋体"/>
          <w:sz w:val="21"/>
          <w:szCs w:val="21"/>
          <w:lang w:val="en-US" w:eastAsia="zh-CN"/>
        </w:rPr>
        <w:t>15367896120</w:t>
      </w:r>
      <w:r>
        <w:rPr>
          <w:rFonts w:hint="eastAsia" w:ascii="宋体" w:hAnsi="宋体" w:eastAsia="宋体" w:cs="宋体"/>
          <w:sz w:val="21"/>
          <w:szCs w:val="21"/>
        </w:rPr>
        <w:t>。</w:t>
      </w:r>
    </w:p>
    <w:p>
      <w:pPr>
        <w:spacing w:line="400" w:lineRule="exact"/>
        <w:ind w:left="0"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（2）举报邮箱：yygsjbyx2015@163.com。</w:t>
      </w:r>
    </w:p>
    <w:p>
      <w:pPr>
        <w:spacing w:line="400" w:lineRule="exact"/>
        <w:ind w:left="0" w:firstLine="420" w:firstLineChars="200"/>
        <w:outlineLvl w:val="9"/>
        <w:rPr>
          <w:rFonts w:hint="eastAsia" w:ascii="宋体" w:hAnsi="宋体" w:eastAsia="宋体" w:cs="宋体"/>
          <w:sz w:val="21"/>
          <w:szCs w:val="21"/>
        </w:rPr>
      </w:pPr>
    </w:p>
    <w:p>
      <w:pPr>
        <w:spacing w:line="400" w:lineRule="exact"/>
        <w:ind w:left="0" w:firstLine="420" w:firstLineChars="200"/>
        <w:outlineLvl w:val="9"/>
        <w:rPr>
          <w:rFonts w:hint="eastAsia" w:ascii="宋体" w:hAnsi="宋体" w:eastAsia="宋体" w:cs="宋体"/>
          <w:sz w:val="21"/>
          <w:szCs w:val="21"/>
        </w:rPr>
      </w:pP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甲方单位：</w:t>
      </w:r>
      <w:r>
        <w:rPr>
          <w:rFonts w:hint="eastAsia" w:ascii="宋体" w:hAnsi="宋体" w:eastAsia="宋体" w:cs="宋体"/>
          <w:bCs/>
          <w:sz w:val="21"/>
          <w:szCs w:val="21"/>
          <w:u w:val="single"/>
        </w:rPr>
        <w:t xml:space="preserve">  （盖章）   </w:t>
      </w:r>
      <w:r>
        <w:rPr>
          <w:rFonts w:hint="eastAsia" w:ascii="宋体" w:hAnsi="宋体" w:eastAsia="宋体" w:cs="宋体"/>
          <w:bCs/>
          <w:sz w:val="21"/>
          <w:szCs w:val="21"/>
        </w:rPr>
        <w:t xml:space="preserve">          乙方单位：</w:t>
      </w:r>
      <w:r>
        <w:rPr>
          <w:rFonts w:hint="eastAsia" w:ascii="宋体" w:hAnsi="宋体" w:eastAsia="宋体" w:cs="宋体"/>
          <w:bCs/>
          <w:sz w:val="21"/>
          <w:szCs w:val="21"/>
          <w:u w:val="single"/>
        </w:rPr>
        <w:t xml:space="preserve"> （盖章）    </w:t>
      </w: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sz w:val="21"/>
          <w:szCs w:val="21"/>
        </w:rPr>
      </w:pPr>
    </w:p>
    <w:p>
      <w:pPr>
        <w:spacing w:line="400" w:lineRule="exact"/>
        <w:ind w:left="0" w:firstLine="420" w:firstLineChars="200"/>
        <w:outlineLvl w:val="9"/>
        <w:rPr>
          <w:rFonts w:hint="eastAsia" w:ascii="宋体" w:hAnsi="宋体" w:eastAsia="宋体" w:cs="宋体"/>
          <w:bCs/>
          <w:sz w:val="21"/>
          <w:szCs w:val="21"/>
          <w:u w:val="single"/>
        </w:rPr>
      </w:pPr>
      <w:r>
        <w:rPr>
          <w:rFonts w:hint="eastAsia" w:ascii="宋体" w:hAnsi="宋体" w:eastAsia="宋体" w:cs="宋体"/>
          <w:bCs/>
          <w:sz w:val="21"/>
          <w:szCs w:val="21"/>
        </w:rPr>
        <w:t>电  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电  话：</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lang w:val="en-US" w:eastAsia="zh-CN"/>
        </w:rPr>
        <w:t xml:space="preserve"> </w:t>
      </w:r>
    </w:p>
    <w:p>
      <w:pPr>
        <w:spacing w:line="400" w:lineRule="exact"/>
        <w:ind w:left="0"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甲方监督单位：</w:t>
      </w:r>
      <w:r>
        <w:rPr>
          <w:rFonts w:hint="eastAsia" w:ascii="宋体" w:hAnsi="宋体" w:eastAsia="宋体" w:cs="宋体"/>
          <w:bCs/>
          <w:sz w:val="21"/>
          <w:szCs w:val="21"/>
          <w:u w:val="single"/>
        </w:rPr>
        <w:t xml:space="preserve">（盖章） </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 xml:space="preserve">  乙方监督单位：</w:t>
      </w:r>
      <w:r>
        <w:rPr>
          <w:rFonts w:hint="eastAsia" w:ascii="宋体" w:hAnsi="宋体" w:eastAsia="宋体" w:cs="宋体"/>
          <w:bCs/>
          <w:sz w:val="21"/>
          <w:szCs w:val="21"/>
          <w:u w:val="single"/>
        </w:rPr>
        <w:t xml:space="preserve">（盖章） </w:t>
      </w:r>
    </w:p>
    <w:p>
      <w:pPr>
        <w:snapToGrid w:val="0"/>
        <w:spacing w:line="360" w:lineRule="auto"/>
        <w:outlineLvl w:val="9"/>
        <w:rPr>
          <w:rFonts w:hint="eastAsia" w:ascii="宋体" w:hAnsi="宋体" w:eastAsia="宋体" w:cs="宋体"/>
          <w:b/>
          <w:sz w:val="24"/>
        </w:rPr>
      </w:pPr>
    </w:p>
    <w:p>
      <w:pPr>
        <w:snapToGrid w:val="0"/>
        <w:spacing w:line="360" w:lineRule="auto"/>
        <w:outlineLvl w:val="9"/>
        <w:rPr>
          <w:rFonts w:hint="eastAsia" w:ascii="宋体" w:hAnsi="宋体" w:eastAsia="宋体" w:cs="宋体"/>
          <w:b/>
          <w:sz w:val="24"/>
        </w:rPr>
      </w:pPr>
    </w:p>
    <w:p>
      <w:pPr>
        <w:snapToGrid w:val="0"/>
        <w:spacing w:line="360" w:lineRule="auto"/>
        <w:jc w:val="center"/>
        <w:outlineLvl w:val="9"/>
        <w:rPr>
          <w:rFonts w:hint="eastAsia" w:ascii="宋体" w:hAnsi="宋体" w:eastAsia="宋体" w:cs="宋体"/>
          <w:b/>
          <w:color w:val="000000"/>
          <w:kern w:val="0"/>
          <w:sz w:val="32"/>
          <w:szCs w:val="32"/>
        </w:rPr>
      </w:pPr>
    </w:p>
    <w:p>
      <w:pPr>
        <w:outlineLvl w:val="9"/>
        <w:rPr>
          <w:rFonts w:hint="eastAsia" w:ascii="宋体" w:hAnsi="宋体" w:eastAsia="宋体" w:cs="宋体"/>
          <w:color w:val="000000"/>
          <w:kern w:val="0"/>
          <w:szCs w:val="32"/>
        </w:rPr>
      </w:pPr>
      <w:bookmarkStart w:id="123" w:name="_Toc524010299"/>
      <w:r>
        <w:rPr>
          <w:rFonts w:hint="eastAsia" w:ascii="宋体" w:hAnsi="宋体" w:eastAsia="宋体" w:cs="宋体"/>
          <w:color w:val="000000"/>
          <w:kern w:val="0"/>
          <w:szCs w:val="32"/>
        </w:rPr>
        <w:br w:type="page"/>
      </w:r>
    </w:p>
    <w:p>
      <w:pPr>
        <w:jc w:val="center"/>
        <w:outlineLvl w:val="9"/>
        <w:rPr>
          <w:rFonts w:hint="eastAsia" w:ascii="宋体" w:hAnsi="宋体" w:eastAsia="宋体" w:cs="宋体"/>
          <w:b w:val="0"/>
          <w:color w:val="000000"/>
          <w:kern w:val="0"/>
          <w:sz w:val="32"/>
          <w:szCs w:val="32"/>
        </w:rPr>
      </w:pPr>
      <w:r>
        <w:rPr>
          <w:rFonts w:hint="eastAsia" w:ascii="宋体" w:hAnsi="宋体" w:eastAsia="宋体" w:cs="宋体"/>
          <w:color w:val="000000"/>
          <w:kern w:val="0"/>
          <w:sz w:val="32"/>
          <w:szCs w:val="32"/>
        </w:rPr>
        <w:t>第</w:t>
      </w:r>
      <w:r>
        <w:rPr>
          <w:rFonts w:hint="eastAsia" w:ascii="宋体" w:hAnsi="宋体" w:eastAsia="宋体" w:cs="宋体"/>
          <w:color w:val="000000"/>
          <w:kern w:val="0"/>
          <w:sz w:val="32"/>
          <w:szCs w:val="32"/>
          <w:lang w:eastAsia="zh-CN"/>
        </w:rPr>
        <w:t>五</w:t>
      </w:r>
      <w:r>
        <w:rPr>
          <w:rFonts w:hint="eastAsia" w:ascii="宋体" w:hAnsi="宋体" w:eastAsia="宋体" w:cs="宋体"/>
          <w:color w:val="000000"/>
          <w:kern w:val="0"/>
          <w:sz w:val="32"/>
          <w:szCs w:val="32"/>
        </w:rPr>
        <w:t>部分 合同附录</w:t>
      </w:r>
      <w:bookmarkEnd w:id="123"/>
    </w:p>
    <w:p>
      <w:pPr>
        <w:outlineLvl w:val="9"/>
        <w:rPr>
          <w:rFonts w:hint="eastAsia" w:ascii="宋体" w:hAnsi="宋体" w:eastAsia="宋体" w:cs="宋体"/>
          <w:b/>
          <w:sz w:val="21"/>
          <w:szCs w:val="21"/>
        </w:rPr>
      </w:pPr>
      <w:bookmarkStart w:id="124" w:name="_Toc524010300"/>
      <w:r>
        <w:rPr>
          <w:rFonts w:hint="eastAsia" w:ascii="宋体" w:hAnsi="宋体" w:eastAsia="宋体" w:cs="宋体"/>
          <w:b/>
          <w:sz w:val="21"/>
          <w:szCs w:val="21"/>
        </w:rPr>
        <w:t>附录1：授权委托书</w:t>
      </w:r>
      <w:bookmarkEnd w:id="124"/>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授权委托书</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合同》（以下简称“合同”）的签约、执行和质量保证期服务、售后服务期服务等，并以本公司名义处理一切与之有关的事务。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u w:val="single"/>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b/>
          <w:bCs/>
          <w:sz w:val="24"/>
          <w:szCs w:val="24"/>
        </w:rPr>
        <w:sectPr>
          <w:footerReference r:id="rId9" w:type="default"/>
          <w:pgSz w:w="11906" w:h="16838"/>
          <w:pgMar w:top="1440" w:right="1800" w:bottom="1440" w:left="1800" w:header="851" w:footer="992" w:gutter="0"/>
          <w:pgNumType w:fmt="decimal"/>
          <w:cols w:space="720" w:num="1"/>
          <w:docGrid w:type="lines" w:linePitch="312" w:charSpace="0"/>
        </w:sectPr>
      </w:pPr>
    </w:p>
    <w:p>
      <w:pPr>
        <w:outlineLvl w:val="9"/>
        <w:rPr>
          <w:rFonts w:hint="eastAsia" w:ascii="宋体" w:hAnsi="宋体" w:eastAsia="宋体" w:cs="宋体"/>
          <w:b/>
          <w:sz w:val="24"/>
        </w:rPr>
      </w:pPr>
    </w:p>
    <w:p>
      <w:pPr>
        <w:outlineLvl w:val="9"/>
        <w:rPr>
          <w:rFonts w:hint="eastAsia" w:ascii="宋体" w:hAnsi="宋体" w:eastAsia="宋体" w:cs="宋体"/>
          <w:b/>
          <w:sz w:val="24"/>
        </w:rPr>
      </w:pPr>
      <w:bookmarkStart w:id="125" w:name="_Toc524010301"/>
      <w:r>
        <w:rPr>
          <w:rFonts w:hint="eastAsia" w:ascii="宋体" w:hAnsi="宋体" w:eastAsia="宋体" w:cs="宋体"/>
          <w:b/>
          <w:sz w:val="21"/>
          <w:szCs w:val="21"/>
        </w:rPr>
        <w:t>附录2：履约担保</w:t>
      </w:r>
      <w:bookmarkEnd w:id="125"/>
    </w:p>
    <w:p>
      <w:pPr>
        <w:jc w:val="center"/>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银行履约保函</w:t>
      </w:r>
    </w:p>
    <w:p>
      <w:pPr>
        <w:keepNext w:val="0"/>
        <w:keepLines w:val="0"/>
        <w:pageBreakBefore w:val="0"/>
        <w:widowControl w:val="0"/>
        <w:kinsoku/>
        <w:wordWrap/>
        <w:overflowPunct/>
        <w:topLinePunct w:val="0"/>
        <w:autoSpaceDE/>
        <w:autoSpaceDN/>
        <w:bidi w:val="0"/>
        <w:adjustRightInd w:val="0"/>
        <w:snapToGrid w:val="0"/>
        <w:spacing w:line="360" w:lineRule="auto"/>
        <w:ind w:right="480" w:firstLine="480" w:firstLineChars="200"/>
        <w:jc w:val="center"/>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jc w:val="left"/>
        <w:outlineLvl w:val="9"/>
        <w:rPr>
          <w:rFonts w:hint="eastAsia" w:ascii="宋体" w:hAnsi="宋体" w:eastAsia="宋体" w:cs="宋体"/>
          <w:sz w:val="21"/>
          <w:szCs w:val="21"/>
          <w:u w:val="single"/>
        </w:rPr>
      </w:pPr>
      <w:r>
        <w:rPr>
          <w:rFonts w:hint="eastAsia" w:ascii="宋体" w:hAnsi="宋体" w:eastAsia="宋体" w:cs="宋体"/>
          <w:sz w:val="21"/>
          <w:szCs w:val="21"/>
        </w:rPr>
        <w:t xml:space="preserve">                                              保函编号：</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0"/>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（甲方名称，以下简称“你方”）与 </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w:t>
      </w:r>
      <w:r>
        <w:rPr>
          <w:rFonts w:hint="eastAsia" w:ascii="宋体" w:hAnsi="宋体" w:eastAsia="宋体" w:cs="宋体"/>
          <w:sz w:val="21"/>
          <w:szCs w:val="21"/>
          <w:lang w:eastAsia="zh-CN"/>
        </w:rPr>
        <w:t>合同工期期满</w:t>
      </w:r>
      <w:r>
        <w:rPr>
          <w:rFonts w:hint="eastAsia" w:ascii="宋体" w:hAnsi="宋体" w:eastAsia="宋体" w:cs="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3.在本担保有效期内，因乙方违反合同约定的义务给你方造成经济损失时，我方在收到你方以书面形式提出的在担保金额内的赔偿要求后，在7个工作日内无条件支付。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outlineLvl w:val="9"/>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 xml:space="preserve">邮政编码：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 xml:space="preserve">电话：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352" w:firstLineChars="168"/>
        <w:outlineLvl w:val="9"/>
        <w:rPr>
          <w:rFonts w:hint="eastAsia" w:ascii="宋体" w:hAnsi="宋体" w:eastAsia="宋体" w:cs="宋体"/>
          <w:sz w:val="24"/>
          <w:szCs w:val="24"/>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widowControl/>
        <w:jc w:val="left"/>
        <w:rPr>
          <w:rFonts w:ascii="黑体" w:eastAsia="黑体"/>
          <w:b/>
          <w:sz w:val="32"/>
          <w:szCs w:val="32"/>
        </w:rPr>
      </w:pPr>
    </w:p>
    <w:p>
      <w:pPr>
        <w:pStyle w:val="2"/>
        <w:sectPr>
          <w:pgSz w:w="11906" w:h="16838"/>
          <w:pgMar w:top="1440" w:right="1797" w:bottom="1440" w:left="1797" w:header="851" w:footer="851" w:gutter="0"/>
          <w:pgNumType w:fmt="decimal"/>
          <w:cols w:space="720" w:num="1"/>
          <w:docGrid w:linePitch="312" w:charSpace="0"/>
        </w:sectPr>
      </w:pPr>
    </w:p>
    <w:p>
      <w:pPr>
        <w:snapToGrid w:val="0"/>
        <w:spacing w:line="360" w:lineRule="auto"/>
        <w:jc w:val="center"/>
        <w:outlineLvl w:val="0"/>
        <w:rPr>
          <w:rFonts w:hint="eastAsia" w:ascii="宋体" w:hAnsi="宋体" w:eastAsia="宋体" w:cs="宋体"/>
          <w:bCs/>
          <w:sz w:val="32"/>
          <w:szCs w:val="32"/>
        </w:rPr>
      </w:pPr>
      <w:bookmarkStart w:id="126" w:name="_Toc29654"/>
      <w:bookmarkStart w:id="127" w:name="_Toc5097"/>
      <w:bookmarkStart w:id="128" w:name="_Toc18525"/>
      <w:bookmarkStart w:id="129" w:name="_Toc20891"/>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六</w:t>
      </w:r>
      <w:r>
        <w:rPr>
          <w:rFonts w:hint="eastAsia" w:ascii="宋体" w:hAnsi="宋体" w:eastAsia="宋体" w:cs="宋体"/>
          <w:b/>
          <w:sz w:val="32"/>
          <w:szCs w:val="32"/>
        </w:rPr>
        <w:t>章</w:t>
      </w:r>
      <w:bookmarkStart w:id="130"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b/>
          <w:bCs/>
          <w:sz w:val="52"/>
          <w:szCs w:val="52"/>
        </w:rPr>
      </w:pP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sz w:val="28"/>
          <w:szCs w:val="28"/>
        </w:rPr>
      </w:pPr>
    </w:p>
    <w:p>
      <w:pPr>
        <w:pStyle w:val="2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Ansi="宋体"/>
          <w:b/>
          <w:bCs/>
          <w:sz w:val="32"/>
          <w:szCs w:val="32"/>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 xml:space="preserve">目 </w:t>
      </w:r>
      <w:r>
        <w:rPr>
          <w:rFonts w:hint="eastAsia" w:ascii="宋体" w:hAnsi="宋体"/>
          <w:b/>
          <w:sz w:val="32"/>
          <w:szCs w:val="32"/>
          <w:lang w:val="en-US" w:eastAsia="zh-CN"/>
        </w:rPr>
        <w:t xml:space="preserve"> </w:t>
      </w:r>
      <w:r>
        <w:rPr>
          <w:rFonts w:hint="eastAsia" w:ascii="宋体" w:hAnsi="宋体"/>
          <w:b/>
          <w:sz w:val="32"/>
          <w:szCs w:val="32"/>
        </w:rPr>
        <w:t xml:space="preserve">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一、谈判承诺书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二、法定代表人身份证明书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三、授权委托书</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四、</w:t>
      </w:r>
      <w:r>
        <w:rPr>
          <w:rFonts w:hint="eastAsia" w:hAnsi="宋体"/>
          <w:sz w:val="21"/>
          <w:szCs w:val="21"/>
        </w:rPr>
        <w:t>谈判单位资格条件证明文件</w:t>
      </w:r>
    </w:p>
    <w:p>
      <w:pPr>
        <w:adjustRightInd w:val="0"/>
        <w:snapToGrid w:val="0"/>
        <w:spacing w:line="360" w:lineRule="auto"/>
        <w:ind w:firstLine="420" w:firstLineChars="200"/>
        <w:outlineLvl w:val="9"/>
        <w:rPr>
          <w:rFonts w:hint="eastAsia" w:ascii="宋体" w:hAnsi="宋体" w:eastAsia="宋体"/>
          <w:sz w:val="21"/>
          <w:szCs w:val="21"/>
          <w:lang w:eastAsia="zh-CN"/>
        </w:rPr>
      </w:pPr>
      <w:r>
        <w:rPr>
          <w:rFonts w:hint="eastAsia" w:ascii="宋体" w:hAnsi="宋体"/>
          <w:sz w:val="21"/>
          <w:szCs w:val="21"/>
        </w:rPr>
        <w:t>五、</w:t>
      </w:r>
      <w:r>
        <w:rPr>
          <w:rFonts w:hint="eastAsia" w:hAnsi="宋体"/>
          <w:bCs/>
          <w:sz w:val="21"/>
          <w:szCs w:val="21"/>
        </w:rPr>
        <w:t>服务方案</w:t>
      </w:r>
      <w:r>
        <w:rPr>
          <w:rFonts w:hint="eastAsia" w:hAnsi="宋体"/>
          <w:bCs/>
          <w:sz w:val="21"/>
          <w:szCs w:val="21"/>
          <w:lang w:eastAsia="zh-CN"/>
        </w:rPr>
        <w:t>（如有）</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六、报价一览表</w:t>
      </w:r>
    </w:p>
    <w:p>
      <w:pPr>
        <w:adjustRightInd w:val="0"/>
        <w:snapToGrid w:val="0"/>
        <w:spacing w:line="360" w:lineRule="auto"/>
        <w:ind w:firstLine="420" w:firstLineChars="200"/>
        <w:jc w:val="left"/>
        <w:outlineLvl w:val="9"/>
        <w:rPr>
          <w:rFonts w:ascii="宋体" w:hAnsi="宋体"/>
          <w:sz w:val="21"/>
          <w:szCs w:val="21"/>
        </w:rPr>
      </w:pPr>
      <w:r>
        <w:rPr>
          <w:rFonts w:hint="eastAsia" w:ascii="宋体" w:hAnsi="宋体"/>
          <w:sz w:val="21"/>
          <w:szCs w:val="21"/>
        </w:rPr>
        <w:t>七、分项价格表</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八、其他资料（如有）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31" w:name="_Toc32569"/>
      <w:bookmarkStart w:id="132" w:name="_Toc7657"/>
      <w:bookmarkStart w:id="133" w:name="_Toc32600"/>
      <w:bookmarkStart w:id="134" w:name="_Toc14530"/>
      <w:r>
        <w:rPr>
          <w:rFonts w:hint="eastAsia" w:ascii="宋体" w:hAnsi="宋体" w:eastAsia="宋体" w:cs="宋体"/>
          <w:b/>
          <w:sz w:val="32"/>
          <w:szCs w:val="32"/>
        </w:rPr>
        <w:t>一、谈判承诺书</w:t>
      </w:r>
      <w:bookmarkEnd w:id="131"/>
      <w:bookmarkEnd w:id="132"/>
      <w:bookmarkEnd w:id="133"/>
      <w:bookmarkEnd w:id="134"/>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十、我方承诺完全响应本文件第四章“用户需求书”及第五章“合同格式条款”内的全部内容。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135" w:name="_Toc3026"/>
      <w:bookmarkStart w:id="136" w:name="_Toc10496"/>
      <w:bookmarkStart w:id="137" w:name="_Toc31277"/>
      <w:bookmarkStart w:id="138" w:name="_Toc1313"/>
      <w:r>
        <w:rPr>
          <w:rFonts w:hint="eastAsia" w:ascii="宋体" w:hAnsi="宋体" w:eastAsia="宋体" w:cs="宋体"/>
          <w:b/>
          <w:sz w:val="32"/>
          <w:szCs w:val="32"/>
        </w:rPr>
        <w:t>二、法定代表人身份证明书</w:t>
      </w:r>
      <w:bookmarkEnd w:id="135"/>
      <w:bookmarkEnd w:id="136"/>
      <w:bookmarkEnd w:id="137"/>
      <w:bookmarkEnd w:id="138"/>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39" w:name="_Toc14170"/>
      <w:bookmarkStart w:id="140" w:name="_Toc761"/>
      <w:bookmarkStart w:id="141" w:name="_Toc27642"/>
      <w:bookmarkStart w:id="142" w:name="_Toc21066"/>
      <w:r>
        <w:rPr>
          <w:rFonts w:hint="eastAsia" w:ascii="宋体" w:hAnsi="宋体" w:eastAsia="宋体" w:cs="宋体"/>
          <w:b/>
          <w:sz w:val="32"/>
          <w:szCs w:val="32"/>
        </w:rPr>
        <w:t>三、授权委托书</w:t>
      </w:r>
      <w:bookmarkEnd w:id="139"/>
      <w:bookmarkEnd w:id="140"/>
      <w:bookmarkEnd w:id="141"/>
      <w:bookmarkEnd w:id="142"/>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本授权书于年月日签字生效，特此声明。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hint="eastAsia" w:ascii="宋体" w:hAnsi="宋体" w:eastAsia="宋体" w:cs="宋体"/>
          <w:b/>
          <w:sz w:val="32"/>
          <w:szCs w:val="32"/>
        </w:rPr>
      </w:pPr>
      <w:bookmarkStart w:id="143" w:name="_Toc2295"/>
      <w:bookmarkStart w:id="144" w:name="_Toc11357"/>
      <w:bookmarkStart w:id="145" w:name="_Toc18944"/>
      <w:bookmarkStart w:id="146" w:name="_Toc8191"/>
      <w:r>
        <w:rPr>
          <w:rFonts w:hint="eastAsia" w:ascii="宋体" w:hAnsi="宋体" w:eastAsia="宋体" w:cs="宋体"/>
          <w:b/>
          <w:sz w:val="32"/>
          <w:szCs w:val="32"/>
        </w:rPr>
        <w:t>四、谈判单位资格证明文件</w:t>
      </w:r>
      <w:bookmarkEnd w:id="143"/>
      <w:bookmarkEnd w:id="144"/>
      <w:bookmarkEnd w:id="145"/>
      <w:bookmarkEnd w:id="146"/>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widowControl/>
        <w:spacing w:line="360" w:lineRule="auto"/>
        <w:ind w:firstLine="420" w:firstLineChars="200"/>
        <w:outlineLvl w:val="9"/>
        <w:rPr>
          <w:rFonts w:hint="eastAsia" w:ascii="宋体" w:hAnsi="宋体" w:eastAsia="宋体" w:cs="宋体"/>
          <w:szCs w:val="21"/>
        </w:rPr>
      </w:pPr>
      <w:r>
        <w:rPr>
          <w:rFonts w:hint="eastAsia" w:ascii="宋体" w:hAnsi="宋体" w:eastAsia="宋体" w:cs="宋体"/>
          <w:iCs/>
          <w:lang w:val="en-US" w:eastAsia="zh-CN"/>
        </w:rPr>
        <w:t>1.</w:t>
      </w:r>
      <w:r>
        <w:rPr>
          <w:rFonts w:hint="eastAsia" w:ascii="宋体" w:hAnsi="宋体" w:eastAsia="宋体" w:cs="宋体"/>
          <w:iCs/>
        </w:rPr>
        <w:t>谈判单位须为具有独立法人资格、自主经营、独立核算的公司</w:t>
      </w:r>
      <w:r>
        <w:rPr>
          <w:rFonts w:hint="eastAsia" w:ascii="宋体" w:hAnsi="宋体" w:eastAsia="宋体" w:cs="宋体"/>
          <w:iCs/>
          <w:lang w:val="en-US" w:eastAsia="zh-CN"/>
        </w:rPr>
        <w:t>/单位</w:t>
      </w:r>
      <w:r>
        <w:rPr>
          <w:rFonts w:hint="eastAsia" w:ascii="宋体" w:hAnsi="宋体" w:eastAsia="宋体" w:cs="宋体"/>
          <w:iCs/>
        </w:rPr>
        <w:t>。</w:t>
      </w:r>
      <w:r>
        <w:rPr>
          <w:rFonts w:hint="eastAsia" w:hAnsi="宋体"/>
          <w:iCs/>
          <w:color w:val="auto"/>
          <w:highlight w:val="none"/>
        </w:rPr>
        <w:t>须提供营业执照</w:t>
      </w:r>
      <w:r>
        <w:rPr>
          <w:rFonts w:hint="eastAsia" w:hAnsi="宋体"/>
          <w:iCs/>
          <w:color w:val="auto"/>
          <w:highlight w:val="none"/>
          <w:lang w:eastAsia="zh-CN"/>
        </w:rPr>
        <w:t>副本</w:t>
      </w:r>
      <w:r>
        <w:rPr>
          <w:rFonts w:hint="eastAsia" w:hAnsi="宋体"/>
          <w:iCs/>
          <w:color w:val="auto"/>
          <w:highlight w:val="none"/>
        </w:rPr>
        <w:t>复印件（须加盖谈判单位公章）或事业单位法人证书副</w:t>
      </w:r>
      <w:r>
        <w:rPr>
          <w:rFonts w:hint="eastAsia" w:hAnsi="宋体"/>
          <w:iCs/>
          <w:color w:val="auto"/>
          <w:highlight w:val="none"/>
          <w:lang w:eastAsia="zh-CN"/>
        </w:rPr>
        <w:t>本</w:t>
      </w:r>
      <w:r>
        <w:rPr>
          <w:rFonts w:hint="eastAsia" w:hAnsi="宋体"/>
          <w:iCs/>
          <w:color w:val="auto"/>
          <w:highlight w:val="none"/>
        </w:rPr>
        <w:t>复印件</w:t>
      </w:r>
      <w:r>
        <w:rPr>
          <w:rFonts w:hint="eastAsia" w:hAnsi="宋体"/>
          <w:iCs/>
          <w:color w:val="auto"/>
          <w:highlight w:val="none"/>
          <w:lang w:eastAsia="zh-CN"/>
        </w:rPr>
        <w:t>（</w:t>
      </w:r>
      <w:r>
        <w:rPr>
          <w:rFonts w:hint="eastAsia" w:hAnsi="宋体"/>
          <w:iCs/>
          <w:color w:val="auto"/>
          <w:highlight w:val="none"/>
        </w:rPr>
        <w:t>须加盖谈判单位公章</w:t>
      </w:r>
      <w:r>
        <w:rPr>
          <w:rFonts w:hint="eastAsia" w:hAnsi="宋体"/>
          <w:iCs/>
          <w:color w:val="auto"/>
          <w:highlight w:val="none"/>
          <w:lang w:eastAsia="zh-CN"/>
        </w:rPr>
        <w:t>）</w:t>
      </w:r>
      <w:r>
        <w:rPr>
          <w:rFonts w:hint="eastAsia" w:hAnsi="宋体"/>
          <w:iCs/>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rPr>
        <w:t>谈判单位在本项目响应文件递交截止之日前36个月内须具有</w:t>
      </w:r>
      <w:r>
        <w:rPr>
          <w:rFonts w:hint="eastAsia" w:ascii="宋体" w:hAnsi="宋体" w:eastAsia="宋体" w:cs="宋体"/>
          <w:u w:val="none"/>
        </w:rPr>
        <w:t>单项合同金额</w:t>
      </w:r>
      <w:r>
        <w:rPr>
          <w:rFonts w:hint="eastAsia" w:ascii="宋体" w:hAnsi="宋体" w:eastAsia="宋体" w:cs="宋体"/>
          <w:u w:val="none"/>
          <w:lang w:eastAsia="zh-CN"/>
        </w:rPr>
        <w:t>不少于</w:t>
      </w:r>
      <w:r>
        <w:rPr>
          <w:rFonts w:hint="eastAsia" w:ascii="宋体" w:hAnsi="宋体" w:eastAsia="宋体" w:cs="宋体"/>
          <w:u w:val="none"/>
          <w:lang w:val="en-US" w:eastAsia="zh-CN"/>
        </w:rPr>
        <w:t>7</w:t>
      </w:r>
      <w:r>
        <w:rPr>
          <w:rFonts w:hint="eastAsia" w:ascii="宋体" w:hAnsi="宋体" w:eastAsia="宋体" w:cs="宋体"/>
          <w:u w:val="none"/>
        </w:rPr>
        <w:t>万元/年的票款押运网络监控服务业绩。</w:t>
      </w:r>
      <w:r>
        <w:rPr>
          <w:rFonts w:hint="eastAsia" w:ascii="宋体" w:hAnsi="宋体" w:eastAsia="宋体" w:cs="宋体"/>
          <w:sz w:val="21"/>
          <w:szCs w:val="21"/>
          <w:lang w:val="en-US" w:eastAsia="zh-CN"/>
        </w:rPr>
        <w:t>不接受联合体业绩、港澳台或境外业绩。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iCs/>
        </w:rPr>
        <w:t>3</w:t>
      </w:r>
      <w:r>
        <w:rPr>
          <w:rFonts w:hint="eastAsia" w:ascii="宋体" w:hAnsi="宋体" w:cs="宋体"/>
          <w:iCs/>
          <w:lang w:eastAsia="zh-CN"/>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147" w:name="_Toc30403"/>
      <w:bookmarkStart w:id="148" w:name="_Toc7528"/>
      <w:bookmarkStart w:id="149" w:name="_Toc9230"/>
      <w:bookmarkStart w:id="150" w:name="_Toc20484"/>
      <w:r>
        <w:rPr>
          <w:rFonts w:hint="eastAsia" w:ascii="宋体" w:hAnsi="宋体" w:eastAsia="宋体" w:cs="宋体"/>
          <w:b/>
          <w:sz w:val="32"/>
          <w:szCs w:val="32"/>
        </w:rPr>
        <w:t>五、服务方案</w:t>
      </w:r>
      <w:bookmarkEnd w:id="147"/>
      <w:bookmarkEnd w:id="148"/>
      <w:bookmarkEnd w:id="149"/>
      <w:r>
        <w:rPr>
          <w:rFonts w:hint="eastAsia" w:ascii="宋体" w:hAnsi="宋体" w:cs="宋体"/>
          <w:b/>
          <w:sz w:val="32"/>
          <w:szCs w:val="32"/>
          <w:lang w:eastAsia="zh-CN"/>
        </w:rPr>
        <w:t>（如有）</w:t>
      </w:r>
      <w:bookmarkEnd w:id="150"/>
    </w:p>
    <w:p>
      <w:pPr>
        <w:adjustRightInd w:val="0"/>
        <w:snapToGrid w:val="0"/>
        <w:ind w:left="-88" w:leftChars="-42" w:firstLine="211" w:firstLineChars="100"/>
        <w:jc w:val="center"/>
        <w:outlineLvl w:val="9"/>
        <w:rPr>
          <w:rFonts w:ascii="黑体" w:hAnsi="宋体" w:eastAsia="黑体"/>
          <w:b/>
          <w:bCs/>
          <w:sz w:val="21"/>
          <w:szCs w:val="21"/>
        </w:rPr>
      </w:pPr>
    </w:p>
    <w:p>
      <w:pPr>
        <w:adjustRightInd w:val="0"/>
        <w:snapToGrid w:val="0"/>
        <w:outlineLvl w:val="9"/>
        <w:rPr>
          <w:rFonts w:ascii="宋体" w:hAnsi="宋体"/>
          <w:b/>
          <w:sz w:val="21"/>
          <w:szCs w:val="21"/>
        </w:rPr>
      </w:pPr>
      <w:r>
        <w:rPr>
          <w:rFonts w:hint="eastAsia" w:ascii="宋体" w:hAnsi="宋体"/>
          <w:b/>
          <w:sz w:val="21"/>
          <w:szCs w:val="21"/>
          <w:lang w:val="en-US" w:eastAsia="zh-CN"/>
        </w:rPr>
        <w:t>1.</w:t>
      </w:r>
      <w:r>
        <w:rPr>
          <w:rFonts w:hint="eastAsia" w:ascii="宋体" w:hAnsi="宋体"/>
          <w:b/>
          <w:sz w:val="21"/>
          <w:szCs w:val="21"/>
        </w:rPr>
        <w:t>服务方案说明</w:t>
      </w:r>
    </w:p>
    <w:p>
      <w:pPr>
        <w:adjustRightInd w:val="0"/>
        <w:snapToGrid w:val="0"/>
        <w:spacing w:line="360" w:lineRule="auto"/>
        <w:ind w:firstLine="420" w:firstLineChars="200"/>
        <w:outlineLvl w:val="9"/>
        <w:rPr>
          <w:rFonts w:ascii="宋体" w:hAnsi="宋体"/>
          <w:sz w:val="21"/>
          <w:szCs w:val="21"/>
        </w:rPr>
      </w:pP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谈判单位</w:t>
      </w:r>
      <w:r>
        <w:rPr>
          <w:rFonts w:hint="eastAsia" w:ascii="宋体" w:hAnsi="宋体"/>
          <w:sz w:val="21"/>
          <w:szCs w:val="21"/>
        </w:rPr>
        <w:t>应根据“用户需求书”规定编写服务方案或服务大纲。</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lang w:val="en-US" w:eastAsia="zh-CN"/>
        </w:rPr>
        <w:t>1.2</w:t>
      </w:r>
      <w:r>
        <w:rPr>
          <w:rFonts w:hint="eastAsia" w:ascii="宋体" w:hAnsi="宋体"/>
          <w:sz w:val="21"/>
          <w:szCs w:val="21"/>
        </w:rPr>
        <w:t>服务方案或服务大纲应包括：(1)服务目标、范围和任务；(2)服务方案；(3)服务团队组织安排计划；(4)工作流程；(5)进度计划及保证措施；(6)质量保证措施；(7)合理化建议；(8)其他。</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51" w:name="_Toc5387"/>
      <w:bookmarkStart w:id="152" w:name="_Toc15835"/>
      <w:bookmarkStart w:id="153" w:name="_Toc25553"/>
      <w:bookmarkStart w:id="154" w:name="_Toc21225"/>
      <w:r>
        <w:rPr>
          <w:rFonts w:hint="eastAsia" w:ascii="宋体" w:hAnsi="宋体" w:eastAsia="宋体" w:cs="宋体"/>
          <w:b/>
          <w:sz w:val="32"/>
          <w:szCs w:val="32"/>
        </w:rPr>
        <w:t>六、报价一览表</w:t>
      </w:r>
      <w:bookmarkEnd w:id="151"/>
      <w:bookmarkEnd w:id="152"/>
      <w:bookmarkEnd w:id="153"/>
      <w:bookmarkEnd w:id="154"/>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b/>
                <w:szCs w:val="21"/>
              </w:rPr>
            </w:pPr>
            <w:r>
              <w:rPr>
                <w:rFonts w:hint="eastAsia" w:ascii="宋体" w:hAnsi="宋体"/>
                <w:b/>
                <w:szCs w:val="21"/>
              </w:rPr>
              <w:t>谈判</w:t>
            </w:r>
            <w:r>
              <w:rPr>
                <w:rFonts w:ascii="宋体" w:hAnsi="宋体"/>
                <w:b/>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adjustRightInd w:val="0"/>
        <w:snapToGrid w:val="0"/>
        <w:spacing w:line="360" w:lineRule="auto"/>
        <w:outlineLvl w:val="9"/>
        <w:rPr>
          <w:rFonts w:ascii="宋体" w:hAnsi="宋体"/>
          <w:bCs/>
          <w:sz w:val="21"/>
          <w:szCs w:val="21"/>
        </w:rPr>
      </w:pPr>
      <w:bookmarkStart w:id="155"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55"/>
      <w:r>
        <w:rPr>
          <w:rFonts w:hint="eastAsia" w:ascii="宋体" w:hAnsi="宋体"/>
          <w:sz w:val="21"/>
          <w:szCs w:val="21"/>
          <w:u w:val="single"/>
        </w:rPr>
        <w:t xml:space="preserve">    </w:t>
      </w:r>
    </w:p>
    <w:p>
      <w:pPr>
        <w:adjustRightInd w:val="0"/>
        <w:snapToGrid w:val="0"/>
        <w:spacing w:line="360" w:lineRule="auto"/>
        <w:outlineLvl w:val="9"/>
        <w:rPr>
          <w:rFonts w:ascii="宋体" w:hAnsi="宋体"/>
          <w:szCs w:val="21"/>
        </w:rPr>
      </w:pPr>
      <w:bookmarkStart w:id="156" w:name="_Toc28605"/>
      <w:r>
        <w:rPr>
          <w:rFonts w:hint="eastAsia" w:ascii="宋体" w:hAnsi="宋体"/>
          <w:szCs w:val="21"/>
        </w:rPr>
        <w:t>法定代表人或其委托代理人(签字或盖章)：</w:t>
      </w:r>
      <w:bookmarkEnd w:id="156"/>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157" w:name="_Toc28059"/>
      <w:bookmarkStart w:id="158" w:name="_Toc26804"/>
      <w:bookmarkStart w:id="159" w:name="_Toc27599"/>
      <w:r>
        <w:rPr>
          <w:rFonts w:hint="eastAsia" w:ascii="宋体" w:hAnsi="宋体" w:eastAsia="宋体" w:cs="宋体"/>
          <w:b/>
          <w:sz w:val="32"/>
          <w:szCs w:val="32"/>
        </w:rPr>
        <w:t>七、分项价格表</w:t>
      </w:r>
      <w:bookmarkEnd w:id="157"/>
      <w:bookmarkEnd w:id="158"/>
      <w:bookmarkEnd w:id="159"/>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9036" w:type="dxa"/>
        <w:jc w:val="center"/>
        <w:tblInd w:w="-3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215"/>
        <w:gridCol w:w="1539"/>
        <w:gridCol w:w="1350"/>
        <w:gridCol w:w="1350"/>
        <w:gridCol w:w="1363"/>
        <w:gridCol w:w="14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jc w:val="center"/>
        </w:trPr>
        <w:tc>
          <w:tcPr>
            <w:tcW w:w="79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15"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服务名称</w:t>
            </w:r>
          </w:p>
        </w:tc>
        <w:tc>
          <w:tcPr>
            <w:tcW w:w="1539"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控制价</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3" w:type="dxa"/>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142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联网报警单价</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185</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视频监控单价</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元/月/网点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185</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初装费</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元/网点</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2980</w:t>
            </w:r>
            <w:r>
              <w:rPr>
                <w:rFonts w:hint="eastAsia" w:ascii="宋体" w:hAnsi="宋体" w:eastAsia="宋体" w:cs="宋体"/>
                <w:sz w:val="21"/>
                <w:szCs w:val="21"/>
                <w:lang w:val="en-US" w:eastAsia="zh-CN"/>
              </w:rPr>
              <w:t>.00</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p>
        </w:tc>
        <w:tc>
          <w:tcPr>
            <w:tcW w:w="1363" w:type="dxa"/>
            <w:vAlign w:val="center"/>
          </w:tcPr>
          <w:p>
            <w:pPr>
              <w:adjustRightInd w:val="0"/>
              <w:snapToGrid w:val="0"/>
              <w:spacing w:line="360" w:lineRule="auto"/>
              <w:jc w:val="center"/>
              <w:rPr>
                <w:rFonts w:hint="eastAsia" w:ascii="宋体" w:hAnsi="宋体" w:eastAsia="宋体" w:cs="宋体"/>
                <w:sz w:val="21"/>
                <w:szCs w:val="21"/>
              </w:rPr>
            </w:pPr>
          </w:p>
        </w:tc>
        <w:tc>
          <w:tcPr>
            <w:tcW w:w="1423" w:type="dxa"/>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网点</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18</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36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18</w:t>
            </w:r>
          </w:p>
        </w:tc>
        <w:tc>
          <w:tcPr>
            <w:tcW w:w="1423" w:type="dxa"/>
            <w:vAlign w:val="center"/>
          </w:tcPr>
          <w:p>
            <w:pPr>
              <w:adjustRightInd w:val="0"/>
              <w:snapToGrid w:val="0"/>
              <w:spacing w:line="36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9" w:hRule="atLeast"/>
          <w:jc w:val="center"/>
        </w:trPr>
        <w:tc>
          <w:tcPr>
            <w:tcW w:w="796"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215"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服务期</w:t>
            </w:r>
          </w:p>
        </w:tc>
        <w:tc>
          <w:tcPr>
            <w:tcW w:w="1539" w:type="dxa"/>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月</w:t>
            </w:r>
          </w:p>
        </w:tc>
        <w:tc>
          <w:tcPr>
            <w:tcW w:w="1350" w:type="dxa"/>
            <w:tcBorders>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350"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363"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14</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kern w:val="0"/>
                <w:sz w:val="21"/>
                <w:szCs w:val="21"/>
                <w:lang w:bidi="ar"/>
              </w:rPr>
              <w:t>服务期为预估量，结算时按实际服务天数结算。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2011" w:type="dxa"/>
            <w:gridSpan w:val="2"/>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7025" w:type="dxa"/>
            <w:gridSpan w:val="5"/>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7"/>
        <w:adjustRightInd w:val="0"/>
        <w:snapToGrid w:val="0"/>
        <w:spacing w:line="360" w:lineRule="auto"/>
        <w:outlineLvl w:val="0"/>
        <w:rPr>
          <w:rFonts w:ascii="宋体" w:hAnsi="宋体"/>
          <w:sz w:val="21"/>
          <w:szCs w:val="21"/>
        </w:rPr>
      </w:pPr>
    </w:p>
    <w:p>
      <w:pPr>
        <w:pStyle w:val="27"/>
        <w:adjustRightInd w:val="0"/>
        <w:snapToGrid w:val="0"/>
        <w:spacing w:line="360" w:lineRule="auto"/>
        <w:outlineLvl w:val="0"/>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lang w:val="en-US" w:eastAsia="zh-CN"/>
        </w:rPr>
      </w:pPr>
      <w:bookmarkStart w:id="160" w:name="_Toc27585"/>
      <w:bookmarkStart w:id="161" w:name="_Toc22739"/>
      <w:bookmarkStart w:id="162" w:name="_Toc9077"/>
      <w:bookmarkStart w:id="163" w:name="_Toc27918"/>
      <w:r>
        <w:rPr>
          <w:rFonts w:hint="eastAsia" w:ascii="宋体" w:hAnsi="宋体" w:eastAsia="宋体" w:cs="宋体"/>
          <w:b/>
          <w:sz w:val="32"/>
          <w:szCs w:val="32"/>
        </w:rPr>
        <w:t>八、其他资料</w:t>
      </w:r>
      <w:bookmarkEnd w:id="160"/>
      <w:bookmarkEnd w:id="161"/>
      <w:bookmarkEnd w:id="162"/>
      <w:r>
        <w:rPr>
          <w:rFonts w:hint="eastAsia" w:ascii="宋体" w:hAnsi="宋体" w:cs="宋体"/>
          <w:b/>
          <w:sz w:val="32"/>
          <w:szCs w:val="32"/>
          <w:lang w:eastAsia="zh-CN"/>
        </w:rPr>
        <w:t>（如有）</w:t>
      </w:r>
      <w:bookmarkEnd w:id="163"/>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bookmarkStart w:id="164" w:name="_Toc10648"/>
      <w:bookmarkStart w:id="165" w:name="_Toc22084"/>
      <w:bookmarkStart w:id="166" w:name="_Toc5412"/>
      <w:bookmarkStart w:id="167" w:name="_Toc18188"/>
      <w:r>
        <w:rPr>
          <w:rFonts w:hint="eastAsia" w:ascii="宋体" w:hAnsi="宋体"/>
          <w:szCs w:val="21"/>
        </w:rPr>
        <w:t>谈判单位认为需要提供的其他报价资料，格式自拟。</w:t>
      </w:r>
      <w:bookmarkEnd w:id="164"/>
      <w:bookmarkEnd w:id="165"/>
      <w:bookmarkEnd w:id="166"/>
      <w:bookmarkEnd w:id="167"/>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50" o:spid="_x0000_s2050"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1" o:spid="_x0000_s2051"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2" o:spid="_x0000_s2052"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3" o:spid="_x0000_s2053"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sdt>
                <w:sdtPr>
                  <w:id w:val="1654331982"/>
                </w:sdtPr>
                <w:sdtContent>
                  <w:p>
                    <w:pPr>
                      <w:pStyle w:val="3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2"/>
                </w:pP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49" o:spid="_x0000_s2049"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8"/>
      <w:suff w:val="nothing"/>
      <w:lvlText w:val="%1、"/>
      <w:lvlJc w:val="left"/>
      <w:rPr>
        <w:rFonts w:hint="eastAsia"/>
      </w:rPr>
    </w:lvl>
  </w:abstractNum>
  <w:abstractNum w:abstractNumId="1">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1E9A421"/>
    <w:multiLevelType w:val="singleLevel"/>
    <w:tmpl w:val="11E9A421"/>
    <w:lvl w:ilvl="0" w:tentative="0">
      <w:start w:val="9"/>
      <w:numFmt w:val="chineseCounting"/>
      <w:suff w:val="nothing"/>
      <w:lvlText w:val="%1、"/>
      <w:lvlJc w:val="left"/>
      <w:rPr>
        <w:rFonts w:hint="eastAsia"/>
      </w:r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375331"/>
    <w:rsid w:val="01403F6F"/>
    <w:rsid w:val="014D6F55"/>
    <w:rsid w:val="01932790"/>
    <w:rsid w:val="01EA6EEC"/>
    <w:rsid w:val="01F95304"/>
    <w:rsid w:val="021B19D1"/>
    <w:rsid w:val="02263AD9"/>
    <w:rsid w:val="024C0DC0"/>
    <w:rsid w:val="02787973"/>
    <w:rsid w:val="02787D91"/>
    <w:rsid w:val="029A1968"/>
    <w:rsid w:val="02AB7973"/>
    <w:rsid w:val="02BF5617"/>
    <w:rsid w:val="02FB4FEB"/>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9F6734"/>
    <w:rsid w:val="093252EE"/>
    <w:rsid w:val="09422E59"/>
    <w:rsid w:val="094A4EE7"/>
    <w:rsid w:val="0959407C"/>
    <w:rsid w:val="097D1C20"/>
    <w:rsid w:val="098A3350"/>
    <w:rsid w:val="09A23D38"/>
    <w:rsid w:val="09AB154E"/>
    <w:rsid w:val="0A2948BE"/>
    <w:rsid w:val="0A316A36"/>
    <w:rsid w:val="0A451CA7"/>
    <w:rsid w:val="0AE24958"/>
    <w:rsid w:val="0B4432D5"/>
    <w:rsid w:val="0B590F4A"/>
    <w:rsid w:val="0B8511E8"/>
    <w:rsid w:val="0BAA700E"/>
    <w:rsid w:val="0BEB10E2"/>
    <w:rsid w:val="0C1A66D1"/>
    <w:rsid w:val="0C411CD0"/>
    <w:rsid w:val="0C5B1FA9"/>
    <w:rsid w:val="0C8E4136"/>
    <w:rsid w:val="0CA062F8"/>
    <w:rsid w:val="0CED2457"/>
    <w:rsid w:val="0D2C1377"/>
    <w:rsid w:val="0D5C5AB2"/>
    <w:rsid w:val="0D614F04"/>
    <w:rsid w:val="0D6A4C3D"/>
    <w:rsid w:val="0D6B79A8"/>
    <w:rsid w:val="0DCC335E"/>
    <w:rsid w:val="0DF87606"/>
    <w:rsid w:val="0E04554D"/>
    <w:rsid w:val="0E0C0187"/>
    <w:rsid w:val="0E94477A"/>
    <w:rsid w:val="0EBC2000"/>
    <w:rsid w:val="0F143C2E"/>
    <w:rsid w:val="0F340DCE"/>
    <w:rsid w:val="0F3918CC"/>
    <w:rsid w:val="0F397095"/>
    <w:rsid w:val="0FD663C6"/>
    <w:rsid w:val="0FEA3549"/>
    <w:rsid w:val="1008523D"/>
    <w:rsid w:val="10190CBD"/>
    <w:rsid w:val="102D14D1"/>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B658D4"/>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1F021A"/>
    <w:rsid w:val="404148A6"/>
    <w:rsid w:val="40572AB6"/>
    <w:rsid w:val="405D3459"/>
    <w:rsid w:val="4068264C"/>
    <w:rsid w:val="407728FD"/>
    <w:rsid w:val="40CA0DB3"/>
    <w:rsid w:val="40DC5CDB"/>
    <w:rsid w:val="410603FC"/>
    <w:rsid w:val="410D06B8"/>
    <w:rsid w:val="41A274B6"/>
    <w:rsid w:val="41C034AF"/>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657DEC"/>
    <w:rsid w:val="4B8152D3"/>
    <w:rsid w:val="4B965649"/>
    <w:rsid w:val="4BBA0F4B"/>
    <w:rsid w:val="4BC03621"/>
    <w:rsid w:val="4BC22F72"/>
    <w:rsid w:val="4BEC1DA9"/>
    <w:rsid w:val="4C454D9D"/>
    <w:rsid w:val="4C6D4FD8"/>
    <w:rsid w:val="4C956109"/>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F6B02B8"/>
    <w:rsid w:val="4FA43165"/>
    <w:rsid w:val="4FB6214D"/>
    <w:rsid w:val="4FFA209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3EC2A4F"/>
    <w:rsid w:val="5444354A"/>
    <w:rsid w:val="547A6B2A"/>
    <w:rsid w:val="54C51909"/>
    <w:rsid w:val="551D6AF9"/>
    <w:rsid w:val="55A60ADC"/>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F111534"/>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BC5698"/>
    <w:rsid w:val="61C05E29"/>
    <w:rsid w:val="61E220CA"/>
    <w:rsid w:val="621F3A28"/>
    <w:rsid w:val="623817CD"/>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F269C9"/>
    <w:rsid w:val="67285BDC"/>
    <w:rsid w:val="67C1521F"/>
    <w:rsid w:val="67FB2FC2"/>
    <w:rsid w:val="6838125F"/>
    <w:rsid w:val="684E7153"/>
    <w:rsid w:val="68942469"/>
    <w:rsid w:val="68996F46"/>
    <w:rsid w:val="68A270B1"/>
    <w:rsid w:val="69522C18"/>
    <w:rsid w:val="69A85914"/>
    <w:rsid w:val="69B54893"/>
    <w:rsid w:val="69F0666F"/>
    <w:rsid w:val="69FA018D"/>
    <w:rsid w:val="6A25465E"/>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F06A3A"/>
    <w:rsid w:val="6F231086"/>
    <w:rsid w:val="6F2C1077"/>
    <w:rsid w:val="6F4412DE"/>
    <w:rsid w:val="6FB01FF6"/>
    <w:rsid w:val="702D3037"/>
    <w:rsid w:val="70854008"/>
    <w:rsid w:val="70A00296"/>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textRotate="1"/>
    <customShpInfo spid="_x0000_s2051" textRotate="1"/>
    <customShpInfo spid="_x0000_s2052" textRotate="1"/>
    <customShpInfo spid="_x0000_s2053" textRotate="1"/>
    <customShpInfo spid="_x0000_s2049" textRotate="1"/>
    <customShpInfo spid="_x0000_s1046"/>
    <customShpInfo spid="_x0000_s1048"/>
    <customShpInfo spid="_x0000_s1049"/>
    <customShpInfo spid="_x0000_s1051"/>
    <customShpInfo spid="_x0000_s1052"/>
    <customShpInfo spid="_x0000_s1053"/>
    <customShpInfo spid="_x0000_s1050"/>
    <customShpInfo spid="_x0000_s1047"/>
    <customShpInfo spid="_x0000_s1045"/>
    <customShpInfo spid="_x0000_s1054"/>
    <customShpInfo spid="_x0000_s1044"/>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28</TotalTime>
  <ScaleCrop>false</ScaleCrop>
  <LinksUpToDate>false</LinksUpToDate>
  <CharactersWithSpaces>19943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彭光静</cp:lastModifiedBy>
  <cp:lastPrinted>2019-09-10T07:16:00Z</cp:lastPrinted>
  <dcterms:modified xsi:type="dcterms:W3CDTF">2019-09-16T02:58:27Z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