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val="0"/>
        <w:kinsoku/>
        <w:wordWrap/>
        <w:overflowPunct/>
        <w:topLinePunct w:val="0"/>
        <w:bidi w:val="0"/>
        <w:spacing w:line="360" w:lineRule="auto"/>
        <w:ind w:left="0" w:leftChars="0" w:right="0" w:rightChars="0" w:firstLine="422" w:firstLineChars="200"/>
        <w:jc w:val="center"/>
        <w:rPr>
          <w:rFonts w:hAnsi="宋体"/>
          <w:b/>
          <w:sz w:val="21"/>
          <w:szCs w:val="21"/>
        </w:rPr>
      </w:pPr>
    </w:p>
    <w:p>
      <w:pPr>
        <w:pStyle w:val="25"/>
        <w:keepNext w:val="0"/>
        <w:keepLines w:val="0"/>
        <w:pageBreakBefore w:val="0"/>
        <w:widowControl w:val="0"/>
        <w:kinsoku/>
        <w:wordWrap/>
        <w:overflowPunct/>
        <w:topLinePunct w:val="0"/>
        <w:bidi w:val="0"/>
        <w:spacing w:line="360" w:lineRule="auto"/>
        <w:ind w:left="0" w:leftChars="0" w:right="0" w:rightChars="0" w:firstLine="1044" w:firstLineChars="200"/>
        <w:jc w:val="center"/>
        <w:rPr>
          <w:rFonts w:hAnsi="宋体"/>
          <w:b/>
          <w:bCs/>
          <w:sz w:val="52"/>
          <w:szCs w:val="52"/>
        </w:rPr>
      </w:pPr>
      <w:r>
        <w:rPr>
          <w:rFonts w:hint="eastAsia" w:hAnsi="宋体"/>
          <w:b/>
          <w:sz w:val="52"/>
          <w:szCs w:val="52"/>
        </w:rPr>
        <w:t>长沙市轨道交通运营有限公司</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1044" w:firstLineChars="200"/>
        <w:jc w:val="center"/>
        <w:rPr>
          <w:rFonts w:hAnsi="宋体"/>
          <w:b/>
          <w:sz w:val="52"/>
          <w:szCs w:val="52"/>
        </w:rPr>
      </w:pPr>
      <w:r>
        <w:rPr>
          <w:rFonts w:hint="eastAsia" w:hAnsi="宋体"/>
          <w:b/>
          <w:sz w:val="52"/>
          <w:szCs w:val="52"/>
        </w:rPr>
        <w:t>自主竞争性谈判文件</w:t>
      </w:r>
    </w:p>
    <w:p>
      <w:pPr>
        <w:pStyle w:val="25"/>
        <w:keepNext w:val="0"/>
        <w:keepLines w:val="0"/>
        <w:pageBreakBefore w:val="0"/>
        <w:widowControl w:val="0"/>
        <w:kinsoku/>
        <w:wordWrap/>
        <w:overflowPunct/>
        <w:topLinePunct w:val="0"/>
        <w:bidi w:val="0"/>
        <w:adjustRightInd w:val="0"/>
        <w:snapToGrid w:val="0"/>
        <w:spacing w:beforeLines="50" w:line="360" w:lineRule="auto"/>
        <w:ind w:right="0" w:rightChars="0"/>
        <w:rPr>
          <w:b/>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right="0" w:rightChars="0"/>
        <w:rPr>
          <w:rFonts w:ascii="华文中宋" w:hAnsi="华文中宋" w:eastAsia="华文中宋"/>
          <w:sz w:val="32"/>
          <w:szCs w:val="32"/>
        </w:rPr>
      </w:pPr>
    </w:p>
    <w:p>
      <w:pPr>
        <w:keepNext w:val="0"/>
        <w:keepLines w:val="0"/>
        <w:pageBreakBefore w:val="0"/>
        <w:widowControl w:val="0"/>
        <w:kinsoku/>
        <w:wordWrap/>
        <w:overflowPunct/>
        <w:topLinePunct w:val="0"/>
        <w:bidi w:val="0"/>
        <w:spacing w:line="360" w:lineRule="auto"/>
        <w:ind w:left="2249" w:right="0" w:rightChars="0" w:hanging="2249" w:hangingChars="700"/>
        <w:jc w:val="left"/>
        <w:textAlignment w:val="auto"/>
        <w:rPr>
          <w:rFonts w:hint="eastAsia" w:ascii="宋体" w:hAnsi="宋体" w:cs="Courier New"/>
          <w:b/>
          <w:bCs w:val="0"/>
          <w:sz w:val="32"/>
          <w:szCs w:val="21"/>
          <w:u w:val="single"/>
          <w:lang w:val="en-US" w:eastAsia="zh-CN"/>
        </w:rPr>
      </w:pPr>
      <w:r>
        <w:rPr>
          <w:rFonts w:hint="eastAsia" w:ascii="宋体" w:hAnsi="宋体" w:cs="Courier New"/>
          <w:b/>
          <w:bCs w:val="0"/>
          <w:sz w:val="32"/>
          <w:szCs w:val="21"/>
          <w:u w:val="none"/>
        </w:rPr>
        <w:t>谈判项目名称：</w:t>
      </w:r>
      <w:r>
        <w:rPr>
          <w:rFonts w:hint="eastAsia" w:ascii="宋体" w:hAnsi="宋体" w:eastAsia="宋体" w:cs="Courier New"/>
          <w:b/>
          <w:bCs w:val="0"/>
          <w:color w:val="auto"/>
          <w:kern w:val="2"/>
          <w:sz w:val="32"/>
          <w:szCs w:val="21"/>
          <w:u w:val="single"/>
          <w:lang w:val="en-US" w:eastAsia="zh-CN" w:bidi="ar-SA"/>
        </w:rPr>
        <w:t>长沙市轨道交通5号线一期工程筹备期职业病防护</w:t>
      </w:r>
      <w:r>
        <w:rPr>
          <w:rFonts w:hint="eastAsia" w:ascii="宋体" w:hAnsi="宋体" w:cs="Courier New"/>
          <w:b/>
          <w:bCs w:val="0"/>
          <w:sz w:val="32"/>
          <w:szCs w:val="21"/>
          <w:u w:val="single"/>
          <w:lang w:val="en-US" w:eastAsia="zh-CN"/>
        </w:rPr>
        <w:t>设施竣工验收服务项目（2019-2020年度）</w:t>
      </w:r>
    </w:p>
    <w:p>
      <w:pPr>
        <w:pStyle w:val="45"/>
        <w:keepNext w:val="0"/>
        <w:keepLines w:val="0"/>
        <w:pageBreakBefore w:val="0"/>
        <w:widowControl w:val="0"/>
        <w:kinsoku/>
        <w:wordWrap/>
        <w:overflowPunct/>
        <w:topLinePunct w:val="0"/>
        <w:bidi w:val="0"/>
        <w:spacing w:line="360" w:lineRule="auto"/>
        <w:ind w:left="0" w:leftChars="0" w:right="0" w:rightChars="0" w:firstLine="0" w:firstLineChars="0"/>
        <w:rPr>
          <w:rFonts w:hint="eastAsia"/>
        </w:rPr>
      </w:pPr>
    </w:p>
    <w:p>
      <w:pPr>
        <w:keepNext w:val="0"/>
        <w:keepLines w:val="0"/>
        <w:pageBreakBefore w:val="0"/>
        <w:widowControl w:val="0"/>
        <w:kinsoku/>
        <w:wordWrap/>
        <w:overflowPunct/>
        <w:topLinePunct w:val="0"/>
        <w:bidi w:val="0"/>
        <w:spacing w:line="360" w:lineRule="auto"/>
        <w:ind w:right="0" w:rightChars="0"/>
        <w:jc w:val="left"/>
        <w:textAlignment w:val="auto"/>
        <w:rPr>
          <w:rFonts w:hint="eastAsia" w:ascii="宋体" w:hAnsi="宋体" w:cs="Courier New"/>
          <w:b/>
          <w:bCs w:val="0"/>
          <w:sz w:val="32"/>
          <w:szCs w:val="21"/>
          <w:u w:val="single"/>
        </w:rPr>
      </w:pPr>
      <w:r>
        <w:rPr>
          <w:rFonts w:hint="eastAsia" w:ascii="宋体" w:hAnsi="宋体" w:cs="Courier New"/>
          <w:b/>
          <w:bCs w:val="0"/>
          <w:sz w:val="32"/>
          <w:szCs w:val="21"/>
          <w:u w:val="none"/>
        </w:rPr>
        <w:t>采购单位名称：</w:t>
      </w:r>
      <w:r>
        <w:rPr>
          <w:rFonts w:hint="eastAsia" w:ascii="宋体" w:hAnsi="宋体" w:cs="Courier New"/>
          <w:b/>
          <w:bCs w:val="0"/>
          <w:sz w:val="32"/>
          <w:szCs w:val="21"/>
          <w:u w:val="single"/>
        </w:rPr>
        <w:t>长沙市轨道交通</w:t>
      </w:r>
      <w:r>
        <w:rPr>
          <w:rFonts w:hint="eastAsia" w:ascii="宋体" w:hAnsi="宋体" w:cs="Courier New"/>
          <w:b/>
          <w:bCs w:val="0"/>
          <w:sz w:val="32"/>
          <w:szCs w:val="21"/>
          <w:u w:val="single"/>
          <w:lang w:eastAsia="zh-CN"/>
        </w:rPr>
        <w:t>五号线建设发展</w:t>
      </w:r>
      <w:r>
        <w:rPr>
          <w:rFonts w:hint="eastAsia" w:ascii="宋体" w:hAnsi="宋体" w:cs="Courier New"/>
          <w:b/>
          <w:bCs w:val="0"/>
          <w:sz w:val="32"/>
          <w:szCs w:val="21"/>
          <w:u w:val="single"/>
        </w:rPr>
        <w:t>有限公司</w:t>
      </w:r>
    </w:p>
    <w:p>
      <w:pPr>
        <w:pStyle w:val="45"/>
        <w:keepNext w:val="0"/>
        <w:keepLines w:val="0"/>
        <w:pageBreakBefore w:val="0"/>
        <w:widowControl w:val="0"/>
        <w:kinsoku/>
        <w:wordWrap/>
        <w:overflowPunct/>
        <w:topLinePunct w:val="0"/>
        <w:bidi w:val="0"/>
        <w:spacing w:line="360" w:lineRule="auto"/>
        <w:ind w:left="0" w:leftChars="0" w:right="0" w:rightChars="0" w:firstLine="0" w:firstLineChars="0"/>
        <w:rPr>
          <w:rFonts w:hint="eastAsia"/>
        </w:rPr>
      </w:pPr>
    </w:p>
    <w:p>
      <w:pPr>
        <w:keepNext w:val="0"/>
        <w:keepLines w:val="0"/>
        <w:pageBreakBefore w:val="0"/>
        <w:widowControl w:val="0"/>
        <w:kinsoku/>
        <w:wordWrap/>
        <w:overflowPunct/>
        <w:topLinePunct w:val="0"/>
        <w:bidi w:val="0"/>
        <w:spacing w:line="360" w:lineRule="auto"/>
        <w:ind w:right="0" w:rightChars="0"/>
        <w:jc w:val="left"/>
        <w:textAlignment w:val="auto"/>
        <w:rPr>
          <w:rFonts w:hint="eastAsia" w:ascii="宋体" w:hAnsi="宋体" w:cs="Courier New"/>
          <w:b/>
          <w:bCs w:val="0"/>
          <w:sz w:val="32"/>
          <w:szCs w:val="21"/>
          <w:u w:val="single"/>
        </w:rPr>
      </w:pPr>
      <w:r>
        <w:rPr>
          <w:rFonts w:hint="eastAsia" w:ascii="宋体" w:hAnsi="宋体" w:cs="Courier New"/>
          <w:b/>
          <w:bCs w:val="0"/>
          <w:sz w:val="32"/>
          <w:szCs w:val="21"/>
          <w:u w:val="none"/>
        </w:rPr>
        <w:t>谈判项目编号：</w:t>
      </w:r>
      <w:r>
        <w:rPr>
          <w:rFonts w:hint="eastAsia" w:ascii="宋体" w:hAnsi="宋体" w:cs="Courier New"/>
          <w:b/>
          <w:bCs w:val="0"/>
          <w:sz w:val="32"/>
          <w:szCs w:val="21"/>
          <w:u w:val="single"/>
          <w:lang w:val="en-US" w:eastAsia="zh-CN"/>
        </w:rPr>
        <w:t>长轨运服采【2019】18号</w:t>
      </w:r>
    </w:p>
    <w:p>
      <w:pPr>
        <w:pStyle w:val="25"/>
        <w:keepNext w:val="0"/>
        <w:keepLines w:val="0"/>
        <w:pageBreakBefore w:val="0"/>
        <w:widowControl w:val="0"/>
        <w:kinsoku/>
        <w:wordWrap/>
        <w:overflowPunct/>
        <w:topLinePunct w:val="0"/>
        <w:bidi w:val="0"/>
        <w:adjustRightInd w:val="0"/>
        <w:snapToGrid w:val="0"/>
        <w:spacing w:line="360" w:lineRule="auto"/>
        <w:ind w:right="0" w:rightChars="0"/>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ind w:right="0" w:rightChars="0"/>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ind w:right="0" w:rightChars="0"/>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ind w:right="0" w:rightChars="0"/>
        <w:rPr>
          <w:rFonts w:ascii="仿宋_GB2312" w:hAnsi="宋体" w:eastAsia="仿宋_GB2312"/>
          <w:b/>
          <w:sz w:val="32"/>
        </w:rPr>
      </w:pPr>
    </w:p>
    <w:p>
      <w:pPr>
        <w:pStyle w:val="25"/>
        <w:keepNext w:val="0"/>
        <w:keepLines w:val="0"/>
        <w:pageBreakBefore w:val="0"/>
        <w:widowControl w:val="0"/>
        <w:kinsoku/>
        <w:wordWrap/>
        <w:overflowPunct/>
        <w:topLinePunct w:val="0"/>
        <w:bidi w:val="0"/>
        <w:adjustRightInd w:val="0"/>
        <w:snapToGrid w:val="0"/>
        <w:spacing w:line="360" w:lineRule="auto"/>
        <w:ind w:right="0" w:rightChars="0"/>
        <w:jc w:val="both"/>
        <w:rPr>
          <w:rFonts w:hint="eastAsia" w:hAnsi="宋体"/>
          <w:b/>
          <w:sz w:val="32"/>
          <w:u w:val="none"/>
        </w:rPr>
      </w:pPr>
    </w:p>
    <w:p>
      <w:pPr>
        <w:pStyle w:val="25"/>
        <w:keepNext w:val="0"/>
        <w:keepLines w:val="0"/>
        <w:pageBreakBefore w:val="0"/>
        <w:widowControl w:val="0"/>
        <w:kinsoku/>
        <w:wordWrap/>
        <w:overflowPunct/>
        <w:topLinePunct w:val="0"/>
        <w:bidi w:val="0"/>
        <w:adjustRightInd w:val="0"/>
        <w:snapToGrid w:val="0"/>
        <w:spacing w:line="360" w:lineRule="auto"/>
        <w:ind w:right="0" w:rightChars="0"/>
        <w:jc w:val="both"/>
        <w:rPr>
          <w:rFonts w:hint="eastAsia" w:hAnsi="宋体"/>
          <w:b/>
          <w:sz w:val="32"/>
          <w:u w:val="none"/>
        </w:rPr>
      </w:pP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jc w:val="center"/>
        <w:rPr>
          <w:rFonts w:hAnsi="宋体"/>
          <w:b/>
          <w:sz w:val="32"/>
          <w:u w:val="none"/>
        </w:rPr>
      </w:pPr>
      <w:r>
        <w:rPr>
          <w:rFonts w:hint="eastAsia" w:hAnsi="宋体"/>
          <w:b/>
          <w:sz w:val="32"/>
          <w:u w:val="single"/>
        </w:rPr>
        <w:t>二〇一九</w:t>
      </w:r>
      <w:r>
        <w:rPr>
          <w:rFonts w:hint="eastAsia" w:hAnsi="宋体"/>
          <w:b/>
          <w:sz w:val="32"/>
          <w:u w:val="none"/>
        </w:rPr>
        <w:t>年</w:t>
      </w:r>
      <w:r>
        <w:rPr>
          <w:rFonts w:hint="eastAsia" w:hAnsi="宋体"/>
          <w:b/>
          <w:sz w:val="32"/>
          <w:highlight w:val="none"/>
          <w:u w:val="single"/>
          <w:lang w:val="en-US" w:eastAsia="zh-CN"/>
        </w:rPr>
        <w:t>九</w:t>
      </w:r>
      <w:r>
        <w:rPr>
          <w:rFonts w:hint="eastAsia" w:hAnsi="宋体"/>
          <w:b/>
          <w:sz w:val="32"/>
          <w:u w:val="none"/>
        </w:rPr>
        <w:t>月</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jc w:val="center"/>
        <w:rPr>
          <w:rFonts w:hAnsi="宋体"/>
          <w:b/>
          <w:sz w:val="32"/>
          <w:u w:val="none"/>
        </w:rPr>
        <w:sectPr>
          <w:pgSz w:w="12240" w:h="15840"/>
          <w:pgMar w:top="1440" w:right="1800" w:bottom="1440" w:left="1800" w:header="720" w:footer="720" w:gutter="0"/>
          <w:pgNumType w:fmt="decimal" w:start="1"/>
          <w:cols w:space="720" w:num="1"/>
          <w:titlePg/>
          <w:rtlGutter w:val="0"/>
          <w:docGrid w:type="lines" w:linePitch="323" w:charSpace="0"/>
        </w:sectPr>
      </w:pPr>
    </w:p>
    <w:p>
      <w:pPr>
        <w:keepNext w:val="0"/>
        <w:keepLines w:val="0"/>
        <w:pageBreakBefore w:val="0"/>
        <w:widowControl w:val="0"/>
        <w:kinsoku/>
        <w:wordWrap/>
        <w:overflowPunct/>
        <w:topLinePunct w:val="0"/>
        <w:bidi w:val="0"/>
        <w:spacing w:before="0" w:beforeLines="0" w:after="0" w:afterLines="0" w:line="360" w:lineRule="auto"/>
        <w:ind w:left="0" w:leftChars="0" w:right="0" w:rightChars="0" w:firstLine="643" w:firstLineChars="20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pPr>
        <w:pStyle w:val="32"/>
        <w:keepNext w:val="0"/>
        <w:keepLines w:val="0"/>
        <w:pageBreakBefore w:val="0"/>
        <w:widowControl w:val="0"/>
        <w:tabs>
          <w:tab w:val="right" w:leader="dot" w:pos="9972"/>
        </w:tabs>
        <w:kinsoku/>
        <w:wordWrap/>
        <w:overflowPunct/>
        <w:topLinePunct w:val="0"/>
        <w:bidi w:val="0"/>
        <w:spacing w:line="360" w:lineRule="auto"/>
        <w:ind w:left="0" w:leftChars="0" w:right="0" w:rightChars="0" w:firstLine="420" w:firstLineChars="200"/>
        <w:jc w:val="center"/>
      </w:pP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_Toc18373 </w:instrText>
      </w:r>
      <w:r>
        <w:rPr>
          <w:rFonts w:hint="eastAsia" w:ascii="宋体" w:hAnsi="宋体" w:eastAsia="宋体" w:cs="宋体"/>
        </w:rPr>
        <w:fldChar w:fldCharType="separate"/>
      </w:r>
      <w:r>
        <w:rPr>
          <w:rFonts w:hint="eastAsia" w:ascii="宋体" w:hAnsi="宋体" w:eastAsia="宋体" w:cs="宋体"/>
        </w:rPr>
        <w:t>第一章  谈判邀请公告</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_Toc5436 </w:instrText>
      </w:r>
      <w:r>
        <w:rPr>
          <w:rFonts w:hint="eastAsia" w:ascii="宋体" w:hAnsi="宋体" w:eastAsia="宋体" w:cs="宋体"/>
          <w:bCs/>
          <w:lang w:val="zh-CN"/>
        </w:rPr>
        <w:fldChar w:fldCharType="separate"/>
      </w:r>
      <w:r>
        <w:rPr>
          <w:rFonts w:hint="eastAsia" w:ascii="宋体" w:hAnsi="宋体" w:eastAsia="宋体" w:cs="宋体"/>
          <w:bCs w:val="0"/>
          <w:szCs w:val="32"/>
        </w:rPr>
        <w:t xml:space="preserve">第二章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谈判须知</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bCs/>
          <w:lang w:val="zh-CN"/>
        </w:rPr>
        <w:fldChar w:fldCharType="end"/>
      </w:r>
    </w:p>
    <w:p>
      <w:pPr>
        <w:pStyle w:val="37"/>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_Toc22770 </w:instrText>
      </w:r>
      <w:r>
        <w:rPr>
          <w:rFonts w:hint="eastAsia" w:ascii="宋体" w:hAnsi="宋体" w:eastAsia="宋体" w:cs="宋体"/>
          <w:bCs/>
          <w:lang w:val="zh-CN"/>
        </w:rPr>
        <w:fldChar w:fldCharType="separate"/>
      </w:r>
      <w:r>
        <w:rPr>
          <w:rFonts w:hint="eastAsia" w:ascii="宋体" w:hAnsi="宋体" w:eastAsia="宋体" w:cs="宋体"/>
        </w:rPr>
        <w:t>谈判须知前附表</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bCs/>
          <w:lang w:val="zh-CN"/>
        </w:rPr>
        <w:fldChar w:fldCharType="end"/>
      </w:r>
    </w:p>
    <w:p>
      <w:pPr>
        <w:pStyle w:val="37"/>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_Toc30385 </w:instrText>
      </w:r>
      <w:r>
        <w:rPr>
          <w:rFonts w:hint="eastAsia" w:ascii="宋体" w:hAnsi="宋体" w:eastAsia="宋体" w:cs="宋体"/>
          <w:bCs/>
          <w:lang w:val="zh-CN"/>
        </w:rPr>
        <w:fldChar w:fldCharType="separate"/>
      </w:r>
      <w:r>
        <w:rPr>
          <w:rFonts w:hint="eastAsia" w:ascii="宋体" w:hAnsi="宋体" w:eastAsia="宋体" w:cs="宋体"/>
          <w:szCs w:val="30"/>
        </w:rPr>
        <w:t>谈判须知正文</w:t>
      </w:r>
      <w:r>
        <w:rPr>
          <w:rFonts w:hint="eastAsia" w:ascii="宋体" w:hAnsi="宋体" w:eastAsia="宋体" w:cs="宋体"/>
        </w:rPr>
        <w:tab/>
      </w:r>
      <w:r>
        <w:rPr>
          <w:rFonts w:hint="eastAsia" w:ascii="宋体" w:hAnsi="宋体" w:eastAsia="宋体" w:cs="宋体"/>
          <w:lang w:val="en-US" w:eastAsia="zh-CN"/>
        </w:rPr>
        <w:t>6</w:t>
      </w:r>
      <w:r>
        <w:rPr>
          <w:rFonts w:hint="eastAsia" w:ascii="宋体" w:hAnsi="宋体" w:eastAsia="宋体" w:cs="宋体"/>
          <w:bCs/>
          <w:lang w:val="zh-CN"/>
        </w:rPr>
        <w:fldChar w:fldCharType="end"/>
      </w:r>
    </w:p>
    <w:p>
      <w:pPr>
        <w:pStyle w:val="24"/>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_Toc23354 </w:instrText>
      </w:r>
      <w:r>
        <w:rPr>
          <w:rFonts w:hint="eastAsia" w:ascii="宋体" w:hAnsi="宋体" w:eastAsia="宋体" w:cs="宋体"/>
          <w:bCs/>
          <w:lang w:val="zh-CN"/>
        </w:rPr>
        <w:fldChar w:fldCharType="separate"/>
      </w:r>
      <w:r>
        <w:rPr>
          <w:rFonts w:hint="eastAsia" w:ascii="宋体" w:hAnsi="宋体" w:eastAsia="宋体" w:cs="宋体"/>
          <w:szCs w:val="24"/>
        </w:rPr>
        <w:t>一、说明</w:t>
      </w:r>
      <w:r>
        <w:rPr>
          <w:rFonts w:hint="eastAsia" w:ascii="宋体" w:hAnsi="宋体" w:eastAsia="宋体" w:cs="宋体"/>
        </w:rPr>
        <w:tab/>
      </w:r>
      <w:r>
        <w:rPr>
          <w:rFonts w:hint="eastAsia" w:ascii="宋体" w:hAnsi="宋体" w:eastAsia="宋体" w:cs="宋体"/>
          <w:lang w:val="en-US" w:eastAsia="zh-CN"/>
        </w:rPr>
        <w:t>6</w:t>
      </w:r>
      <w:r>
        <w:rPr>
          <w:rFonts w:hint="eastAsia" w:ascii="宋体" w:hAnsi="宋体" w:eastAsia="宋体" w:cs="宋体"/>
          <w:bCs/>
          <w:lang w:val="zh-CN"/>
        </w:rPr>
        <w:fldChar w:fldCharType="end"/>
      </w:r>
    </w:p>
    <w:p>
      <w:pPr>
        <w:pStyle w:val="24"/>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_Toc19198 </w:instrText>
      </w:r>
      <w:r>
        <w:rPr>
          <w:rFonts w:hint="eastAsia" w:ascii="宋体" w:hAnsi="宋体" w:eastAsia="宋体" w:cs="宋体"/>
          <w:bCs/>
          <w:lang w:val="zh-CN"/>
        </w:rPr>
        <w:fldChar w:fldCharType="separate"/>
      </w:r>
      <w:r>
        <w:rPr>
          <w:rFonts w:hint="eastAsia" w:ascii="宋体" w:hAnsi="宋体" w:eastAsia="宋体" w:cs="宋体"/>
          <w:szCs w:val="24"/>
          <w:highlight w:val="none"/>
        </w:rPr>
        <w:t>二、谈判文件</w:t>
      </w:r>
      <w:r>
        <w:rPr>
          <w:rFonts w:hint="eastAsia" w:ascii="宋体" w:hAnsi="宋体" w:eastAsia="宋体" w:cs="宋体"/>
        </w:rPr>
        <w:tab/>
      </w:r>
      <w:r>
        <w:rPr>
          <w:rFonts w:hint="eastAsia" w:ascii="宋体" w:hAnsi="宋体" w:eastAsia="宋体" w:cs="宋体"/>
          <w:lang w:val="en-US" w:eastAsia="zh-CN"/>
        </w:rPr>
        <w:t>7</w:t>
      </w:r>
      <w:r>
        <w:rPr>
          <w:rFonts w:hint="eastAsia" w:ascii="宋体" w:hAnsi="宋体" w:eastAsia="宋体" w:cs="宋体"/>
          <w:bCs/>
          <w:lang w:val="zh-CN"/>
        </w:rPr>
        <w:fldChar w:fldCharType="end"/>
      </w:r>
    </w:p>
    <w:p>
      <w:pPr>
        <w:pStyle w:val="24"/>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_Toc24457 </w:instrText>
      </w:r>
      <w:r>
        <w:rPr>
          <w:rFonts w:hint="eastAsia" w:ascii="宋体" w:hAnsi="宋体" w:eastAsia="宋体" w:cs="宋体"/>
          <w:bCs/>
          <w:lang w:val="zh-CN"/>
        </w:rPr>
        <w:fldChar w:fldCharType="separate"/>
      </w:r>
      <w:r>
        <w:rPr>
          <w:rFonts w:hint="eastAsia" w:ascii="宋体" w:hAnsi="宋体" w:eastAsia="宋体" w:cs="宋体"/>
          <w:szCs w:val="24"/>
          <w:highlight w:val="none"/>
        </w:rPr>
        <w:t>三、响应文件</w:t>
      </w:r>
      <w:r>
        <w:rPr>
          <w:rFonts w:hint="eastAsia" w:ascii="宋体" w:hAnsi="宋体" w:eastAsia="宋体" w:cs="宋体"/>
        </w:rPr>
        <w:tab/>
      </w:r>
      <w:r>
        <w:rPr>
          <w:rFonts w:hint="eastAsia" w:ascii="宋体" w:hAnsi="宋体" w:eastAsia="宋体" w:cs="宋体"/>
          <w:lang w:val="en-US" w:eastAsia="zh-CN"/>
        </w:rPr>
        <w:t>7</w:t>
      </w:r>
      <w:r>
        <w:rPr>
          <w:rFonts w:hint="eastAsia" w:ascii="宋体" w:hAnsi="宋体" w:eastAsia="宋体" w:cs="宋体"/>
          <w:bCs/>
          <w:lang w:val="zh-CN"/>
        </w:rPr>
        <w:fldChar w:fldCharType="end"/>
      </w:r>
    </w:p>
    <w:p>
      <w:pPr>
        <w:pStyle w:val="24"/>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_Toc664 </w:instrText>
      </w:r>
      <w:r>
        <w:rPr>
          <w:rFonts w:hint="eastAsia" w:ascii="宋体" w:hAnsi="宋体" w:eastAsia="宋体" w:cs="宋体"/>
          <w:bCs/>
          <w:lang w:val="zh-CN"/>
        </w:rPr>
        <w:fldChar w:fldCharType="separate"/>
      </w:r>
      <w:r>
        <w:rPr>
          <w:rFonts w:hint="eastAsia" w:ascii="宋体" w:hAnsi="宋体" w:eastAsia="宋体" w:cs="宋体"/>
          <w:szCs w:val="24"/>
        </w:rPr>
        <w:t>四、响应文件的递交</w:t>
      </w:r>
      <w:r>
        <w:rPr>
          <w:rFonts w:hint="eastAsia" w:ascii="宋体" w:hAnsi="宋体" w:eastAsia="宋体" w:cs="宋体"/>
        </w:rPr>
        <w:tab/>
      </w:r>
      <w:r>
        <w:rPr>
          <w:rFonts w:hint="eastAsia" w:ascii="宋体" w:hAnsi="宋体" w:eastAsia="宋体" w:cs="宋体"/>
          <w:lang w:val="en-US" w:eastAsia="zh-CN"/>
        </w:rPr>
        <w:t>9</w:t>
      </w:r>
      <w:r>
        <w:rPr>
          <w:rFonts w:hint="eastAsia" w:ascii="宋体" w:hAnsi="宋体" w:eastAsia="宋体" w:cs="宋体"/>
          <w:bCs/>
          <w:lang w:val="zh-CN"/>
        </w:rPr>
        <w:fldChar w:fldCharType="end"/>
      </w:r>
    </w:p>
    <w:p>
      <w:pPr>
        <w:pStyle w:val="24"/>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_Toc4809 </w:instrText>
      </w:r>
      <w:r>
        <w:rPr>
          <w:rFonts w:hint="eastAsia" w:ascii="宋体" w:hAnsi="宋体" w:eastAsia="宋体" w:cs="宋体"/>
          <w:bCs/>
          <w:lang w:val="zh-CN"/>
        </w:rPr>
        <w:fldChar w:fldCharType="separate"/>
      </w:r>
      <w:r>
        <w:rPr>
          <w:rFonts w:hint="eastAsia" w:ascii="宋体" w:hAnsi="宋体" w:eastAsia="宋体" w:cs="宋体"/>
          <w:szCs w:val="24"/>
        </w:rPr>
        <w:t>五、响应文件的评审</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bCs/>
          <w:lang w:val="zh-CN"/>
        </w:rPr>
        <w:fldChar w:fldCharType="end"/>
      </w:r>
      <w:r>
        <w:rPr>
          <w:rFonts w:hint="eastAsia" w:ascii="宋体" w:hAnsi="宋体" w:eastAsia="宋体" w:cs="宋体"/>
          <w:bCs/>
          <w:lang w:val="en-US" w:eastAsia="zh-CN"/>
        </w:rPr>
        <w:t>0</w:t>
      </w:r>
    </w:p>
    <w:p>
      <w:pPr>
        <w:pStyle w:val="24"/>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_Toc25543 </w:instrText>
      </w:r>
      <w:r>
        <w:rPr>
          <w:rFonts w:hint="eastAsia" w:ascii="宋体" w:hAnsi="宋体" w:eastAsia="宋体" w:cs="宋体"/>
          <w:bCs/>
          <w:lang w:val="zh-CN"/>
        </w:rPr>
        <w:fldChar w:fldCharType="separate"/>
      </w:r>
      <w:r>
        <w:rPr>
          <w:rFonts w:hint="eastAsia" w:ascii="宋体" w:hAnsi="宋体" w:eastAsia="宋体" w:cs="宋体"/>
          <w:szCs w:val="24"/>
        </w:rPr>
        <w:t>六、响应文件的澄清、说明及补正</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bCs/>
          <w:lang w:val="zh-CN"/>
        </w:rPr>
        <w:fldChar w:fldCharType="end"/>
      </w:r>
      <w:r>
        <w:rPr>
          <w:rFonts w:hint="eastAsia" w:ascii="宋体" w:hAnsi="宋体" w:eastAsia="宋体" w:cs="宋体"/>
          <w:bCs/>
          <w:lang w:val="en-US" w:eastAsia="zh-CN"/>
        </w:rPr>
        <w:t>0</w:t>
      </w:r>
    </w:p>
    <w:p>
      <w:pPr>
        <w:pStyle w:val="24"/>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_Toc25353 </w:instrText>
      </w:r>
      <w:r>
        <w:rPr>
          <w:rFonts w:hint="eastAsia" w:ascii="宋体" w:hAnsi="宋体" w:eastAsia="宋体" w:cs="宋体"/>
          <w:bCs/>
          <w:lang w:val="zh-CN"/>
        </w:rPr>
        <w:fldChar w:fldCharType="separate"/>
      </w:r>
      <w:r>
        <w:rPr>
          <w:rFonts w:hint="eastAsia" w:ascii="宋体" w:hAnsi="宋体" w:eastAsia="宋体" w:cs="宋体"/>
          <w:szCs w:val="24"/>
        </w:rPr>
        <w:t>七、中选结果与授予合同</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bCs/>
          <w:lang w:val="zh-CN"/>
        </w:rPr>
        <w:fldChar w:fldCharType="end"/>
      </w:r>
      <w:r>
        <w:rPr>
          <w:rFonts w:hint="eastAsia" w:ascii="宋体" w:hAnsi="宋体" w:eastAsia="宋体" w:cs="宋体"/>
          <w:bCs/>
          <w:lang w:val="en-US" w:eastAsia="zh-CN"/>
        </w:rPr>
        <w:t>0</w:t>
      </w:r>
    </w:p>
    <w:p>
      <w:pPr>
        <w:pStyle w:val="24"/>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_Toc27069 </w:instrText>
      </w:r>
      <w:r>
        <w:rPr>
          <w:rFonts w:hint="eastAsia" w:ascii="宋体" w:hAnsi="宋体" w:eastAsia="宋体" w:cs="宋体"/>
          <w:bCs/>
          <w:lang w:val="zh-CN"/>
        </w:rPr>
        <w:fldChar w:fldCharType="separate"/>
      </w:r>
      <w:r>
        <w:rPr>
          <w:rFonts w:hint="eastAsia" w:ascii="宋体" w:hAnsi="宋体" w:eastAsia="宋体" w:cs="宋体"/>
          <w:szCs w:val="24"/>
        </w:rPr>
        <w:t>八、其他</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bCs/>
          <w:lang w:val="zh-CN"/>
        </w:rPr>
        <w:fldChar w:fldCharType="end"/>
      </w:r>
      <w:r>
        <w:rPr>
          <w:rFonts w:hint="eastAsia" w:ascii="宋体" w:hAnsi="宋体" w:eastAsia="宋体" w:cs="宋体"/>
          <w:bCs/>
          <w:lang w:val="en-US" w:eastAsia="zh-CN"/>
        </w:rPr>
        <w:t>1</w:t>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_Toc30375 </w:instrText>
      </w:r>
      <w:r>
        <w:rPr>
          <w:rFonts w:hint="eastAsia" w:ascii="宋体" w:hAnsi="宋体" w:eastAsia="宋体" w:cs="宋体"/>
          <w:bCs/>
          <w:lang w:val="zh-CN"/>
        </w:rPr>
        <w:fldChar w:fldCharType="separate"/>
      </w:r>
      <w:r>
        <w:rPr>
          <w:rFonts w:hint="eastAsia" w:ascii="宋体" w:hAnsi="宋体" w:eastAsia="宋体" w:cs="宋体"/>
          <w:bCs w:val="0"/>
          <w:szCs w:val="32"/>
        </w:rPr>
        <w:t xml:space="preserve">第三章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评审办法及标准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_Toc30375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lang w:val="zh-CN"/>
        </w:rPr>
        <w:fldChar w:fldCharType="end"/>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_Toc8585 </w:instrText>
      </w:r>
      <w:r>
        <w:rPr>
          <w:rFonts w:hint="eastAsia" w:ascii="宋体" w:hAnsi="宋体" w:eastAsia="宋体" w:cs="宋体"/>
          <w:bCs/>
          <w:lang w:val="zh-CN"/>
        </w:rPr>
        <w:fldChar w:fldCharType="separate"/>
      </w:r>
      <w:r>
        <w:rPr>
          <w:rFonts w:hint="eastAsia" w:ascii="宋体" w:hAnsi="宋体" w:eastAsia="宋体" w:cs="宋体"/>
          <w:bCs w:val="0"/>
          <w:szCs w:val="32"/>
        </w:rPr>
        <w:t xml:space="preserve">第四章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_Toc8585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lang w:val="zh-CN"/>
        </w:rPr>
        <w:fldChar w:fldCharType="end"/>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_Toc19957 </w:instrText>
      </w:r>
      <w:r>
        <w:rPr>
          <w:rFonts w:hint="eastAsia" w:ascii="宋体" w:hAnsi="宋体" w:eastAsia="宋体" w:cs="宋体"/>
          <w:bCs/>
          <w:lang w:val="zh-CN"/>
        </w:rPr>
        <w:fldChar w:fldCharType="separate"/>
      </w:r>
      <w:r>
        <w:rPr>
          <w:rFonts w:hint="eastAsia" w:ascii="宋体" w:hAnsi="宋体" w:eastAsia="宋体" w:cs="宋体"/>
          <w:bCs w:val="0"/>
          <w:szCs w:val="32"/>
        </w:rPr>
        <w:t xml:space="preserve">第五章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合同格式条款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_Toc19957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lang w:val="zh-CN"/>
        </w:rPr>
        <w:fldChar w:fldCharType="end"/>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_Toc27097 </w:instrText>
      </w:r>
      <w:r>
        <w:rPr>
          <w:rFonts w:hint="eastAsia" w:ascii="宋体" w:hAnsi="宋体" w:eastAsia="宋体" w:cs="宋体"/>
          <w:bCs/>
          <w:lang w:val="zh-CN"/>
        </w:rPr>
        <w:fldChar w:fldCharType="separate"/>
      </w:r>
      <w:r>
        <w:rPr>
          <w:rFonts w:hint="eastAsia" w:ascii="宋体" w:hAnsi="宋体" w:eastAsia="宋体" w:cs="宋体"/>
          <w:bCs w:val="0"/>
          <w:szCs w:val="32"/>
        </w:rPr>
        <w:t>第</w:t>
      </w:r>
      <w:r>
        <w:rPr>
          <w:rFonts w:hint="eastAsia" w:ascii="宋体" w:hAnsi="宋体" w:eastAsia="宋体" w:cs="宋体"/>
          <w:bCs w:val="0"/>
          <w:szCs w:val="32"/>
          <w:lang w:eastAsia="zh-CN"/>
        </w:rPr>
        <w:t>六</w:t>
      </w:r>
      <w:r>
        <w:rPr>
          <w:rFonts w:hint="eastAsia" w:ascii="宋体" w:hAnsi="宋体" w:eastAsia="宋体" w:cs="宋体"/>
          <w:bCs w:val="0"/>
          <w:szCs w:val="32"/>
        </w:rPr>
        <w:t>章</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响应文件组成</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ascii="宋体" w:hAnsi="宋体" w:eastAsia="宋体" w:cs="宋体"/>
          <w:bCs/>
          <w:lang w:val="en-US" w:eastAsia="zh-CN"/>
        </w:rPr>
        <w:t>5</w:t>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_Toc27212 </w:instrText>
      </w:r>
      <w:r>
        <w:rPr>
          <w:rFonts w:hint="eastAsia" w:ascii="宋体" w:hAnsi="宋体" w:eastAsia="宋体" w:cs="宋体"/>
          <w:bCs/>
          <w:lang w:val="zh-CN"/>
        </w:rPr>
        <w:fldChar w:fldCharType="separate"/>
      </w:r>
      <w:r>
        <w:rPr>
          <w:rFonts w:hint="eastAsia" w:ascii="宋体" w:hAnsi="宋体" w:eastAsia="宋体" w:cs="宋体"/>
        </w:rPr>
        <w:t>一、谈判承诺书</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ascii="宋体" w:hAnsi="宋体" w:eastAsia="宋体" w:cs="宋体"/>
          <w:bCs/>
          <w:lang w:val="en-US" w:eastAsia="zh-CN"/>
        </w:rPr>
        <w:t>7</w:t>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_Toc31855 </w:instrText>
      </w:r>
      <w:r>
        <w:rPr>
          <w:rFonts w:hint="eastAsia" w:ascii="宋体" w:hAnsi="宋体" w:eastAsia="宋体" w:cs="宋体"/>
          <w:bCs/>
          <w:lang w:val="zh-CN"/>
        </w:rPr>
        <w:fldChar w:fldCharType="separate"/>
      </w:r>
      <w:r>
        <w:rPr>
          <w:rFonts w:hint="eastAsia" w:ascii="宋体" w:hAnsi="宋体" w:eastAsia="宋体" w:cs="宋体"/>
        </w:rPr>
        <w:t>二、法定代表人身份证明书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_Toc31855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bCs/>
          <w:lang w:val="zh-CN"/>
        </w:rPr>
        <w:fldChar w:fldCharType="end"/>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_Toc26247 </w:instrText>
      </w:r>
      <w:r>
        <w:rPr>
          <w:rFonts w:hint="eastAsia" w:ascii="宋体" w:hAnsi="宋体" w:eastAsia="宋体" w:cs="宋体"/>
          <w:bCs/>
          <w:lang w:val="zh-CN"/>
        </w:rPr>
        <w:fldChar w:fldCharType="separate"/>
      </w:r>
      <w:r>
        <w:rPr>
          <w:rFonts w:hint="eastAsia" w:ascii="宋体" w:hAnsi="宋体" w:eastAsia="宋体" w:cs="宋体"/>
        </w:rPr>
        <w:t>三、授权委托书</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bCs/>
          <w:lang w:val="zh-CN"/>
        </w:rPr>
        <w:fldChar w:fldCharType="end"/>
      </w:r>
      <w:r>
        <w:rPr>
          <w:rFonts w:hint="eastAsia" w:ascii="宋体" w:hAnsi="宋体" w:eastAsia="宋体" w:cs="宋体"/>
          <w:bCs/>
          <w:lang w:val="en-US" w:eastAsia="zh-CN"/>
        </w:rPr>
        <w:t>9</w:t>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_Toc30184 </w:instrText>
      </w:r>
      <w:r>
        <w:rPr>
          <w:rFonts w:hint="eastAsia" w:ascii="宋体" w:hAnsi="宋体" w:eastAsia="宋体" w:cs="宋体"/>
          <w:bCs/>
          <w:lang w:val="zh-CN"/>
        </w:rPr>
        <w:fldChar w:fldCharType="separate"/>
      </w:r>
      <w:r>
        <w:rPr>
          <w:rFonts w:hint="eastAsia" w:ascii="宋体" w:hAnsi="宋体" w:eastAsia="宋体" w:cs="宋体"/>
          <w:highlight w:val="none"/>
        </w:rPr>
        <w:t>四、谈判单位资格证明文件</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bCs/>
          <w:lang w:val="zh-CN"/>
        </w:rPr>
        <w:fldChar w:fldCharType="end"/>
      </w:r>
      <w:r>
        <w:rPr>
          <w:rFonts w:hint="eastAsia" w:ascii="宋体" w:hAnsi="宋体" w:eastAsia="宋体" w:cs="宋体"/>
          <w:bCs/>
          <w:lang w:val="en-US" w:eastAsia="zh-CN"/>
        </w:rPr>
        <w:t>0</w:t>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lang w:val="en-US" w:eastAsia="zh-CN"/>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_Toc4407 </w:instrText>
      </w:r>
      <w:r>
        <w:rPr>
          <w:rFonts w:hint="eastAsia" w:ascii="宋体" w:hAnsi="宋体" w:eastAsia="宋体" w:cs="宋体"/>
          <w:bCs/>
          <w:lang w:val="zh-CN"/>
        </w:rPr>
        <w:fldChar w:fldCharType="separate"/>
      </w:r>
      <w:r>
        <w:rPr>
          <w:rFonts w:hint="eastAsia" w:ascii="宋体" w:hAnsi="宋体" w:eastAsia="宋体" w:cs="宋体"/>
          <w:highlight w:val="none"/>
        </w:rPr>
        <w:t>五、</w:t>
      </w:r>
      <w:r>
        <w:rPr>
          <w:rFonts w:hint="eastAsia" w:ascii="宋体" w:hAnsi="宋体" w:eastAsia="宋体" w:cs="宋体"/>
          <w:bCs/>
          <w:highlight w:val="none"/>
        </w:rPr>
        <w:t>服务方案</w:t>
      </w:r>
      <w:r>
        <w:rPr>
          <w:rFonts w:hint="eastAsia" w:ascii="宋体" w:hAnsi="宋体" w:eastAsia="宋体" w:cs="宋体"/>
          <w:bCs/>
          <w:highlight w:val="none"/>
          <w:lang w:eastAsia="zh-CN"/>
        </w:rPr>
        <w:t>（如有）</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bCs/>
          <w:lang w:val="zh-CN"/>
        </w:rPr>
        <w:fldChar w:fldCharType="end"/>
      </w:r>
      <w:r>
        <w:rPr>
          <w:rFonts w:hint="eastAsia" w:ascii="宋体" w:hAnsi="宋体" w:eastAsia="宋体" w:cs="宋体"/>
          <w:bCs/>
          <w:lang w:val="en-US" w:eastAsia="zh-CN"/>
        </w:rPr>
        <w:t>1</w:t>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highlight w:val="none"/>
        </w:rPr>
      </w:pPr>
      <w:r>
        <w:rPr>
          <w:rFonts w:hint="eastAsia" w:ascii="宋体" w:hAnsi="宋体" w:eastAsia="宋体" w:cs="宋体"/>
          <w:bCs/>
          <w:lang w:val="zh-CN"/>
        </w:rPr>
        <w:fldChar w:fldCharType="begin"/>
      </w:r>
      <w:r>
        <w:rPr>
          <w:rFonts w:hint="eastAsia" w:ascii="宋体" w:hAnsi="宋体" w:eastAsia="宋体" w:cs="宋体"/>
          <w:bCs/>
          <w:lang w:val="zh-CN"/>
        </w:rPr>
        <w:instrText xml:space="preserve"> HYPERLINK \l _Toc2978 </w:instrText>
      </w:r>
      <w:r>
        <w:rPr>
          <w:rFonts w:hint="eastAsia" w:ascii="宋体" w:hAnsi="宋体" w:eastAsia="宋体" w:cs="宋体"/>
          <w:bCs/>
          <w:lang w:val="zh-CN"/>
        </w:rPr>
        <w:fldChar w:fldCharType="separate"/>
      </w:r>
      <w:r>
        <w:rPr>
          <w:rFonts w:hint="eastAsia" w:ascii="宋体" w:hAnsi="宋体" w:eastAsia="宋体" w:cs="宋体"/>
          <w:highlight w:val="none"/>
        </w:rPr>
        <w:t>六、报价一览表</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bCs/>
          <w:lang w:val="zh-CN"/>
        </w:rPr>
        <w:fldChar w:fldCharType="end"/>
      </w:r>
      <w:r>
        <w:rPr>
          <w:rFonts w:hint="eastAsia" w:ascii="宋体" w:hAnsi="宋体" w:eastAsia="宋体" w:cs="宋体"/>
          <w:bCs/>
          <w:lang w:val="en-US" w:eastAsia="zh-CN"/>
        </w:rPr>
        <w:t>2</w:t>
      </w:r>
    </w:p>
    <w:p>
      <w:pPr>
        <w:pStyle w:val="32"/>
        <w:keepNext w:val="0"/>
        <w:keepLines w:val="0"/>
        <w:pageBreakBefore w:val="0"/>
        <w:widowControl w:val="0"/>
        <w:tabs>
          <w:tab w:val="right" w:leader="dot" w:pos="9972"/>
        </w:tabs>
        <w:kinsoku/>
        <w:wordWrap/>
        <w:overflowPunct/>
        <w:topLinePunct w:val="0"/>
        <w:autoSpaceDE/>
        <w:autoSpaceDN/>
        <w:bidi w:val="0"/>
        <w:adjustRightInd/>
        <w:snapToGrid/>
        <w:spacing w:line="360" w:lineRule="auto"/>
        <w:ind w:left="0" w:leftChars="0" w:right="0" w:rightChars="0" w:firstLine="840" w:firstLineChars="400"/>
        <w:textAlignment w:val="auto"/>
        <w:rPr>
          <w:rFonts w:hint="eastAsia" w:ascii="宋体" w:hAnsi="宋体" w:eastAsia="宋体" w:cs="宋体"/>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_Toc8265 </w:instrText>
      </w:r>
      <w:r>
        <w:rPr>
          <w:rFonts w:hint="eastAsia" w:ascii="宋体" w:hAnsi="宋体" w:eastAsia="宋体" w:cs="宋体"/>
          <w:highlight w:val="none"/>
          <w:lang w:val="zh-CN"/>
        </w:rPr>
        <w:fldChar w:fldCharType="separate"/>
      </w:r>
      <w:r>
        <w:rPr>
          <w:rFonts w:hint="eastAsia" w:ascii="宋体" w:hAnsi="宋体" w:eastAsia="宋体" w:cs="宋体"/>
          <w:highlight w:val="none"/>
          <w:lang w:val="zh-CN"/>
        </w:rPr>
        <w:t>七</w:t>
      </w:r>
      <w:r>
        <w:rPr>
          <w:rFonts w:hint="eastAsia" w:ascii="宋体" w:hAnsi="宋体" w:eastAsia="宋体" w:cs="宋体"/>
          <w:highlight w:val="none"/>
        </w:rPr>
        <w:t>、其他资料(如有)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_Toc8265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黑体" w:hAnsi="宋体" w:eastAsia="黑体"/>
          <w:b/>
          <w:sz w:val="32"/>
          <w:szCs w:val="32"/>
        </w:rPr>
        <w:sectPr>
          <w:footerReference r:id="rId4" w:type="first"/>
          <w:footerReference r:id="rId3" w:type="default"/>
          <w:pgSz w:w="12240" w:h="15840"/>
          <w:pgMar w:top="1440" w:right="1800" w:bottom="1440" w:left="1800" w:header="720" w:footer="720" w:gutter="0"/>
          <w:pgNumType w:fmt="decimal" w:start="1"/>
          <w:cols w:space="720" w:num="1"/>
          <w:titlePg/>
          <w:rtlGutter w:val="0"/>
          <w:docGrid w:type="lines" w:linePitch="323" w:charSpace="0"/>
        </w:sectPr>
      </w:pPr>
      <w:r>
        <w:rPr>
          <w:rFonts w:hint="eastAsia" w:ascii="宋体" w:hAnsi="宋体" w:eastAsia="宋体" w:cs="宋体"/>
          <w:bCs/>
          <w:lang w:val="zh-CN"/>
        </w:rPr>
        <w:fldChar w:fldCharType="end"/>
      </w: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sz w:val="32"/>
          <w:szCs w:val="32"/>
        </w:rPr>
      </w:pPr>
      <w:bookmarkStart w:id="0" w:name="_Toc18373"/>
      <w:r>
        <w:rPr>
          <w:rFonts w:hint="eastAsia" w:ascii="宋体" w:hAnsi="宋体" w:eastAsia="宋体" w:cs="宋体"/>
          <w:sz w:val="32"/>
          <w:szCs w:val="32"/>
        </w:rPr>
        <w:t>第一章  谈判邀请公告</w:t>
      </w:r>
      <w:bookmarkEnd w:id="0"/>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iCs/>
          <w:u w:val="single"/>
        </w:rPr>
      </w:pPr>
    </w:p>
    <w:p>
      <w:pPr>
        <w:keepNext w:val="0"/>
        <w:keepLines w:val="0"/>
        <w:pageBreakBefore w:val="0"/>
        <w:widowControl w:val="0"/>
        <w:kinsoku/>
        <w:wordWrap/>
        <w:overflowPunct/>
        <w:topLinePunct w:val="0"/>
        <w:bidi w:val="0"/>
        <w:spacing w:line="360" w:lineRule="auto"/>
        <w:ind w:left="0" w:leftChars="0" w:right="0" w:rightChars="0" w:firstLine="420" w:firstLineChars="200"/>
        <w:jc w:val="left"/>
        <w:rPr>
          <w:rFonts w:hint="eastAsia" w:ascii="宋体" w:hAnsi="宋体" w:eastAsia="宋体" w:cs="宋体"/>
          <w:iCs/>
          <w:u w:val="single"/>
        </w:rPr>
      </w:pPr>
      <w:r>
        <w:rPr>
          <w:rFonts w:hint="eastAsia" w:ascii="宋体" w:hAnsi="宋体" w:eastAsia="宋体" w:cs="宋体"/>
          <w:iCs/>
          <w:color w:val="auto"/>
          <w:u w:val="single"/>
          <w:lang w:val="en-US" w:eastAsia="zh-CN"/>
        </w:rPr>
        <w:t>湖南新星项目管理有限公司</w:t>
      </w:r>
      <w:r>
        <w:rPr>
          <w:rFonts w:hint="eastAsia" w:ascii="宋体" w:hAnsi="宋体" w:eastAsia="宋体" w:cs="宋体"/>
          <w:color w:val="auto"/>
        </w:rPr>
        <w:t>受</w:t>
      </w:r>
      <w:r>
        <w:rPr>
          <w:rFonts w:hint="eastAsia" w:ascii="宋体" w:hAnsi="宋体" w:eastAsia="宋体" w:cs="宋体"/>
          <w:iCs/>
          <w:color w:val="auto"/>
          <w:u w:val="single"/>
        </w:rPr>
        <w:t>长沙市轨道交通五号线建设发展有限公司</w:t>
      </w:r>
      <w:r>
        <w:rPr>
          <w:rFonts w:hint="eastAsia" w:ascii="宋体" w:hAnsi="宋体" w:eastAsia="宋体" w:cs="宋体"/>
          <w:color w:val="auto"/>
        </w:rPr>
        <w:t>的委托，</w:t>
      </w:r>
      <w:r>
        <w:rPr>
          <w:rFonts w:hint="eastAsia" w:ascii="宋体" w:hAnsi="宋体" w:eastAsia="宋体" w:cs="宋体"/>
          <w:iCs/>
          <w:color w:val="auto"/>
        </w:rPr>
        <w:t>对</w:t>
      </w:r>
      <w:r>
        <w:rPr>
          <w:rFonts w:hint="eastAsia" w:ascii="宋体" w:hAnsi="宋体" w:eastAsia="宋体" w:cs="宋体"/>
          <w:iCs/>
          <w:color w:val="auto"/>
          <w:u w:val="single"/>
        </w:rPr>
        <w:t>长沙市轨道交通5号线一期工程筹备期职业病防护设施竣工验收服务项目</w:t>
      </w:r>
      <w:r>
        <w:rPr>
          <w:rFonts w:hint="eastAsia" w:ascii="宋体" w:hAnsi="宋体" w:cs="宋体"/>
          <w:iCs/>
          <w:color w:val="auto"/>
          <w:u w:val="single"/>
          <w:lang w:eastAsia="zh-CN"/>
        </w:rPr>
        <w:t>（</w:t>
      </w:r>
      <w:r>
        <w:rPr>
          <w:rFonts w:hint="eastAsia" w:ascii="宋体" w:hAnsi="宋体" w:eastAsia="宋体" w:cs="宋体"/>
          <w:iCs/>
          <w:color w:val="auto"/>
          <w:u w:val="single"/>
        </w:rPr>
        <w:t>2019-2020年度</w:t>
      </w:r>
      <w:r>
        <w:rPr>
          <w:rFonts w:hint="eastAsia" w:ascii="宋体" w:hAnsi="宋体" w:cs="宋体"/>
          <w:iCs/>
          <w:color w:val="auto"/>
          <w:u w:val="single"/>
          <w:lang w:eastAsia="zh-CN"/>
        </w:rPr>
        <w:t>）</w:t>
      </w:r>
      <w:r>
        <w:rPr>
          <w:rFonts w:hint="eastAsia" w:ascii="宋体" w:hAnsi="宋体" w:eastAsia="宋体" w:cs="宋体"/>
          <w:iCs/>
        </w:rPr>
        <w:t>进行自主竞争性谈判采购，现发布公告，邀请符合条件的单位参与谈判采购活动。</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Ansi="宋体"/>
          <w:b/>
          <w:iCs/>
        </w:rPr>
      </w:pPr>
      <w:r>
        <w:rPr>
          <w:rFonts w:hint="eastAsia" w:hAnsi="宋体"/>
          <w:b/>
          <w:iCs/>
        </w:rPr>
        <w:t>一、项目概况</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cs="宋体"/>
          <w:iCs/>
          <w:color w:val="auto"/>
          <w:u w:val="none"/>
          <w:lang w:eastAsia="zh-CN"/>
        </w:rPr>
      </w:pPr>
      <w:r>
        <w:rPr>
          <w:rFonts w:hint="eastAsia" w:ascii="宋体" w:hAnsi="宋体" w:eastAsia="宋体" w:cs="宋体"/>
          <w:iCs/>
        </w:rPr>
        <w:t>1.项目名称：</w:t>
      </w:r>
      <w:r>
        <w:rPr>
          <w:rFonts w:hint="eastAsia" w:ascii="宋体" w:hAnsi="宋体" w:eastAsia="宋体" w:cs="宋体"/>
          <w:iCs/>
          <w:color w:val="auto"/>
          <w:u w:val="none"/>
        </w:rPr>
        <w:t>长沙市轨道交通5号线一期工程筹备期职业病防护设施竣工验收服务项目</w:t>
      </w:r>
      <w:r>
        <w:rPr>
          <w:rFonts w:hint="eastAsia" w:ascii="宋体" w:hAnsi="宋体" w:cs="宋体"/>
          <w:iCs/>
          <w:color w:val="auto"/>
          <w:u w:val="none"/>
          <w:lang w:eastAsia="zh-CN"/>
        </w:rPr>
        <w:t>（</w:t>
      </w:r>
      <w:r>
        <w:rPr>
          <w:rFonts w:hint="eastAsia" w:ascii="宋体" w:hAnsi="宋体" w:eastAsia="宋体" w:cs="宋体"/>
          <w:iCs/>
          <w:color w:val="auto"/>
          <w:u w:val="none"/>
        </w:rPr>
        <w:t>2019-2020年度</w:t>
      </w:r>
      <w:r>
        <w:rPr>
          <w:rFonts w:hint="eastAsia" w:ascii="宋体" w:hAnsi="宋体" w:cs="宋体"/>
          <w:iCs/>
          <w:color w:val="auto"/>
          <w:u w:val="none"/>
          <w:lang w:eastAsia="zh-CN"/>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宋体" w:hAnsi="宋体" w:eastAsia="宋体" w:cs="宋体"/>
          <w:iCs/>
        </w:rPr>
      </w:pPr>
      <w:r>
        <w:rPr>
          <w:rFonts w:hint="eastAsia" w:ascii="宋体" w:hAnsi="宋体" w:eastAsia="宋体" w:cs="宋体"/>
          <w:iCs/>
        </w:rPr>
        <w:t>2.项目控制价：</w:t>
      </w:r>
      <w:r>
        <w:rPr>
          <w:rFonts w:hint="eastAsia" w:ascii="宋体" w:hAnsi="宋体" w:eastAsia="宋体" w:cs="宋体"/>
          <w:iCs/>
          <w:u w:val="none"/>
          <w:lang w:val="en-US" w:eastAsia="zh-CN"/>
        </w:rPr>
        <w:t>198000.00</w:t>
      </w:r>
      <w:r>
        <w:rPr>
          <w:rFonts w:hint="eastAsia" w:ascii="宋体" w:hAnsi="宋体" w:eastAsia="宋体" w:cs="宋体"/>
          <w:u w:val="none"/>
        </w:rPr>
        <w:t>元</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left"/>
        <w:textAlignment w:val="auto"/>
        <w:rPr>
          <w:rFonts w:hint="eastAsia" w:ascii="宋体" w:hAnsi="宋体" w:eastAsia="宋体" w:cs="宋体"/>
          <w:iCs/>
          <w:color w:val="auto"/>
          <w:u w:val="single"/>
          <w:lang w:val="en-US" w:eastAsia="zh-CN"/>
        </w:rPr>
      </w:pPr>
      <w:r>
        <w:rPr>
          <w:rFonts w:hint="eastAsia" w:ascii="宋体" w:hAnsi="宋体" w:eastAsia="宋体" w:cs="宋体"/>
          <w:iCs/>
          <w:szCs w:val="21"/>
          <w:u w:val="none"/>
        </w:rPr>
        <w:t>3.</w:t>
      </w:r>
      <w:r>
        <w:rPr>
          <w:rFonts w:hint="eastAsia" w:ascii="宋体" w:hAnsi="宋体" w:eastAsia="宋体" w:cs="宋体"/>
          <w:iCs/>
          <w:color w:val="auto"/>
          <w:u w:val="none"/>
          <w:lang w:val="en-US" w:eastAsia="zh-CN"/>
        </w:rPr>
        <w:t>谈判内容：本项目主要为</w:t>
      </w:r>
      <w:r>
        <w:rPr>
          <w:rFonts w:hint="eastAsia" w:ascii="宋体" w:hAnsi="宋体" w:eastAsia="宋体" w:cs="宋体"/>
          <w:iCs/>
          <w:color w:val="auto"/>
          <w:u w:val="none"/>
        </w:rPr>
        <w:t>长沙市轨道交</w:t>
      </w:r>
      <w:r>
        <w:rPr>
          <w:rFonts w:hint="eastAsia" w:ascii="宋体" w:hAnsi="宋体" w:eastAsia="宋体" w:cs="宋体"/>
          <w:iCs/>
          <w:color w:val="auto"/>
          <w:u w:val="none"/>
          <w:lang w:val="en-US" w:eastAsia="zh-CN"/>
        </w:rPr>
        <w:t>5号线职业病危害因素检测，并出具检测报告。（具体详见用户需求书）</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left"/>
        <w:textAlignment w:val="auto"/>
        <w:rPr>
          <w:rFonts w:hint="eastAsia" w:ascii="宋体" w:hAnsi="宋体" w:eastAsia="宋体" w:cs="宋体"/>
          <w:iCs/>
          <w:color w:val="auto"/>
          <w:u w:val="single"/>
          <w:lang w:val="en-US" w:eastAsia="zh-CN"/>
        </w:rPr>
      </w:pPr>
      <w:r>
        <w:rPr>
          <w:rFonts w:hint="eastAsia" w:ascii="宋体" w:hAnsi="宋体" w:eastAsia="宋体" w:cs="宋体"/>
          <w:iCs/>
          <w:color w:val="auto"/>
          <w:u w:val="none"/>
          <w:lang w:val="en-US" w:eastAsia="zh-CN"/>
        </w:rPr>
        <w:t>4</w:t>
      </w:r>
      <w:r>
        <w:rPr>
          <w:rFonts w:hint="eastAsia" w:ascii="宋体" w:hAnsi="宋体" w:eastAsia="宋体" w:cs="宋体"/>
          <w:iCs/>
          <w:szCs w:val="21"/>
          <w:u w:val="none"/>
        </w:rPr>
        <w:t>.</w:t>
      </w:r>
      <w:r>
        <w:rPr>
          <w:rFonts w:hint="eastAsia" w:ascii="宋体" w:hAnsi="宋体" w:eastAsia="宋体" w:cs="宋体"/>
          <w:iCs/>
          <w:color w:val="auto"/>
          <w:u w:val="none"/>
          <w:lang w:val="en-US" w:eastAsia="zh-CN"/>
        </w:rPr>
        <w:t>标段划分：</w:t>
      </w:r>
      <w:r>
        <w:rPr>
          <w:rFonts w:hint="eastAsia" w:ascii="宋体" w:hAnsi="宋体" w:eastAsia="宋体" w:cs="宋体"/>
          <w:iCs/>
          <w:strike w:val="0"/>
          <w:dstrike w:val="0"/>
          <w:color w:val="auto"/>
          <w:u w:val="none"/>
          <w:lang w:val="en-US" w:eastAsia="zh-CN"/>
        </w:rPr>
        <w:t>共划分1个标段。</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left"/>
        <w:textAlignment w:val="auto"/>
        <w:rPr>
          <w:rFonts w:hint="eastAsia" w:ascii="宋体" w:hAnsi="宋体" w:eastAsia="宋体" w:cs="宋体"/>
          <w:iCs/>
          <w:strike w:val="0"/>
          <w:dstrike w:val="0"/>
          <w:color w:val="auto"/>
          <w:u w:val="none"/>
          <w:lang w:val="en-US" w:eastAsia="zh-CN"/>
        </w:rPr>
      </w:pPr>
      <w:r>
        <w:rPr>
          <w:rFonts w:hint="eastAsia" w:ascii="宋体" w:hAnsi="宋体" w:eastAsia="宋体" w:cs="宋体"/>
          <w:iCs/>
          <w:color w:val="auto"/>
          <w:u w:val="none"/>
          <w:lang w:val="en-US" w:eastAsia="zh-CN"/>
        </w:rPr>
        <w:t>5</w:t>
      </w:r>
      <w:r>
        <w:rPr>
          <w:rFonts w:hint="eastAsia" w:ascii="宋体" w:hAnsi="宋体" w:eastAsia="宋体" w:cs="宋体"/>
          <w:iCs/>
          <w:szCs w:val="21"/>
          <w:u w:val="none"/>
        </w:rPr>
        <w:t>.</w:t>
      </w:r>
      <w:r>
        <w:rPr>
          <w:rFonts w:hint="eastAsia" w:ascii="宋体" w:hAnsi="宋体" w:eastAsia="宋体" w:cs="宋体"/>
          <w:iCs/>
          <w:color w:val="auto"/>
          <w:u w:val="none"/>
          <w:lang w:val="en-US" w:eastAsia="zh-CN"/>
        </w:rPr>
        <w:t>服务</w:t>
      </w:r>
      <w:r>
        <w:rPr>
          <w:rFonts w:hint="eastAsia" w:ascii="宋体" w:hAnsi="宋体" w:eastAsia="宋体" w:cs="宋体"/>
          <w:iCs/>
          <w:color w:val="auto"/>
          <w:highlight w:val="none"/>
          <w:u w:val="none"/>
          <w:lang w:val="en-US" w:eastAsia="zh-CN"/>
        </w:rPr>
        <w:t>期限</w:t>
      </w:r>
      <w:r>
        <w:rPr>
          <w:rFonts w:hint="eastAsia" w:ascii="宋体" w:hAnsi="宋体" w:eastAsia="宋体" w:cs="宋体"/>
          <w:iCs/>
          <w:color w:val="auto"/>
          <w:u w:val="none"/>
          <w:lang w:val="en-US" w:eastAsia="zh-CN"/>
        </w:rPr>
        <w:t>：</w:t>
      </w:r>
      <w:r>
        <w:rPr>
          <w:rFonts w:hint="eastAsia" w:ascii="宋体" w:hAnsi="宋体" w:eastAsia="宋体" w:cs="宋体"/>
          <w:iCs/>
          <w:strike w:val="0"/>
          <w:dstrike w:val="0"/>
          <w:color w:val="auto"/>
          <w:u w:val="none"/>
          <w:lang w:val="en-US" w:eastAsia="zh-CN"/>
        </w:rPr>
        <w:t>实际服务时间以供应商接到招标人发出的开工令起算，总计3个月。（具体详见用户需求书）。</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left"/>
        <w:textAlignment w:val="auto"/>
        <w:rPr>
          <w:rFonts w:hint="eastAsia" w:ascii="宋体" w:hAnsi="宋体" w:eastAsia="宋体" w:cs="宋体"/>
          <w:bCs/>
          <w:color w:val="auto"/>
          <w:u w:val="single"/>
          <w:lang w:eastAsia="zh-CN"/>
        </w:rPr>
      </w:pPr>
      <w:r>
        <w:rPr>
          <w:rFonts w:hint="eastAsia" w:ascii="宋体" w:hAnsi="宋体" w:eastAsia="宋体" w:cs="宋体"/>
          <w:iCs/>
          <w:strike w:val="0"/>
          <w:dstrike w:val="0"/>
          <w:color w:val="auto"/>
          <w:u w:val="none"/>
          <w:lang w:val="en-US" w:eastAsia="zh-CN"/>
        </w:rPr>
        <w:t>6</w:t>
      </w:r>
      <w:r>
        <w:rPr>
          <w:rFonts w:hint="eastAsia" w:ascii="宋体" w:hAnsi="宋体" w:eastAsia="宋体" w:cs="宋体"/>
          <w:iCs/>
          <w:szCs w:val="21"/>
          <w:u w:val="none"/>
        </w:rPr>
        <w:t>.</w:t>
      </w:r>
      <w:r>
        <w:rPr>
          <w:rFonts w:hint="eastAsia" w:ascii="宋体" w:hAnsi="宋体" w:eastAsia="宋体" w:cs="宋体"/>
          <w:iCs/>
          <w:strike w:val="0"/>
          <w:dstrike w:val="0"/>
          <w:color w:val="auto"/>
          <w:u w:val="none"/>
          <w:lang w:val="en-US" w:eastAsia="zh-CN"/>
        </w:rPr>
        <w:t>采购范围：主要为长沙市轨道交通5号线一期工程包括水渡河车辆段、天际岭主变电所、长善路主变电所和全线18个地下车站（含区间隧道）</w:t>
      </w:r>
      <w:r>
        <w:rPr>
          <w:rFonts w:hint="eastAsia" w:ascii="宋体" w:hAnsi="宋体" w:eastAsia="宋体" w:cs="宋体"/>
          <w:b w:val="0"/>
          <w:i w:val="0"/>
          <w:caps w:val="0"/>
          <w:color w:val="auto"/>
          <w:spacing w:val="0"/>
          <w:sz w:val="21"/>
          <w:szCs w:val="21"/>
          <w:shd w:val="clear" w:color="080000" w:fill="FFFFFF"/>
        </w:rPr>
        <w:t>职业病危害因素检测</w:t>
      </w:r>
      <w:r>
        <w:rPr>
          <w:rFonts w:hint="eastAsia" w:ascii="宋体" w:hAnsi="宋体" w:eastAsia="宋体" w:cs="宋体"/>
          <w:b w:val="0"/>
          <w:i w:val="0"/>
          <w:caps w:val="0"/>
          <w:color w:val="auto"/>
          <w:spacing w:val="0"/>
          <w:sz w:val="21"/>
          <w:szCs w:val="21"/>
          <w:shd w:val="clear" w:color="080000" w:fill="FFFFFF"/>
          <w:lang w:eastAsia="zh-CN"/>
        </w:rPr>
        <w:t>，</w:t>
      </w:r>
      <w:r>
        <w:rPr>
          <w:rFonts w:hint="eastAsia" w:ascii="宋体" w:hAnsi="宋体" w:eastAsia="宋体" w:cs="宋体"/>
          <w:b w:val="0"/>
          <w:i w:val="0"/>
          <w:caps w:val="0"/>
          <w:color w:val="auto"/>
          <w:spacing w:val="0"/>
          <w:sz w:val="21"/>
          <w:szCs w:val="21"/>
          <w:shd w:val="clear" w:color="080000" w:fill="FFFFFF"/>
        </w:rPr>
        <w:t>并出具检测报告</w:t>
      </w:r>
      <w:r>
        <w:rPr>
          <w:rFonts w:hint="eastAsia" w:ascii="宋体" w:hAnsi="宋体" w:eastAsia="宋体" w:cs="宋体"/>
          <w:i w:val="0"/>
          <w:iCs w:val="0"/>
          <w:color w:val="auto"/>
          <w:sz w:val="21"/>
          <w:szCs w:val="21"/>
          <w:u w:val="none"/>
          <w:lang w:val="en-US" w:eastAsia="zh-CN"/>
        </w:rPr>
        <w:t>。</w:t>
      </w:r>
      <w:r>
        <w:rPr>
          <w:rFonts w:hint="eastAsia" w:ascii="宋体" w:hAnsi="宋体" w:eastAsia="宋体" w:cs="宋体"/>
          <w:iCs/>
          <w:strike w:val="0"/>
          <w:dstrike w:val="0"/>
          <w:color w:val="auto"/>
          <w:u w:val="none"/>
          <w:lang w:val="en-US" w:eastAsia="zh-CN"/>
        </w:rPr>
        <w:t>（具体详见用户需求书）</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rPr>
          <w:rFonts w:hAnsi="宋体"/>
          <w:b/>
          <w:iCs/>
          <w:color w:val="auto"/>
        </w:rPr>
      </w:pPr>
      <w:r>
        <w:rPr>
          <w:rFonts w:hint="eastAsia" w:hAnsi="宋体"/>
          <w:b/>
          <w:iCs/>
          <w:color w:val="auto"/>
        </w:rPr>
        <w:t>二、资格要求</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hint="eastAsia" w:ascii="宋体" w:hAnsi="宋体" w:eastAsia="宋体" w:cs="宋体"/>
          <w:iCs/>
          <w:color w:val="auto"/>
          <w:highlight w:val="none"/>
        </w:rPr>
      </w:pPr>
      <w:r>
        <w:rPr>
          <w:rFonts w:hint="eastAsia" w:ascii="宋体" w:hAnsi="宋体" w:eastAsia="宋体" w:cs="宋体"/>
          <w:color w:val="auto"/>
          <w:szCs w:val="21"/>
          <w:highlight w:val="none"/>
        </w:rPr>
        <w:t>1.</w:t>
      </w:r>
      <w:r>
        <w:rPr>
          <w:rFonts w:hint="eastAsia" w:ascii="宋体" w:hAnsi="宋体" w:eastAsia="宋体" w:cs="宋体"/>
          <w:iCs/>
          <w:color w:val="auto"/>
          <w:highlight w:val="none"/>
        </w:rPr>
        <w:t>谈判单位须为具有独立法人资格、自主经营、独立核算的公司</w:t>
      </w:r>
      <w:r>
        <w:rPr>
          <w:rFonts w:hint="eastAsia" w:ascii="宋体" w:hAnsi="宋体" w:eastAsia="宋体" w:cs="宋体"/>
          <w:iCs/>
          <w:color w:val="auto"/>
          <w:highlight w:val="none"/>
          <w:lang w:val="en-US" w:eastAsia="zh-CN"/>
        </w:rPr>
        <w:t>/</w:t>
      </w:r>
      <w:r>
        <w:rPr>
          <w:rFonts w:hint="eastAsia" w:ascii="宋体" w:hAnsi="宋体" w:eastAsia="宋体" w:cs="宋体"/>
          <w:iCs/>
          <w:color w:val="auto"/>
          <w:highlight w:val="none"/>
          <w:lang w:eastAsia="zh-CN"/>
        </w:rPr>
        <w:t>单位</w:t>
      </w:r>
      <w:r>
        <w:rPr>
          <w:rFonts w:hint="eastAsia" w:ascii="宋体" w:hAnsi="宋体" w:eastAsia="宋体" w:cs="宋体"/>
          <w:iCs/>
          <w:color w:val="auto"/>
          <w:highlight w:val="none"/>
        </w:rPr>
        <w:t>。</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hint="eastAsia" w:ascii="宋体" w:hAnsi="宋体" w:eastAsia="宋体" w:cs="宋体"/>
          <w:color w:val="auto"/>
          <w:szCs w:val="21"/>
          <w:u w:val="none"/>
        </w:rPr>
      </w:pPr>
      <w:r>
        <w:rPr>
          <w:rFonts w:hint="eastAsia" w:ascii="宋体" w:hAnsi="宋体" w:eastAsia="宋体" w:cs="宋体"/>
          <w:color w:val="auto"/>
          <w:szCs w:val="21"/>
        </w:rPr>
        <w:t>2.</w:t>
      </w:r>
      <w:r>
        <w:rPr>
          <w:rFonts w:hint="eastAsia" w:ascii="宋体" w:hAnsi="宋体" w:eastAsia="宋体" w:cs="宋体"/>
          <w:iCs/>
          <w:color w:val="auto"/>
        </w:rPr>
        <w:t>谈判单位须具有</w:t>
      </w:r>
      <w:r>
        <w:rPr>
          <w:rFonts w:hint="eastAsia" w:ascii="宋体" w:hAnsi="宋体" w:eastAsia="宋体" w:cs="宋体"/>
          <w:color w:val="auto"/>
          <w:u w:val="none"/>
        </w:rPr>
        <w:t>安全生产监督管理部门颁发的职业卫生技术服务机构乙级及以上资质证书</w:t>
      </w:r>
      <w:r>
        <w:rPr>
          <w:rFonts w:hint="eastAsia" w:ascii="宋体" w:hAnsi="宋体" w:eastAsia="宋体" w:cs="宋体"/>
          <w:color w:val="auto"/>
          <w:u w:val="none"/>
          <w:lang w:eastAsia="zh-CN"/>
        </w:rPr>
        <w:t>，</w:t>
      </w:r>
      <w:r>
        <w:rPr>
          <w:rFonts w:hint="eastAsia" w:ascii="宋体" w:hAnsi="宋体" w:eastAsia="宋体" w:cs="宋体"/>
          <w:color w:val="auto"/>
          <w:u w:val="none"/>
        </w:rPr>
        <w:t>须提供证书原件。</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hint="eastAsia" w:ascii="宋体" w:hAnsi="宋体" w:eastAsia="宋体" w:cs="宋体"/>
          <w:color w:val="000000"/>
          <w:szCs w:val="21"/>
          <w:lang w:eastAsia="zh-CN"/>
        </w:rPr>
      </w:pPr>
      <w:r>
        <w:rPr>
          <w:rFonts w:hint="eastAsia" w:ascii="宋体" w:hAnsi="宋体" w:eastAsia="宋体" w:cs="宋体"/>
          <w:color w:val="auto"/>
          <w:szCs w:val="21"/>
        </w:rPr>
        <w:t>3.</w:t>
      </w:r>
      <w:r>
        <w:rPr>
          <w:rFonts w:hint="eastAsia" w:ascii="宋体" w:hAnsi="宋体" w:eastAsia="宋体" w:cs="宋体"/>
          <w:color w:val="000000"/>
          <w:szCs w:val="21"/>
        </w:rPr>
        <w:t>谈判单位在本项目响应文件递交截止之日前36个月内须具有</w:t>
      </w:r>
      <w:r>
        <w:rPr>
          <w:rFonts w:hint="eastAsia" w:ascii="宋体" w:hAnsi="宋体" w:eastAsia="宋体" w:cs="宋体"/>
          <w:color w:val="000000"/>
          <w:szCs w:val="21"/>
          <w:u w:val="none"/>
        </w:rPr>
        <w:t>职业病危害控制效果评价或职业病危害现状评价报告编制</w:t>
      </w:r>
      <w:r>
        <w:rPr>
          <w:rFonts w:hint="eastAsia" w:ascii="宋体" w:hAnsi="宋体" w:eastAsia="宋体" w:cs="宋体"/>
          <w:color w:val="000000"/>
          <w:szCs w:val="21"/>
        </w:rPr>
        <w:t>项目业绩。不接受联合体业绩、港澳台或境外业绩</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hint="eastAsia" w:ascii="宋体" w:hAnsi="宋体" w:eastAsia="宋体" w:cs="宋体"/>
          <w:color w:val="auto"/>
          <w:kern w:val="0"/>
          <w:szCs w:val="21"/>
          <w:u w:val="none"/>
        </w:rPr>
      </w:pPr>
      <w:r>
        <w:rPr>
          <w:rFonts w:hint="eastAsia" w:ascii="宋体" w:hAnsi="宋体" w:eastAsia="宋体" w:cs="宋体"/>
          <w:i w:val="0"/>
          <w:iCs w:val="0"/>
          <w:color w:val="auto"/>
          <w:sz w:val="21"/>
          <w:szCs w:val="21"/>
          <w:highlight w:val="none"/>
          <w:u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4.本次谈判</w:t>
      </w:r>
      <w:r>
        <w:rPr>
          <w:rFonts w:hint="eastAsia" w:ascii="宋体" w:hAnsi="宋体" w:eastAsia="宋体" w:cs="宋体"/>
          <w:b w:val="0"/>
          <w:bCs w:val="0"/>
          <w:color w:val="auto"/>
          <w:szCs w:val="21"/>
          <w:highlight w:val="none"/>
          <w:u w:val="none"/>
        </w:rPr>
        <w:t>不接受</w:t>
      </w:r>
      <w:r>
        <w:rPr>
          <w:rFonts w:hint="eastAsia" w:ascii="宋体" w:hAnsi="宋体" w:eastAsia="宋体" w:cs="宋体"/>
          <w:b w:val="0"/>
          <w:bCs w:val="0"/>
          <w:color w:val="auto"/>
          <w:szCs w:val="21"/>
        </w:rPr>
        <w:t>联合体形式参与谈判。</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ascii="宋体" w:hAnsi="宋体" w:cs="Courier New"/>
          <w:b w:val="0"/>
          <w:bCs w:val="0"/>
          <w:iCs/>
          <w:color w:val="auto"/>
          <w:szCs w:val="21"/>
        </w:rPr>
      </w:pPr>
      <w:r>
        <w:rPr>
          <w:rFonts w:hint="eastAsia" w:ascii="宋体" w:hAnsi="宋体" w:eastAsia="宋体" w:cs="宋体"/>
          <w:b w:val="0"/>
          <w:bCs w:val="0"/>
          <w:color w:val="auto"/>
          <w:szCs w:val="21"/>
        </w:rPr>
        <w:t>5.</w:t>
      </w:r>
      <w:r>
        <w:rPr>
          <w:rFonts w:hint="eastAsia" w:ascii="宋体" w:hAnsi="宋体" w:eastAsia="宋体" w:cs="宋体"/>
          <w:b w:val="0"/>
          <w:bCs w:val="0"/>
          <w:iCs/>
          <w:color w:val="auto"/>
          <w:szCs w:val="21"/>
        </w:rPr>
        <w:t>被长沙市轨道交通集团函告禁止在一定期限内参与轨道公司项目投标或谈判的单位按函告内容执行。</w:t>
      </w:r>
    </w:p>
    <w:p>
      <w:pPr>
        <w:keepNext w:val="0"/>
        <w:keepLines w:val="0"/>
        <w:pageBreakBefore w:val="0"/>
        <w:widowControl w:val="0"/>
        <w:kinsoku/>
        <w:wordWrap/>
        <w:overflowPunct/>
        <w:topLinePunct w:val="0"/>
        <w:bidi w:val="0"/>
        <w:spacing w:line="360" w:lineRule="auto"/>
        <w:ind w:left="0" w:leftChars="0" w:right="0" w:rightChars="0" w:firstLine="422" w:firstLineChars="200"/>
        <w:rPr>
          <w:rFonts w:hAnsi="宋体"/>
          <w:b/>
          <w:bCs/>
          <w:iCs/>
          <w:color w:val="auto"/>
        </w:rPr>
      </w:pPr>
      <w:r>
        <w:rPr>
          <w:rFonts w:hint="eastAsia" w:ascii="宋体" w:hAnsi="宋体"/>
          <w:b/>
          <w:bCs/>
          <w:color w:val="auto"/>
          <w:szCs w:val="21"/>
        </w:rPr>
        <w:t>三、</w:t>
      </w:r>
      <w:r>
        <w:rPr>
          <w:rFonts w:hint="eastAsia" w:hAnsi="宋体"/>
          <w:b/>
          <w:bCs/>
          <w:iCs/>
          <w:color w:val="auto"/>
        </w:rPr>
        <w:t>评审办法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cs="Courier New"/>
          <w:iCs/>
          <w:color w:val="auto"/>
          <w:szCs w:val="21"/>
          <w:highlight w:val="none"/>
        </w:rPr>
        <w:t>本项目评审办法采用</w:t>
      </w:r>
      <w:r>
        <w:rPr>
          <w:rFonts w:hint="eastAsia" w:ascii="宋体" w:hAnsi="宋体" w:cs="Courier New"/>
          <w:iCs/>
          <w:color w:val="auto"/>
          <w:szCs w:val="21"/>
          <w:highlight w:val="none"/>
          <w:u w:val="none"/>
        </w:rPr>
        <w:t>经符合性审查</w:t>
      </w:r>
      <w:r>
        <w:rPr>
          <w:rFonts w:hint="eastAsia" w:ascii="宋体" w:hAnsi="宋体" w:cs="Courier New"/>
          <w:iCs/>
          <w:color w:val="auto"/>
          <w:szCs w:val="21"/>
          <w:highlight w:val="none"/>
          <w:u w:val="none"/>
          <w:lang w:eastAsia="zh-CN"/>
        </w:rPr>
        <w:t>合格</w:t>
      </w:r>
      <w:r>
        <w:rPr>
          <w:rFonts w:hint="eastAsia" w:ascii="宋体" w:hAnsi="宋体" w:cs="Courier New"/>
          <w:iCs/>
          <w:color w:val="auto"/>
          <w:szCs w:val="21"/>
          <w:highlight w:val="none"/>
          <w:u w:val="none"/>
        </w:rPr>
        <w:t>后的</w:t>
      </w:r>
      <w:r>
        <w:rPr>
          <w:rFonts w:hint="eastAsia" w:ascii="宋体" w:hAnsi="宋体" w:cs="Courier New"/>
          <w:iCs/>
          <w:color w:val="auto"/>
          <w:szCs w:val="21"/>
          <w:highlight w:val="none"/>
          <w:u w:val="none"/>
          <w:lang w:val="en-US" w:eastAsia="zh-CN"/>
        </w:rPr>
        <w:t>最低价法</w:t>
      </w:r>
      <w:r>
        <w:rPr>
          <w:rFonts w:hint="eastAsia" w:ascii="宋体" w:hAnsi="宋体" w:cs="Courier New"/>
          <w:iCs/>
          <w:color w:val="auto"/>
          <w:szCs w:val="21"/>
          <w:highlight w:val="none"/>
        </w:rPr>
        <w:t>。</w:t>
      </w:r>
    </w:p>
    <w:p>
      <w:pPr>
        <w:keepNext w:val="0"/>
        <w:keepLines w:val="0"/>
        <w:pageBreakBefore w:val="0"/>
        <w:widowControl w:val="0"/>
        <w:kinsoku/>
        <w:wordWrap/>
        <w:overflowPunct/>
        <w:topLinePunct w:val="0"/>
        <w:bidi w:val="0"/>
        <w:spacing w:line="360" w:lineRule="auto"/>
        <w:ind w:left="0" w:leftChars="0" w:right="0" w:rightChars="0" w:firstLine="422" w:firstLineChars="200"/>
        <w:rPr>
          <w:rFonts w:ascii="宋体" w:hAnsi="宋体"/>
          <w:b/>
          <w:bCs/>
          <w:szCs w:val="21"/>
        </w:rPr>
      </w:pPr>
      <w:r>
        <w:rPr>
          <w:rFonts w:hint="eastAsia" w:ascii="宋体" w:hAnsi="宋体"/>
          <w:b/>
          <w:bCs/>
          <w:color w:val="000000"/>
          <w:szCs w:val="21"/>
        </w:rPr>
        <w:t>四、自主竞争性谈判文件的获取</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szCs w:val="21"/>
        </w:rPr>
      </w:pPr>
      <w:r>
        <w:rPr>
          <w:rFonts w:hint="eastAsia" w:ascii="宋体" w:hAnsi="宋体"/>
          <w:szCs w:val="21"/>
        </w:rPr>
        <w:t>凡有意参加谈判的单位，请于</w:t>
      </w:r>
      <w:r>
        <w:rPr>
          <w:rFonts w:hint="eastAsia" w:ascii="宋体" w:hAnsi="宋体"/>
          <w:szCs w:val="21"/>
          <w:highlight w:val="none"/>
          <w:u w:val="single"/>
        </w:rPr>
        <w:t>2019</w:t>
      </w:r>
      <w:r>
        <w:rPr>
          <w:rFonts w:hint="eastAsia" w:ascii="宋体" w:hAnsi="宋体"/>
          <w:szCs w:val="21"/>
          <w:highlight w:val="none"/>
        </w:rPr>
        <w:t>年</w:t>
      </w:r>
      <w:r>
        <w:rPr>
          <w:rFonts w:hint="eastAsia" w:ascii="宋体" w:hAnsi="宋体"/>
          <w:szCs w:val="21"/>
          <w:highlight w:val="none"/>
          <w:u w:val="single"/>
          <w:lang w:val="en-US" w:eastAsia="zh-CN"/>
        </w:rPr>
        <w:t xml:space="preserve"> 09</w:t>
      </w:r>
      <w:r>
        <w:rPr>
          <w:rFonts w:hint="eastAsia" w:ascii="宋体" w:hAnsi="宋体"/>
          <w:szCs w:val="21"/>
          <w:highlight w:val="none"/>
        </w:rPr>
        <w:t>月</w:t>
      </w:r>
      <w:r>
        <w:rPr>
          <w:rFonts w:hint="eastAsia" w:ascii="宋体" w:hAnsi="宋体"/>
          <w:szCs w:val="21"/>
          <w:highlight w:val="none"/>
          <w:u w:val="single"/>
          <w:lang w:val="en-US" w:eastAsia="zh-CN"/>
        </w:rPr>
        <w:t>16</w:t>
      </w:r>
      <w:r>
        <w:rPr>
          <w:rFonts w:hint="eastAsia" w:ascii="宋体" w:hAnsi="宋体"/>
          <w:szCs w:val="21"/>
          <w:highlight w:val="none"/>
        </w:rPr>
        <w:t>日至2019年</w:t>
      </w:r>
      <w:r>
        <w:rPr>
          <w:rFonts w:hint="eastAsia" w:ascii="宋体" w:hAnsi="宋体"/>
          <w:szCs w:val="21"/>
          <w:highlight w:val="none"/>
          <w:u w:val="single"/>
          <w:lang w:val="en-US" w:eastAsia="zh-CN"/>
        </w:rPr>
        <w:t xml:space="preserve">09 </w:t>
      </w:r>
      <w:r>
        <w:rPr>
          <w:rFonts w:hint="eastAsia" w:ascii="宋体" w:hAnsi="宋体"/>
          <w:szCs w:val="21"/>
          <w:highlight w:val="none"/>
        </w:rPr>
        <w:t>月</w:t>
      </w:r>
      <w:r>
        <w:rPr>
          <w:rFonts w:hint="eastAsia" w:ascii="宋体" w:hAnsi="宋体"/>
          <w:szCs w:val="21"/>
          <w:highlight w:val="none"/>
          <w:u w:val="single"/>
          <w:lang w:val="en-US" w:eastAsia="zh-CN"/>
        </w:rPr>
        <w:t xml:space="preserve"> 20</w:t>
      </w:r>
      <w:r>
        <w:rPr>
          <w:rFonts w:hint="eastAsia" w:ascii="宋体" w:hAnsi="宋体"/>
          <w:szCs w:val="21"/>
          <w:highlight w:val="none"/>
        </w:rPr>
        <w:t>日</w:t>
      </w:r>
      <w:r>
        <w:rPr>
          <w:rFonts w:hint="eastAsia" w:ascii="宋体" w:hAnsi="宋体"/>
          <w:szCs w:val="21"/>
        </w:rPr>
        <w:t>登录长沙市轨道交通集团有限公司官方网站</w:t>
      </w:r>
      <w:r>
        <w:rPr>
          <w:rFonts w:hint="eastAsia" w:ascii="宋体" w:hAnsi="宋体" w:eastAsia="宋体" w:cs="宋体"/>
          <w:kern w:val="0"/>
          <w:sz w:val="21"/>
          <w:szCs w:val="21"/>
        </w:rPr>
        <w:t>（http://www.hncsmtr.com/）</w:t>
      </w:r>
      <w:r>
        <w:rPr>
          <w:rFonts w:hint="eastAsia" w:ascii="宋体" w:hAnsi="宋体"/>
          <w:szCs w:val="21"/>
        </w:rPr>
        <w:t>获取自主竞争性谈判文件。</w:t>
      </w:r>
    </w:p>
    <w:p>
      <w:pPr>
        <w:keepNext w:val="0"/>
        <w:keepLines w:val="0"/>
        <w:pageBreakBefore w:val="0"/>
        <w:widowControl w:val="0"/>
        <w:kinsoku/>
        <w:wordWrap/>
        <w:overflowPunct/>
        <w:topLinePunct w:val="0"/>
        <w:bidi w:val="0"/>
        <w:spacing w:line="360" w:lineRule="auto"/>
        <w:ind w:left="0" w:leftChars="0" w:right="0" w:rightChars="0" w:firstLine="422" w:firstLineChars="200"/>
        <w:rPr>
          <w:rFonts w:ascii="宋体" w:hAnsi="宋体"/>
          <w:b/>
          <w:bCs/>
          <w:color w:val="auto"/>
          <w:szCs w:val="21"/>
        </w:rPr>
      </w:pPr>
      <w:r>
        <w:rPr>
          <w:rFonts w:hint="eastAsia" w:ascii="宋体" w:hAnsi="宋体"/>
          <w:b/>
          <w:bCs/>
          <w:color w:val="auto"/>
          <w:szCs w:val="21"/>
        </w:rPr>
        <w:t>五、</w:t>
      </w:r>
      <w:r>
        <w:rPr>
          <w:rFonts w:hint="eastAsia" w:hAnsi="宋体"/>
          <w:b/>
          <w:bCs/>
          <w:iCs/>
          <w:color w:val="auto"/>
        </w:rPr>
        <w:t>谈判文件的</w:t>
      </w:r>
      <w:r>
        <w:rPr>
          <w:rFonts w:hint="eastAsia" w:ascii="宋体" w:hAnsi="宋体"/>
          <w:b/>
          <w:bCs/>
          <w:color w:val="auto"/>
          <w:szCs w:val="21"/>
        </w:rPr>
        <w:t>澄清与答疑</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s="Courier New"/>
          <w:iCs/>
          <w:color w:val="auto"/>
          <w:szCs w:val="21"/>
        </w:rPr>
      </w:pPr>
      <w:r>
        <w:rPr>
          <w:rFonts w:hint="eastAsia" w:ascii="宋体" w:hAnsi="宋体"/>
          <w:color w:val="auto"/>
          <w:szCs w:val="21"/>
        </w:rPr>
        <w:t>1.</w:t>
      </w:r>
      <w:r>
        <w:rPr>
          <w:rFonts w:hint="eastAsia" w:ascii="宋体" w:hAnsi="宋体" w:cs="Courier New"/>
          <w:iCs/>
          <w:color w:val="auto"/>
          <w:szCs w:val="21"/>
        </w:rPr>
        <w:t>本项目不组织答疑会和现场踏勘。</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s="Courier New"/>
          <w:iCs/>
          <w:color w:val="auto"/>
          <w:szCs w:val="21"/>
        </w:rPr>
      </w:pPr>
      <w:r>
        <w:rPr>
          <w:rFonts w:hint="eastAsia" w:ascii="宋体" w:hAnsi="宋体" w:cs="Courier New"/>
          <w:iCs/>
          <w:color w:val="auto"/>
          <w:szCs w:val="21"/>
        </w:rPr>
        <w:t>2.谈判单位若对谈判文件有任何疑问，</w:t>
      </w:r>
      <w:r>
        <w:rPr>
          <w:rFonts w:hint="eastAsia" w:ascii="宋体" w:hAnsi="宋体"/>
          <w:color w:val="auto"/>
          <w:szCs w:val="21"/>
        </w:rPr>
        <w:t>应于</w:t>
      </w:r>
      <w:r>
        <w:rPr>
          <w:rFonts w:hint="eastAsia" w:ascii="宋体" w:hAnsi="宋体"/>
          <w:color w:val="auto"/>
          <w:szCs w:val="21"/>
          <w:highlight w:val="none"/>
          <w:u w:val="single"/>
          <w:lang w:val="en-US" w:eastAsia="zh-CN"/>
        </w:rPr>
        <w:t xml:space="preserve"> 2019</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09</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23</w:t>
      </w:r>
      <w:r>
        <w:rPr>
          <w:rFonts w:hint="eastAsia" w:ascii="宋体" w:hAnsi="宋体"/>
          <w:color w:val="auto"/>
          <w:szCs w:val="21"/>
          <w:highlight w:val="none"/>
        </w:rPr>
        <w:t>日</w:t>
      </w:r>
      <w:r>
        <w:rPr>
          <w:rFonts w:hint="eastAsia" w:ascii="宋体" w:hAnsi="宋体" w:cs="Courier New"/>
          <w:iCs/>
          <w:color w:val="auto"/>
          <w:szCs w:val="21"/>
        </w:rPr>
        <w:t>17：00时（含）前</w:t>
      </w:r>
      <w:r>
        <w:rPr>
          <w:rFonts w:hint="eastAsia" w:ascii="宋体" w:hAnsi="宋体" w:cs="Courier New"/>
          <w:iCs/>
          <w:color w:val="auto"/>
          <w:szCs w:val="21"/>
          <w:highlight w:val="none"/>
        </w:rPr>
        <w:t>（节假日除外）</w:t>
      </w:r>
      <w:r>
        <w:rPr>
          <w:rFonts w:hint="eastAsia" w:ascii="宋体" w:hAnsi="宋体" w:cs="Courier New"/>
          <w:iCs/>
          <w:color w:val="auto"/>
          <w:szCs w:val="21"/>
        </w:rPr>
        <w:t>以书面形式（经法定代表人签字或盖章，并加盖单位公章）递交至采购代理机构。</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s="Courier New"/>
          <w:iCs/>
          <w:color w:val="auto"/>
          <w:szCs w:val="21"/>
        </w:rPr>
      </w:pPr>
      <w:r>
        <w:rPr>
          <w:rFonts w:hint="eastAsia" w:ascii="宋体" w:hAnsi="宋体" w:cs="Courier New"/>
          <w:iCs/>
          <w:color w:val="auto"/>
          <w:szCs w:val="21"/>
        </w:rPr>
        <w:t>3.在谈判截止时间前，采购单位或采购代理机构可主动地或在解答谈判单位提出的问题时对谈判文件进行澄清或修改。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0"/>
          <w:szCs w:val="21"/>
          <w:highlight w:val="none"/>
        </w:rPr>
      </w:pPr>
      <w:r>
        <w:rPr>
          <w:rFonts w:hint="eastAsia" w:ascii="宋体" w:hAnsi="宋体" w:cs="Courier New"/>
          <w:iCs/>
          <w:color w:val="auto"/>
          <w:szCs w:val="21"/>
        </w:rPr>
        <w:t>4.</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w:t>
      </w:r>
      <w:r>
        <w:rPr>
          <w:rFonts w:hint="eastAsia" w:ascii="宋体" w:hAnsi="宋体" w:eastAsia="宋体" w:cs="宋体"/>
          <w:kern w:val="0"/>
          <w:sz w:val="21"/>
          <w:szCs w:val="21"/>
          <w:lang w:eastAsia="zh-CN"/>
        </w:rPr>
        <w:t>方</w:t>
      </w:r>
      <w:r>
        <w:rPr>
          <w:rFonts w:hint="eastAsia" w:ascii="宋体" w:hAnsi="宋体" w:eastAsia="宋体" w:cs="宋体"/>
          <w:kern w:val="0"/>
          <w:sz w:val="21"/>
          <w:szCs w:val="21"/>
        </w:rPr>
        <w:t>网</w:t>
      </w:r>
      <w:r>
        <w:rPr>
          <w:rFonts w:hint="eastAsia" w:ascii="宋体" w:hAnsi="宋体" w:eastAsia="宋体" w:cs="宋体"/>
          <w:kern w:val="0"/>
          <w:sz w:val="21"/>
          <w:szCs w:val="21"/>
          <w:lang w:eastAsia="zh-CN"/>
        </w:rPr>
        <w:t>站</w:t>
      </w:r>
      <w:r>
        <w:rPr>
          <w:rFonts w:hint="eastAsia" w:ascii="宋体" w:hAnsi="宋体" w:eastAsia="宋体" w:cs="宋体"/>
          <w:kern w:val="0"/>
          <w:sz w:val="21"/>
          <w:szCs w:val="21"/>
        </w:rPr>
        <w:t>（http://www.hncsmtr.com/）发布澄清或答疑文件及顺延谈判时间，敬请获得谈判文件的所有谈判单位关注，恕不另行通知，如有遗漏采购单位或代理机构不负任何责任。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bidi w:val="0"/>
        <w:spacing w:line="360" w:lineRule="auto"/>
        <w:ind w:left="0" w:leftChars="0" w:right="0" w:rightChars="0" w:firstLine="422" w:firstLineChars="200"/>
        <w:rPr>
          <w:rFonts w:hAnsi="宋体"/>
          <w:b/>
          <w:iCs/>
          <w:color w:val="auto"/>
          <w:highlight w:val="none"/>
        </w:rPr>
      </w:pPr>
      <w:r>
        <w:rPr>
          <w:rFonts w:hint="eastAsia" w:ascii="宋体" w:hAnsi="宋体" w:cs="宋体"/>
          <w:b/>
          <w:bCs/>
          <w:color w:val="auto"/>
          <w:kern w:val="0"/>
          <w:szCs w:val="21"/>
          <w:highlight w:val="none"/>
        </w:rPr>
        <w:t>六</w:t>
      </w:r>
      <w:r>
        <w:rPr>
          <w:rFonts w:hint="eastAsia" w:ascii="宋体" w:hAnsi="宋体" w:cs="宋体"/>
          <w:color w:val="auto"/>
          <w:kern w:val="0"/>
          <w:szCs w:val="21"/>
          <w:highlight w:val="none"/>
        </w:rPr>
        <w:t>、</w:t>
      </w:r>
      <w:r>
        <w:rPr>
          <w:rFonts w:hint="eastAsia" w:hAnsi="宋体"/>
          <w:b/>
          <w:iCs/>
          <w:color w:val="auto"/>
          <w:highlight w:val="none"/>
        </w:rPr>
        <w:t>响应文件的递交</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olor w:val="auto"/>
          <w:szCs w:val="21"/>
          <w:highlight w:val="none"/>
        </w:rPr>
      </w:pPr>
      <w:r>
        <w:rPr>
          <w:rFonts w:hint="eastAsia" w:ascii="宋体" w:hAnsi="宋体"/>
          <w:bCs/>
          <w:color w:val="auto"/>
          <w:szCs w:val="21"/>
          <w:highlight w:val="none"/>
          <w:lang w:val="en-US" w:eastAsia="zh-CN"/>
        </w:rPr>
        <w:t>1.</w:t>
      </w:r>
      <w:r>
        <w:rPr>
          <w:rFonts w:hint="eastAsia" w:ascii="宋体" w:hAnsi="宋体"/>
          <w:bCs/>
          <w:color w:val="auto"/>
          <w:szCs w:val="21"/>
          <w:highlight w:val="none"/>
        </w:rPr>
        <w:t>响应</w:t>
      </w:r>
      <w:r>
        <w:rPr>
          <w:rFonts w:ascii="宋体" w:hAnsi="宋体"/>
          <w:bCs/>
          <w:color w:val="auto"/>
          <w:szCs w:val="21"/>
          <w:highlight w:val="none"/>
        </w:rPr>
        <w:t>文件递交的截止时间</w:t>
      </w:r>
      <w:r>
        <w:rPr>
          <w:rFonts w:hint="eastAsia" w:ascii="宋体" w:hAnsi="宋体"/>
          <w:bCs/>
          <w:color w:val="auto"/>
          <w:szCs w:val="21"/>
          <w:highlight w:val="none"/>
        </w:rPr>
        <w:t>及谈判时间</w:t>
      </w:r>
      <w:r>
        <w:rPr>
          <w:rFonts w:ascii="宋体" w:hAnsi="宋体"/>
          <w:bCs/>
          <w:color w:val="auto"/>
          <w:szCs w:val="21"/>
          <w:highlight w:val="none"/>
        </w:rPr>
        <w:t>为</w:t>
      </w:r>
      <w:r>
        <w:rPr>
          <w:rFonts w:hint="eastAsia" w:ascii="宋体" w:hAnsi="宋体"/>
          <w:bCs/>
          <w:color w:val="auto"/>
          <w:szCs w:val="21"/>
          <w:highlight w:val="none"/>
          <w:lang w:val="en-US" w:eastAsia="zh-CN"/>
        </w:rPr>
        <w:t>2019</w:t>
      </w:r>
      <w:r>
        <w:rPr>
          <w:rFonts w:ascii="宋体" w:hAnsi="宋体"/>
          <w:bCs/>
          <w:color w:val="auto"/>
          <w:szCs w:val="21"/>
          <w:highlight w:val="none"/>
        </w:rPr>
        <w:t>年</w:t>
      </w:r>
      <w:r>
        <w:rPr>
          <w:rFonts w:hint="eastAsia" w:ascii="宋体" w:hAnsi="宋体"/>
          <w:bCs/>
          <w:color w:val="auto"/>
          <w:szCs w:val="21"/>
          <w:highlight w:val="none"/>
          <w:u w:val="single"/>
          <w:lang w:val="en-US" w:eastAsia="zh-CN"/>
        </w:rPr>
        <w:t xml:space="preserve"> 09</w:t>
      </w:r>
      <w:r>
        <w:rPr>
          <w:rFonts w:ascii="宋体" w:hAnsi="宋体"/>
          <w:bCs/>
          <w:color w:val="auto"/>
          <w:szCs w:val="21"/>
          <w:highlight w:val="none"/>
        </w:rPr>
        <w:t>月</w:t>
      </w:r>
      <w:r>
        <w:rPr>
          <w:rFonts w:hint="eastAsia" w:ascii="宋体" w:hAnsi="宋体"/>
          <w:bCs/>
          <w:color w:val="auto"/>
          <w:szCs w:val="21"/>
          <w:highlight w:val="none"/>
          <w:u w:val="single"/>
          <w:lang w:val="en-US" w:eastAsia="zh-CN"/>
        </w:rPr>
        <w:t>29</w:t>
      </w:r>
      <w:r>
        <w:rPr>
          <w:rFonts w:ascii="宋体" w:hAnsi="宋体"/>
          <w:bCs/>
          <w:color w:val="auto"/>
          <w:szCs w:val="21"/>
          <w:highlight w:val="none"/>
        </w:rPr>
        <w:t>日</w:t>
      </w:r>
      <w:r>
        <w:rPr>
          <w:rFonts w:hint="eastAsia" w:ascii="宋体" w:hAnsi="宋体"/>
          <w:bCs/>
          <w:color w:val="auto"/>
          <w:szCs w:val="21"/>
          <w:highlight w:val="none"/>
          <w:u w:val="single"/>
          <w:lang w:val="en-US" w:eastAsia="zh-CN"/>
        </w:rPr>
        <w:t>14</w:t>
      </w:r>
      <w:r>
        <w:rPr>
          <w:rFonts w:ascii="宋体" w:hAnsi="宋体"/>
          <w:bCs/>
          <w:color w:val="auto"/>
          <w:szCs w:val="21"/>
          <w:highlight w:val="none"/>
        </w:rPr>
        <w:t>时</w:t>
      </w:r>
      <w:r>
        <w:rPr>
          <w:rFonts w:hint="eastAsia" w:ascii="宋体" w:hAnsi="宋体"/>
          <w:bCs/>
          <w:color w:val="auto"/>
          <w:szCs w:val="21"/>
          <w:highlight w:val="none"/>
          <w:u w:val="single"/>
          <w:lang w:val="en-US" w:eastAsia="zh-CN"/>
        </w:rPr>
        <w:t>30</w:t>
      </w:r>
      <w:r>
        <w:rPr>
          <w:rFonts w:ascii="宋体" w:hAnsi="宋体"/>
          <w:bCs/>
          <w:color w:val="auto"/>
          <w:szCs w:val="21"/>
          <w:highlight w:val="none"/>
        </w:rPr>
        <w:t>分，地点为</w:t>
      </w:r>
      <w:r>
        <w:rPr>
          <w:rFonts w:hint="eastAsia" w:ascii="宋体" w:hAnsi="宋体" w:eastAsia="宋体" w:cs="宋体"/>
          <w:sz w:val="21"/>
          <w:szCs w:val="21"/>
        </w:rPr>
        <w:t>长沙市劳动东路二段48号长沙市轨道交通运营有限公司综合楼910室。</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逾期送达的</w:t>
      </w:r>
      <w:r>
        <w:rPr>
          <w:rFonts w:hint="eastAsia" w:ascii="宋体" w:hAnsi="宋体"/>
          <w:color w:val="auto"/>
          <w:szCs w:val="21"/>
          <w:highlight w:val="none"/>
        </w:rPr>
        <w:t>或者</w:t>
      </w:r>
      <w:r>
        <w:rPr>
          <w:rFonts w:ascii="宋体" w:hAnsi="宋体"/>
          <w:color w:val="auto"/>
          <w:szCs w:val="21"/>
          <w:highlight w:val="none"/>
        </w:rPr>
        <w:t>未送达指定地点的或者</w:t>
      </w:r>
      <w:r>
        <w:rPr>
          <w:rFonts w:hint="eastAsia" w:ascii="宋体" w:hAnsi="宋体"/>
          <w:color w:val="auto"/>
          <w:szCs w:val="21"/>
          <w:highlight w:val="none"/>
        </w:rPr>
        <w:t>未</w:t>
      </w:r>
      <w:r>
        <w:rPr>
          <w:rFonts w:ascii="宋体" w:hAnsi="宋体"/>
          <w:color w:val="auto"/>
          <w:szCs w:val="21"/>
          <w:highlight w:val="none"/>
        </w:rPr>
        <w:t>密封的</w:t>
      </w:r>
      <w:r>
        <w:rPr>
          <w:rFonts w:hint="eastAsia" w:ascii="宋体" w:hAnsi="宋体"/>
          <w:color w:val="auto"/>
          <w:szCs w:val="21"/>
          <w:highlight w:val="none"/>
        </w:rPr>
        <w:t>响应</w:t>
      </w:r>
      <w:r>
        <w:rPr>
          <w:rFonts w:ascii="宋体" w:hAnsi="宋体"/>
          <w:color w:val="auto"/>
          <w:szCs w:val="21"/>
          <w:highlight w:val="none"/>
        </w:rPr>
        <w:t>文件，</w:t>
      </w:r>
      <w:r>
        <w:rPr>
          <w:rFonts w:hint="eastAsia" w:ascii="宋体" w:hAnsi="宋体"/>
          <w:color w:val="auto"/>
          <w:szCs w:val="21"/>
          <w:highlight w:val="none"/>
        </w:rPr>
        <w:t>采购单位或采购代理机构</w:t>
      </w:r>
      <w:r>
        <w:rPr>
          <w:rFonts w:ascii="宋体" w:hAnsi="宋体"/>
          <w:color w:val="auto"/>
          <w:szCs w:val="21"/>
          <w:highlight w:val="none"/>
        </w:rPr>
        <w:t>将予以</w:t>
      </w:r>
      <w:r>
        <w:rPr>
          <w:rFonts w:ascii="宋体" w:hAnsi="宋体"/>
          <w:b/>
          <w:bCs/>
          <w:color w:val="auto"/>
          <w:szCs w:val="21"/>
          <w:highlight w:val="none"/>
        </w:rPr>
        <w:t>拒收</w:t>
      </w:r>
      <w:r>
        <w:rPr>
          <w:rFonts w:ascii="宋体" w:hAnsi="宋体"/>
          <w:color w:val="auto"/>
          <w:szCs w:val="21"/>
          <w:highlight w:val="none"/>
        </w:rPr>
        <w:t>。</w:t>
      </w:r>
    </w:p>
    <w:p>
      <w:pPr>
        <w:keepNext w:val="0"/>
        <w:keepLines w:val="0"/>
        <w:pageBreakBefore w:val="0"/>
        <w:widowControl w:val="0"/>
        <w:kinsoku/>
        <w:wordWrap/>
        <w:overflowPunct/>
        <w:topLinePunct w:val="0"/>
        <w:bidi w:val="0"/>
        <w:spacing w:line="360" w:lineRule="auto"/>
        <w:ind w:left="0" w:leftChars="0" w:right="0" w:rightChars="0" w:firstLine="422" w:firstLineChars="200"/>
        <w:rPr>
          <w:rFonts w:ascii="黑体" w:hAnsi="黑体" w:eastAsia="黑体" w:cs="黑体"/>
          <w:b/>
          <w:color w:val="auto"/>
          <w:sz w:val="24"/>
          <w:highlight w:val="none"/>
        </w:rPr>
      </w:pPr>
      <w:r>
        <w:rPr>
          <w:rFonts w:hint="eastAsia" w:ascii="宋体" w:hAnsi="宋体" w:cs="Courier New"/>
          <w:b/>
          <w:iCs/>
          <w:color w:val="auto"/>
          <w:szCs w:val="21"/>
          <w:highlight w:val="none"/>
        </w:rPr>
        <w:t>七、采购单位及其委托的采购代理机构的名称、地址和联系方法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b w:val="0"/>
          <w:bCs w:val="0"/>
          <w:color w:val="auto"/>
          <w:szCs w:val="21"/>
          <w:highlight w:val="none"/>
        </w:rPr>
        <w:t>采购单位：长沙市轨道交通五号线建设发展有限公司</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地  址：</w:t>
      </w: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kern w:val="0"/>
          <w:sz w:val="21"/>
          <w:szCs w:val="21"/>
          <w:shd w:val="clear" w:color="auto" w:fill="FFFFFF"/>
        </w:rPr>
        <w:t>综合楼9</w:t>
      </w:r>
      <w:r>
        <w:rPr>
          <w:rFonts w:hint="eastAsia" w:ascii="宋体" w:hAnsi="宋体" w:eastAsia="宋体" w:cs="宋体"/>
          <w:sz w:val="21"/>
          <w:szCs w:val="21"/>
        </w:rPr>
        <w:t>楼</w:t>
      </w:r>
      <w:r>
        <w:rPr>
          <w:rFonts w:hint="eastAsia" w:ascii="宋体" w:hAnsi="宋体" w:eastAsia="宋体" w:cs="宋体"/>
          <w:sz w:val="21"/>
          <w:szCs w:val="21"/>
          <w:lang w:val="en-US" w:eastAsia="zh-CN"/>
        </w:rPr>
        <w:t>910室</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highlight w:val="none"/>
        </w:rPr>
      </w:pPr>
      <w:r>
        <w:rPr>
          <w:rFonts w:hint="eastAsia" w:ascii="宋体" w:hAnsi="宋体"/>
          <w:bCs/>
          <w:color w:val="auto"/>
          <w:szCs w:val="21"/>
          <w:highlight w:val="none"/>
        </w:rPr>
        <w:t>联系人：</w:t>
      </w:r>
      <w:r>
        <w:rPr>
          <w:rFonts w:hint="eastAsia" w:ascii="宋体" w:hAnsi="宋体"/>
          <w:szCs w:val="21"/>
          <w:highlight w:val="none"/>
          <w:lang w:eastAsia="zh-CN"/>
        </w:rPr>
        <w:t>杨工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highlight w:val="none"/>
        </w:rPr>
      </w:pPr>
      <w:r>
        <w:rPr>
          <w:rFonts w:hint="eastAsia" w:ascii="宋体" w:hAnsi="宋体"/>
          <w:bCs/>
          <w:color w:val="auto"/>
          <w:szCs w:val="21"/>
          <w:highlight w:val="none"/>
        </w:rPr>
        <w:t>电  话：</w:t>
      </w:r>
      <w:r>
        <w:rPr>
          <w:rFonts w:hint="eastAsia" w:ascii="宋体" w:hAnsi="宋体"/>
          <w:szCs w:val="21"/>
          <w:highlight w:val="none"/>
          <w:lang w:val="en-US" w:eastAsia="zh-CN"/>
        </w:rPr>
        <w:t>0731-86852347</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bCs/>
          <w:color w:val="auto"/>
          <w:szCs w:val="21"/>
          <w:highlight w:val="none"/>
        </w:rPr>
        <w:t>监督举报电话：</w:t>
      </w:r>
      <w:r>
        <w:rPr>
          <w:rFonts w:hint="eastAsia" w:ascii="宋体" w:hAnsi="宋体"/>
          <w:color w:val="auto"/>
          <w:szCs w:val="21"/>
          <w:highlight w:val="none"/>
          <w:lang w:val="en-US" w:eastAsia="zh-CN"/>
        </w:rPr>
        <w:t>0731-</w:t>
      </w:r>
      <w:r>
        <w:rPr>
          <w:rFonts w:hint="eastAsia" w:ascii="宋体" w:hAnsi="宋体"/>
          <w:color w:val="auto"/>
          <w:szCs w:val="21"/>
          <w:highlight w:val="none"/>
        </w:rPr>
        <w:t>86852248</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联系人：文工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int="default" w:ascii="宋体" w:hAnsi="宋体" w:eastAsia="宋体"/>
          <w:color w:val="auto"/>
          <w:szCs w:val="21"/>
          <w:highlight w:val="none"/>
          <w:lang w:val="en-US" w:eastAsia="zh-CN"/>
        </w:rPr>
      </w:pPr>
      <w:r>
        <w:rPr>
          <w:rFonts w:hint="eastAsia" w:ascii="宋体" w:hAnsi="宋体"/>
          <w:b/>
          <w:bCs/>
          <w:color w:val="auto"/>
          <w:szCs w:val="21"/>
          <w:highlight w:val="none"/>
        </w:rPr>
        <w:t>采购代理机构：</w:t>
      </w:r>
      <w:r>
        <w:rPr>
          <w:rFonts w:hint="eastAsia" w:ascii="宋体" w:hAnsi="宋体"/>
          <w:b/>
          <w:bCs/>
          <w:color w:val="auto"/>
          <w:szCs w:val="21"/>
          <w:highlight w:val="none"/>
          <w:lang w:val="en-US" w:eastAsia="zh-CN"/>
        </w:rPr>
        <w:t>湖南新星项目管理有限公司</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地  址：</w:t>
      </w:r>
      <w:r>
        <w:rPr>
          <w:rFonts w:hint="eastAsia" w:ascii="宋体" w:hAnsi="宋体"/>
          <w:color w:val="auto"/>
          <w:szCs w:val="21"/>
          <w:highlight w:val="none"/>
          <w:lang w:val="en-US" w:eastAsia="zh-CN"/>
        </w:rPr>
        <w:t>长沙市开福区芙蓉中路一段479号建鸿达现代城1707室</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段得前、吴颖</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电  话：</w:t>
      </w:r>
      <w:r>
        <w:rPr>
          <w:rFonts w:hint="eastAsia" w:ascii="宋体" w:hAnsi="宋体"/>
          <w:color w:val="auto"/>
          <w:szCs w:val="21"/>
          <w:highlight w:val="none"/>
          <w:lang w:val="en-US" w:eastAsia="zh-CN"/>
        </w:rPr>
        <w:t>0731-84452269</w:t>
      </w:r>
    </w:p>
    <w:p>
      <w:pPr>
        <w:keepNext w:val="0"/>
        <w:keepLines w:val="0"/>
        <w:pageBreakBefore w:val="0"/>
        <w:widowControl w:val="0"/>
        <w:kinsoku/>
        <w:wordWrap/>
        <w:overflowPunct/>
        <w:topLinePunct w:val="0"/>
        <w:bidi w:val="0"/>
        <w:spacing w:line="360" w:lineRule="auto"/>
        <w:ind w:left="0" w:leftChars="0" w:right="0" w:rightChars="0" w:firstLine="420" w:firstLineChars="200"/>
        <w:jc w:val="right"/>
        <w:rPr>
          <w:rFonts w:ascii="宋体" w:hAnsi="宋体"/>
          <w:szCs w:val="21"/>
          <w:highlight w:val="none"/>
        </w:rPr>
      </w:pPr>
      <w:r>
        <w:rPr>
          <w:rFonts w:hint="eastAsia" w:ascii="宋体" w:hAnsi="宋体"/>
          <w:szCs w:val="21"/>
          <w:highlight w:val="none"/>
        </w:rPr>
        <w:t>2019年</w:t>
      </w:r>
      <w:r>
        <w:rPr>
          <w:rFonts w:hint="eastAsia" w:ascii="宋体" w:hAnsi="宋体"/>
          <w:szCs w:val="21"/>
          <w:highlight w:val="none"/>
          <w:u w:val="single"/>
          <w:lang w:val="en-US" w:eastAsia="zh-CN"/>
        </w:rPr>
        <w:t>09</w:t>
      </w:r>
      <w:r>
        <w:rPr>
          <w:rFonts w:hint="eastAsia" w:ascii="宋体" w:hAnsi="宋体"/>
          <w:szCs w:val="21"/>
          <w:highlight w:val="none"/>
        </w:rPr>
        <w:t>月</w:t>
      </w:r>
      <w:r>
        <w:rPr>
          <w:rFonts w:hint="eastAsia" w:ascii="宋体" w:hAnsi="宋体"/>
          <w:szCs w:val="21"/>
          <w:highlight w:val="none"/>
          <w:u w:val="single"/>
          <w:lang w:val="en-US" w:eastAsia="zh-CN"/>
        </w:rPr>
        <w:t>16</w:t>
      </w:r>
      <w:r>
        <w:rPr>
          <w:rFonts w:hint="eastAsia" w:ascii="宋体" w:hAnsi="宋体"/>
          <w:szCs w:val="21"/>
          <w:highlight w:val="none"/>
        </w:rPr>
        <w:t>日</w:t>
      </w:r>
    </w:p>
    <w:p>
      <w:pPr>
        <w:pStyle w:val="3"/>
        <w:keepNext w:val="0"/>
        <w:keepLines w:val="0"/>
        <w:pageBreakBefore w:val="0"/>
        <w:widowControl w:val="0"/>
        <w:kinsoku/>
        <w:wordWrap/>
        <w:overflowPunct/>
        <w:topLinePunct w:val="0"/>
        <w:bidi w:val="0"/>
        <w:spacing w:after="240" w:line="360" w:lineRule="auto"/>
        <w:ind w:left="0" w:leftChars="0" w:right="0" w:rightChars="0" w:firstLine="640" w:firstLineChars="200"/>
        <w:rPr>
          <w:rFonts w:ascii="黑体" w:hAnsi="黑体" w:eastAsia="黑体"/>
          <w:bCs w:val="0"/>
          <w:sz w:val="32"/>
          <w:szCs w:val="32"/>
        </w:rPr>
      </w:pPr>
      <w:r>
        <w:rPr>
          <w:rFonts w:ascii="黑体" w:hAnsi="黑体" w:eastAsia="黑体"/>
          <w:b w:val="0"/>
          <w:bCs w:val="0"/>
          <w:sz w:val="32"/>
          <w:szCs w:val="32"/>
        </w:rPr>
        <w:br w:type="page"/>
      </w:r>
      <w:bookmarkStart w:id="1" w:name="_Toc5436"/>
      <w:r>
        <w:rPr>
          <w:rFonts w:hint="eastAsia" w:ascii="宋体" w:hAnsi="宋体" w:eastAsia="宋体" w:cs="宋体"/>
          <w:bCs w:val="0"/>
          <w:sz w:val="32"/>
          <w:szCs w:val="32"/>
        </w:rPr>
        <w:t xml:space="preserve">第二章 </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谈判须知</w:t>
      </w:r>
      <w:bookmarkEnd w:id="1"/>
    </w:p>
    <w:p>
      <w:pPr>
        <w:pStyle w:val="4"/>
        <w:keepNext w:val="0"/>
        <w:keepLines w:val="0"/>
        <w:pageBreakBefore w:val="0"/>
        <w:widowControl w:val="0"/>
        <w:kinsoku/>
        <w:wordWrap/>
        <w:overflowPunct/>
        <w:topLinePunct w:val="0"/>
        <w:bidi w:val="0"/>
        <w:spacing w:line="360" w:lineRule="auto"/>
        <w:ind w:left="0" w:leftChars="0" w:right="0" w:rightChars="0" w:firstLine="643" w:firstLineChars="200"/>
        <w:jc w:val="center"/>
        <w:rPr>
          <w:rFonts w:hint="eastAsia" w:ascii="宋体" w:hAnsi="宋体" w:eastAsia="宋体" w:cs="宋体"/>
          <w:sz w:val="32"/>
          <w:szCs w:val="32"/>
        </w:rPr>
      </w:pPr>
      <w:bookmarkStart w:id="2" w:name="_Toc22770"/>
      <w:r>
        <w:rPr>
          <w:rFonts w:hint="eastAsia" w:ascii="宋体" w:hAnsi="宋体" w:eastAsia="宋体" w:cs="宋体"/>
          <w:sz w:val="32"/>
          <w:szCs w:val="32"/>
        </w:rPr>
        <w:t>谈判须知前附表</w:t>
      </w:r>
      <w:bookmarkEnd w:id="2"/>
    </w:p>
    <w:tbl>
      <w:tblPr>
        <w:tblStyle w:val="46"/>
        <w:tblW w:w="965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tblHeader/>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名  称</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采购项目</w:t>
            </w:r>
          </w:p>
        </w:tc>
        <w:tc>
          <w:tcPr>
            <w:tcW w:w="7788" w:type="dxa"/>
            <w:vAlign w:val="center"/>
          </w:tcPr>
          <w:p>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20" w:firstLineChars="200"/>
              <w:textAlignment w:val="auto"/>
              <w:rPr>
                <w:rFonts w:hint="eastAsia" w:ascii="宋体" w:hAnsi="宋体" w:eastAsia="宋体" w:cs="宋体"/>
                <w:szCs w:val="21"/>
              </w:rPr>
            </w:pPr>
            <w:r>
              <w:rPr>
                <w:rFonts w:hint="eastAsia" w:ascii="宋体" w:hAnsi="宋体" w:eastAsia="宋体" w:cs="宋体"/>
                <w:iCs/>
                <w:color w:val="auto"/>
                <w:u w:val="none"/>
              </w:rPr>
              <w:t>长沙市轨道交通5号线一期工程筹备期职业病防护设施竣工验收服务项目</w:t>
            </w:r>
            <w:r>
              <w:rPr>
                <w:rFonts w:hint="eastAsia" w:ascii="宋体" w:hAnsi="宋体" w:cs="宋体"/>
                <w:iCs/>
                <w:color w:val="auto"/>
                <w:u w:val="none"/>
                <w:lang w:eastAsia="zh-CN"/>
              </w:rPr>
              <w:t>（</w:t>
            </w:r>
            <w:r>
              <w:rPr>
                <w:rFonts w:hint="eastAsia" w:ascii="宋体" w:hAnsi="宋体" w:eastAsia="宋体" w:cs="宋体"/>
                <w:iCs/>
                <w:color w:val="auto"/>
                <w:u w:val="none"/>
              </w:rPr>
              <w:t>2019-2020年度</w:t>
            </w:r>
            <w:r>
              <w:rPr>
                <w:rFonts w:hint="eastAsia" w:ascii="宋体" w:hAnsi="宋体" w:cs="宋体"/>
                <w:iCs/>
                <w:color w:val="auto"/>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采购单位</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iCs/>
                <w:szCs w:val="21"/>
              </w:rPr>
            </w:pPr>
            <w:r>
              <w:rPr>
                <w:rFonts w:hint="eastAsia" w:ascii="宋体" w:hAnsi="宋体" w:eastAsia="宋体" w:cs="宋体"/>
                <w:iCs/>
                <w:szCs w:val="21"/>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采购代理机构</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iCs/>
                <w:szCs w:val="21"/>
                <w:u w:val="none"/>
                <w:lang w:val="en-US" w:eastAsia="zh-CN"/>
              </w:rPr>
            </w:pPr>
            <w:r>
              <w:rPr>
                <w:rFonts w:hint="eastAsia" w:ascii="宋体" w:hAnsi="宋体" w:eastAsia="宋体" w:cs="宋体"/>
                <w:iCs/>
                <w:szCs w:val="21"/>
                <w:u w:val="none"/>
                <w:lang w:val="en-US" w:eastAsia="zh-CN"/>
              </w:rPr>
              <w:t>湖南新星项目管理有限公司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谈判控制价</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iCs/>
                <w:szCs w:val="21"/>
                <w:u w:val="none"/>
                <w:lang w:eastAsia="zh-CN"/>
              </w:rPr>
            </w:pPr>
            <w:r>
              <w:rPr>
                <w:rFonts w:hint="eastAsia" w:ascii="宋体" w:hAnsi="宋体" w:eastAsia="宋体" w:cs="宋体"/>
                <w:iCs/>
                <w:color w:val="auto"/>
                <w:szCs w:val="21"/>
                <w:highlight w:val="none"/>
                <w:u w:val="none"/>
                <w:lang w:val="en-US" w:eastAsia="zh-CN"/>
              </w:rPr>
              <w:t>198000.00</w:t>
            </w:r>
            <w:r>
              <w:rPr>
                <w:rFonts w:hint="eastAsia" w:ascii="宋体" w:hAnsi="宋体" w:eastAsia="宋体" w:cs="宋体"/>
                <w:iCs/>
                <w:color w:val="auto"/>
                <w:szCs w:val="21"/>
                <w:highlight w:val="none"/>
                <w:u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评审办法</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iCs/>
                <w:color w:val="FF0000"/>
                <w:szCs w:val="21"/>
                <w:u w:val="none"/>
              </w:rPr>
            </w:pPr>
            <w:r>
              <w:rPr>
                <w:rFonts w:hint="eastAsia" w:ascii="宋体" w:hAnsi="宋体" w:eastAsia="宋体" w:cs="宋体"/>
                <w:iCs/>
                <w:color w:val="auto"/>
                <w:szCs w:val="21"/>
                <w:highlight w:val="none"/>
              </w:rPr>
              <w:t>本项目评审办法采用</w:t>
            </w:r>
            <w:r>
              <w:rPr>
                <w:rFonts w:hint="eastAsia" w:ascii="宋体" w:hAnsi="宋体" w:eastAsia="宋体" w:cs="宋体"/>
                <w:iCs/>
                <w:color w:val="auto"/>
                <w:szCs w:val="21"/>
                <w:highlight w:val="none"/>
                <w:u w:val="none"/>
              </w:rPr>
              <w:t>经符合性审查</w:t>
            </w:r>
            <w:r>
              <w:rPr>
                <w:rFonts w:hint="eastAsia" w:ascii="宋体" w:hAnsi="宋体" w:eastAsia="宋体" w:cs="宋体"/>
                <w:iCs/>
                <w:color w:val="auto"/>
                <w:szCs w:val="21"/>
                <w:highlight w:val="none"/>
                <w:u w:val="none"/>
                <w:lang w:eastAsia="zh-CN"/>
              </w:rPr>
              <w:t>合格</w:t>
            </w:r>
            <w:r>
              <w:rPr>
                <w:rFonts w:hint="eastAsia" w:ascii="宋体" w:hAnsi="宋体" w:eastAsia="宋体" w:cs="宋体"/>
                <w:iCs/>
                <w:color w:val="auto"/>
                <w:szCs w:val="21"/>
                <w:highlight w:val="none"/>
                <w:u w:val="none"/>
              </w:rPr>
              <w:t>后的</w:t>
            </w:r>
            <w:r>
              <w:rPr>
                <w:rFonts w:hint="eastAsia" w:ascii="宋体" w:hAnsi="宋体" w:eastAsia="宋体" w:cs="宋体"/>
                <w:iCs/>
                <w:color w:val="auto"/>
                <w:szCs w:val="21"/>
                <w:highlight w:val="none"/>
                <w:u w:val="none"/>
                <w:lang w:val="en-US" w:eastAsia="zh-CN"/>
              </w:rPr>
              <w:t>最低价法</w:t>
            </w:r>
            <w:r>
              <w:rPr>
                <w:rFonts w:hint="eastAsia" w:ascii="宋体" w:hAnsi="宋体" w:eastAsia="宋体" w:cs="宋体"/>
                <w:iCs/>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6"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highlight w:val="yellow"/>
              </w:rPr>
            </w:pPr>
            <w:r>
              <w:rPr>
                <w:rFonts w:hint="eastAsia" w:ascii="宋体" w:hAnsi="宋体"/>
                <w:b/>
                <w:color w:val="auto"/>
                <w:szCs w:val="21"/>
                <w:highlight w:val="none"/>
              </w:rPr>
              <w:t>资格要求</w:t>
            </w:r>
          </w:p>
        </w:tc>
        <w:tc>
          <w:tcPr>
            <w:tcW w:w="7788" w:type="dxa"/>
            <w:vAlign w:val="center"/>
          </w:tcPr>
          <w:p>
            <w:pPr>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iCs/>
                <w:color w:val="auto"/>
                <w:highlight w:val="none"/>
              </w:rPr>
              <w:t>谈判单位须为具有独立法人资格、自主经营、独立核算的公司</w:t>
            </w:r>
            <w:r>
              <w:rPr>
                <w:rFonts w:hint="eastAsia" w:ascii="宋体" w:hAnsi="宋体" w:eastAsia="宋体" w:cs="宋体"/>
                <w:iCs/>
                <w:color w:val="auto"/>
                <w:highlight w:val="none"/>
                <w:lang w:val="en-US" w:eastAsia="zh-CN"/>
              </w:rPr>
              <w:t>/</w:t>
            </w:r>
            <w:r>
              <w:rPr>
                <w:rFonts w:hint="eastAsia" w:ascii="宋体" w:hAnsi="宋体" w:eastAsia="宋体" w:cs="宋体"/>
                <w:iCs/>
                <w:color w:val="auto"/>
                <w:highlight w:val="none"/>
                <w:lang w:eastAsia="zh-CN"/>
              </w:rPr>
              <w:t>单位</w:t>
            </w:r>
            <w:r>
              <w:rPr>
                <w:rFonts w:hint="eastAsia" w:ascii="宋体" w:hAnsi="宋体" w:eastAsia="宋体" w:cs="宋体"/>
                <w:iCs/>
                <w:color w:val="auto"/>
                <w:highlight w:val="none"/>
              </w:rPr>
              <w:t>。</w:t>
            </w:r>
          </w:p>
          <w:p>
            <w:pPr>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Cs w:val="21"/>
                <w:u w:val="none"/>
              </w:rPr>
            </w:pPr>
            <w:r>
              <w:rPr>
                <w:rFonts w:hint="eastAsia" w:ascii="宋体" w:hAnsi="宋体" w:eastAsia="宋体" w:cs="宋体"/>
                <w:color w:val="auto"/>
                <w:szCs w:val="21"/>
              </w:rPr>
              <w:t>2.</w:t>
            </w:r>
            <w:r>
              <w:rPr>
                <w:rFonts w:hint="eastAsia" w:ascii="宋体" w:hAnsi="宋体" w:eastAsia="宋体" w:cs="宋体"/>
                <w:iCs/>
                <w:color w:val="auto"/>
              </w:rPr>
              <w:t>谈判单位须具有</w:t>
            </w:r>
            <w:r>
              <w:rPr>
                <w:rFonts w:hint="eastAsia" w:ascii="宋体" w:hAnsi="宋体" w:eastAsia="宋体" w:cs="宋体"/>
                <w:color w:val="auto"/>
                <w:u w:val="none"/>
              </w:rPr>
              <w:t>安全生产监督管理部门颁发的职业卫生技术服务机构乙级及以上资质证书</w:t>
            </w:r>
            <w:r>
              <w:rPr>
                <w:rFonts w:hint="eastAsia" w:ascii="宋体" w:hAnsi="宋体" w:eastAsia="宋体" w:cs="宋体"/>
                <w:color w:val="auto"/>
                <w:u w:val="none"/>
                <w:lang w:eastAsia="zh-CN"/>
              </w:rPr>
              <w:t>，</w:t>
            </w:r>
            <w:r>
              <w:rPr>
                <w:rFonts w:hint="eastAsia" w:ascii="宋体" w:hAnsi="宋体" w:eastAsia="宋体" w:cs="宋体"/>
                <w:color w:val="auto"/>
                <w:u w:val="none"/>
              </w:rPr>
              <w:t>须提供证书原件。</w:t>
            </w:r>
          </w:p>
          <w:p>
            <w:pPr>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szCs w:val="21"/>
                <w:lang w:eastAsia="zh-CN"/>
              </w:rPr>
            </w:pPr>
            <w:r>
              <w:rPr>
                <w:rFonts w:hint="eastAsia" w:ascii="宋体" w:hAnsi="宋体" w:eastAsia="宋体" w:cs="宋体"/>
                <w:color w:val="auto"/>
                <w:szCs w:val="21"/>
              </w:rPr>
              <w:t>3.</w:t>
            </w:r>
            <w:r>
              <w:rPr>
                <w:rFonts w:hint="eastAsia" w:ascii="宋体" w:hAnsi="宋体" w:eastAsia="宋体" w:cs="宋体"/>
                <w:color w:val="000000"/>
                <w:szCs w:val="21"/>
              </w:rPr>
              <w:t>谈判单位在本项目响应文件递交截止之日前36个月内须具有</w:t>
            </w:r>
            <w:r>
              <w:rPr>
                <w:rFonts w:hint="eastAsia" w:ascii="宋体" w:hAnsi="宋体" w:eastAsia="宋体" w:cs="宋体"/>
                <w:color w:val="000000"/>
                <w:szCs w:val="21"/>
                <w:u w:val="none"/>
              </w:rPr>
              <w:t>职业病危害控制效果评价或职业病危害现状评价报告编制</w:t>
            </w:r>
            <w:r>
              <w:rPr>
                <w:rFonts w:hint="eastAsia" w:ascii="宋体" w:hAnsi="宋体" w:eastAsia="宋体" w:cs="宋体"/>
                <w:color w:val="000000"/>
                <w:szCs w:val="21"/>
              </w:rPr>
              <w:t>项目业绩。不接受联合体业绩、港澳台或境外业绩</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kern w:val="0"/>
                <w:szCs w:val="21"/>
                <w:u w:val="none"/>
              </w:rPr>
            </w:pPr>
            <w:r>
              <w:rPr>
                <w:rFonts w:hint="eastAsia" w:ascii="宋体" w:hAnsi="宋体" w:eastAsia="宋体" w:cs="宋体"/>
                <w:i w:val="0"/>
                <w:iCs w:val="0"/>
                <w:color w:val="auto"/>
                <w:sz w:val="21"/>
                <w:szCs w:val="21"/>
                <w:highlight w:val="none"/>
                <w:u w:val="none"/>
                <w:lang w:val="en-US" w:eastAsia="zh-CN"/>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4.本次谈判</w:t>
            </w:r>
            <w:r>
              <w:rPr>
                <w:rFonts w:hint="eastAsia" w:ascii="宋体" w:hAnsi="宋体" w:eastAsia="宋体" w:cs="宋体"/>
                <w:b w:val="0"/>
                <w:bCs w:val="0"/>
                <w:color w:val="auto"/>
                <w:szCs w:val="21"/>
                <w:highlight w:val="none"/>
                <w:u w:val="none"/>
              </w:rPr>
              <w:t>不接受</w:t>
            </w:r>
            <w:r>
              <w:rPr>
                <w:rFonts w:hint="eastAsia" w:ascii="宋体" w:hAnsi="宋体" w:eastAsia="宋体" w:cs="宋体"/>
                <w:b w:val="0"/>
                <w:bCs w:val="0"/>
                <w:color w:val="auto"/>
                <w:szCs w:val="21"/>
              </w:rPr>
              <w:t>联合体形式参与谈判。</w:t>
            </w:r>
          </w:p>
          <w:p>
            <w:pPr>
              <w:keepNext w:val="0"/>
              <w:keepLines w:val="0"/>
              <w:pageBreakBefore w:val="0"/>
              <w:widowControl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szCs w:val="21"/>
                <w:highlight w:val="yellow"/>
              </w:rPr>
            </w:pPr>
            <w:r>
              <w:rPr>
                <w:rFonts w:hint="eastAsia" w:ascii="宋体" w:hAnsi="宋体" w:eastAsia="宋体" w:cs="宋体"/>
                <w:b w:val="0"/>
                <w:bCs w:val="0"/>
                <w:color w:val="auto"/>
                <w:szCs w:val="21"/>
              </w:rPr>
              <w:t>5.</w:t>
            </w:r>
            <w:r>
              <w:rPr>
                <w:rFonts w:hint="eastAsia" w:ascii="宋体" w:hAnsi="宋体" w:eastAsia="宋体" w:cs="宋体"/>
                <w:b w:val="0"/>
                <w:bCs w:val="0"/>
                <w:iCs/>
                <w:color w:val="auto"/>
                <w:szCs w:val="21"/>
              </w:rPr>
              <w:t>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highlight w:val="none"/>
              </w:rPr>
            </w:pPr>
            <w:r>
              <w:rPr>
                <w:rFonts w:hint="eastAsia" w:ascii="宋体" w:hAnsi="宋体"/>
                <w:b/>
                <w:szCs w:val="21"/>
                <w:highlight w:val="none"/>
              </w:rPr>
              <w:t>谈判答疑文件递交截止时间</w:t>
            </w:r>
          </w:p>
        </w:tc>
        <w:tc>
          <w:tcPr>
            <w:tcW w:w="7788" w:type="dxa"/>
            <w:vAlign w:val="center"/>
          </w:tcPr>
          <w:p>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color w:val="000000"/>
                <w:highlight w:val="none"/>
              </w:rPr>
            </w:pPr>
            <w:r>
              <w:rPr>
                <w:rFonts w:hint="eastAsia" w:ascii="宋体" w:hAnsi="宋体" w:eastAsia="宋体" w:cs="宋体"/>
                <w:highlight w:val="none"/>
                <w:u w:val="single"/>
              </w:rPr>
              <w:t>2019</w:t>
            </w:r>
            <w:r>
              <w:rPr>
                <w:rFonts w:hint="eastAsia" w:ascii="宋体" w:hAnsi="宋体" w:eastAsia="宋体" w:cs="宋体"/>
                <w:highlight w:val="none"/>
              </w:rPr>
              <w:t>年</w:t>
            </w:r>
            <w:r>
              <w:rPr>
                <w:rFonts w:hint="eastAsia" w:hAnsi="宋体" w:cs="宋体"/>
                <w:highlight w:val="none"/>
                <w:u w:val="single"/>
                <w:lang w:val="en-US" w:eastAsia="zh-CN"/>
              </w:rPr>
              <w:t>09</w:t>
            </w:r>
            <w:r>
              <w:rPr>
                <w:rFonts w:hint="eastAsia" w:ascii="宋体" w:hAnsi="宋体" w:eastAsia="宋体" w:cs="宋体"/>
                <w:highlight w:val="none"/>
              </w:rPr>
              <w:t>月</w:t>
            </w:r>
            <w:r>
              <w:rPr>
                <w:rFonts w:hint="eastAsia" w:ascii="宋体" w:hAnsi="宋体" w:eastAsia="宋体" w:cs="宋体"/>
                <w:highlight w:val="none"/>
                <w:u w:val="single"/>
                <w:lang w:val="en-US" w:eastAsia="zh-CN"/>
              </w:rPr>
              <w:t xml:space="preserve"> </w:t>
            </w:r>
            <w:r>
              <w:rPr>
                <w:rFonts w:hint="eastAsia" w:hAnsi="宋体" w:cs="宋体"/>
                <w:highlight w:val="none"/>
                <w:u w:val="single"/>
                <w:lang w:val="en-US" w:eastAsia="zh-CN"/>
              </w:rPr>
              <w:t>23</w:t>
            </w:r>
            <w:r>
              <w:rPr>
                <w:rFonts w:hint="eastAsia" w:ascii="宋体" w:hAnsi="宋体" w:eastAsia="宋体" w:cs="宋体"/>
                <w:highlight w:val="none"/>
              </w:rPr>
              <w:t>日</w:t>
            </w:r>
            <w:r>
              <w:rPr>
                <w:rFonts w:hint="eastAsia" w:hAnsi="宋体" w:cs="宋体"/>
                <w:highlight w:val="none"/>
                <w:u w:val="single"/>
                <w:lang w:val="en-US" w:eastAsia="zh-CN"/>
              </w:rPr>
              <w:t>17</w:t>
            </w:r>
            <w:r>
              <w:rPr>
                <w:rFonts w:hint="eastAsia" w:ascii="宋体" w:hAnsi="宋体" w:eastAsia="宋体" w:cs="宋体"/>
                <w:highlight w:val="none"/>
              </w:rPr>
              <w:t>时</w:t>
            </w:r>
            <w:r>
              <w:rPr>
                <w:rFonts w:hint="eastAsia" w:ascii="宋体" w:hAnsi="宋体" w:eastAsia="宋体" w:cs="宋体"/>
                <w:highlight w:val="none"/>
                <w:u w:val="single"/>
                <w:lang w:val="en-US" w:eastAsia="zh-CN"/>
              </w:rPr>
              <w:t xml:space="preserve"> </w:t>
            </w:r>
            <w:r>
              <w:rPr>
                <w:rFonts w:hint="eastAsia" w:hAnsi="宋体" w:cs="宋体"/>
                <w:highlight w:val="none"/>
                <w:u w:val="single"/>
                <w:lang w:val="en-US" w:eastAsia="zh-CN"/>
              </w:rPr>
              <w:t>00</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1"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谈判答疑文件递交方式及地点</w:t>
            </w:r>
          </w:p>
        </w:tc>
        <w:tc>
          <w:tcPr>
            <w:tcW w:w="7788" w:type="dxa"/>
            <w:vAlign w:val="center"/>
          </w:tcPr>
          <w:p>
            <w:pPr>
              <w:pStyle w:val="2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iCs/>
                <w:color w:val="FF0000"/>
              </w:rPr>
            </w:pPr>
            <w:r>
              <w:rPr>
                <w:rFonts w:hint="eastAsia" w:ascii="宋体" w:hAnsi="宋体" w:eastAsia="宋体" w:cs="宋体"/>
                <w:color w:val="auto"/>
              </w:rPr>
              <w:t>谈判答疑文件应以书面形式递交至</w:t>
            </w:r>
            <w:r>
              <w:rPr>
                <w:rFonts w:hint="eastAsia" w:ascii="宋体" w:hAnsi="宋体" w:eastAsia="宋体" w:cs="宋体"/>
                <w:color w:val="auto"/>
                <w:u w:val="none"/>
              </w:rPr>
              <w:t>长沙市开福区芙蓉中路一段479号建鸿达现代城1707室湖南新星项目管理有限公司。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1"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响应文件的递交截止及谈判时间</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szCs w:val="21"/>
              </w:rPr>
            </w:pPr>
            <w:r>
              <w:rPr>
                <w:rFonts w:hint="eastAsia" w:ascii="宋体" w:hAnsi="宋体" w:eastAsia="宋体" w:cs="宋体"/>
                <w:highlight w:val="none"/>
                <w:u w:val="single"/>
              </w:rPr>
              <w:t>2019</w:t>
            </w:r>
            <w:r>
              <w:rPr>
                <w:rFonts w:hint="eastAsia" w:ascii="宋体" w:hAnsi="宋体" w:eastAsia="宋体" w:cs="宋体"/>
                <w:highlight w:val="none"/>
              </w:rPr>
              <w:t>年</w:t>
            </w:r>
            <w:r>
              <w:rPr>
                <w:rFonts w:hint="eastAsia" w:ascii="宋体" w:hAnsi="宋体" w:cs="宋体"/>
                <w:highlight w:val="none"/>
                <w:u w:val="single"/>
                <w:lang w:val="en-US" w:eastAsia="zh-CN"/>
              </w:rPr>
              <w:t>09</w:t>
            </w:r>
            <w:r>
              <w:rPr>
                <w:rFonts w:hint="eastAsia" w:ascii="宋体" w:hAnsi="宋体" w:eastAsia="宋体" w:cs="宋体"/>
                <w:highlight w:val="none"/>
              </w:rPr>
              <w:t>月</w:t>
            </w:r>
            <w:r>
              <w:rPr>
                <w:rFonts w:hint="eastAsia" w:ascii="宋体" w:hAnsi="宋体" w:cs="宋体"/>
                <w:highlight w:val="none"/>
                <w:u w:val="single"/>
                <w:lang w:val="en-US" w:eastAsia="zh-CN"/>
              </w:rPr>
              <w:t>29</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日</w:t>
            </w:r>
            <w:r>
              <w:rPr>
                <w:rFonts w:hint="eastAsia" w:ascii="宋体" w:hAnsi="宋体" w:cs="宋体"/>
                <w:highlight w:val="none"/>
                <w:u w:val="single"/>
                <w:lang w:val="en-US" w:eastAsia="zh-CN"/>
              </w:rPr>
              <w:t>14</w:t>
            </w:r>
            <w:r>
              <w:rPr>
                <w:rFonts w:hint="eastAsia" w:ascii="宋体" w:hAnsi="宋体" w:eastAsia="宋体" w:cs="宋体"/>
                <w:highlight w:val="none"/>
              </w:rPr>
              <w:t>时</w:t>
            </w:r>
            <w:r>
              <w:rPr>
                <w:rFonts w:hint="eastAsia" w:ascii="宋体" w:hAnsi="宋体" w:cs="宋体"/>
                <w:highlight w:val="none"/>
                <w:u w:val="single"/>
                <w:lang w:val="en-US" w:eastAsia="zh-CN"/>
              </w:rPr>
              <w:t>30</w:t>
            </w:r>
            <w:r>
              <w:rPr>
                <w:rFonts w:hint="eastAsia" w:ascii="宋体" w:hAnsi="宋体" w:eastAsia="宋体" w:cs="宋体"/>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响应文件的递交及谈判地点</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szCs w:val="21"/>
              </w:rPr>
            </w:pPr>
            <w:r>
              <w:rPr>
                <w:rFonts w:hint="eastAsia" w:ascii="宋体" w:hAnsi="宋体" w:eastAsia="宋体" w:cs="宋体"/>
                <w:iCs/>
                <w:szCs w:val="21"/>
                <w:highlight w:val="none"/>
              </w:rPr>
              <w:t>长沙市轨道交通运营有限公司劳动东路二段48号黄兴车辆段综合楼9</w:t>
            </w:r>
            <w:r>
              <w:rPr>
                <w:rFonts w:hint="eastAsia" w:ascii="宋体" w:hAnsi="宋体" w:eastAsia="宋体" w:cs="宋体"/>
                <w:iCs/>
                <w:szCs w:val="21"/>
                <w:highlight w:val="none"/>
                <w:lang w:val="en-US" w:eastAsia="zh-CN"/>
              </w:rPr>
              <w:t>10</w:t>
            </w:r>
            <w:r>
              <w:rPr>
                <w:rFonts w:hint="eastAsia" w:ascii="宋体" w:hAnsi="宋体" w:eastAsia="宋体" w:cs="宋体"/>
                <w:iCs/>
                <w:szCs w:val="21"/>
                <w:highlight w:val="none"/>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谈判现场验证须提交的资料</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FF0000"/>
                <w:szCs w:val="21"/>
                <w:highlight w:val="none"/>
                <w:u w:val="none"/>
              </w:rPr>
            </w:pPr>
            <w:r>
              <w:rPr>
                <w:rFonts w:hint="eastAsia" w:ascii="宋体" w:hAnsi="宋体" w:eastAsia="宋体" w:cs="宋体"/>
                <w:iCs/>
                <w:szCs w:val="21"/>
              </w:rPr>
              <w:t>1.谈判单位代表是谈判单位法定代表人参加的，法定代表人须提供法定代表人身份证明书原件</w:t>
            </w:r>
            <w:r>
              <w:rPr>
                <w:rFonts w:hint="eastAsia" w:ascii="宋体" w:hAnsi="宋体" w:eastAsia="宋体" w:cs="宋体"/>
                <w:b/>
                <w:bCs/>
                <w:iCs/>
                <w:szCs w:val="21"/>
                <w:highlight w:val="none"/>
                <w:u w:val="none"/>
              </w:rPr>
              <w:t>（格式详见本文件</w:t>
            </w:r>
            <w:r>
              <w:rPr>
                <w:rFonts w:hint="eastAsia" w:ascii="宋体" w:hAnsi="宋体" w:eastAsia="宋体" w:cs="宋体"/>
                <w:b/>
                <w:bCs/>
                <w:iCs/>
                <w:szCs w:val="21"/>
                <w:highlight w:val="none"/>
                <w:u w:val="none"/>
                <w:lang w:val="en-US" w:eastAsia="zh-CN"/>
              </w:rPr>
              <w:t>第六章</w:t>
            </w:r>
            <w:r>
              <w:rPr>
                <w:rFonts w:hint="eastAsia" w:ascii="宋体" w:hAnsi="宋体" w:eastAsia="宋体" w:cs="宋体"/>
                <w:b/>
                <w:bCs/>
                <w:iCs/>
                <w:szCs w:val="21"/>
                <w:highlight w:val="none"/>
                <w:u w:val="none"/>
              </w:rPr>
              <w:t>）</w:t>
            </w:r>
            <w:r>
              <w:rPr>
                <w:rFonts w:hint="eastAsia" w:ascii="宋体" w:hAnsi="宋体" w:eastAsia="宋体" w:cs="宋体"/>
                <w:szCs w:val="21"/>
                <w:highlight w:val="none"/>
                <w:u w:val="none"/>
              </w:rPr>
              <w:t>及本人身份证原件。</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Cs/>
                <w:szCs w:val="21"/>
              </w:rPr>
            </w:pPr>
            <w:r>
              <w:rPr>
                <w:rFonts w:hint="eastAsia" w:ascii="宋体" w:hAnsi="宋体" w:eastAsia="宋体" w:cs="宋体"/>
                <w:szCs w:val="21"/>
                <w:highlight w:val="none"/>
                <w:u w:val="none"/>
              </w:rPr>
              <w:t>2.</w:t>
            </w:r>
            <w:r>
              <w:rPr>
                <w:rFonts w:hint="eastAsia" w:ascii="宋体" w:hAnsi="宋体" w:eastAsia="宋体" w:cs="宋体"/>
                <w:color w:val="auto"/>
                <w:szCs w:val="21"/>
                <w:highlight w:val="none"/>
                <w:u w:val="none"/>
              </w:rPr>
              <w:t>谈判单位代表是由谈判单位法定代表人授权的委托代理人参加的，其授权委托代理人须提供授权委托书原件</w:t>
            </w:r>
            <w:r>
              <w:rPr>
                <w:rFonts w:hint="eastAsia" w:ascii="宋体" w:hAnsi="宋体" w:eastAsia="宋体" w:cs="宋体"/>
                <w:b/>
                <w:color w:val="auto"/>
                <w:szCs w:val="21"/>
                <w:highlight w:val="none"/>
                <w:u w:val="none"/>
              </w:rPr>
              <w:t>（格式详见本文件</w:t>
            </w:r>
            <w:r>
              <w:rPr>
                <w:rFonts w:hint="eastAsia" w:ascii="宋体" w:hAnsi="宋体" w:eastAsia="宋体" w:cs="宋体"/>
                <w:b/>
                <w:bCs/>
                <w:iCs/>
                <w:szCs w:val="21"/>
                <w:highlight w:val="none"/>
                <w:u w:val="none"/>
                <w:lang w:val="en-US" w:eastAsia="zh-CN"/>
              </w:rPr>
              <w:t>第六章</w:t>
            </w:r>
            <w:r>
              <w:rPr>
                <w:rFonts w:hint="eastAsia" w:ascii="宋体" w:hAnsi="宋体" w:eastAsia="宋体" w:cs="宋体"/>
                <w:b/>
                <w:color w:val="auto"/>
                <w:szCs w:val="21"/>
                <w:highlight w:val="none"/>
                <w:u w:val="none"/>
              </w:rPr>
              <w:t>）</w:t>
            </w:r>
            <w:r>
              <w:rPr>
                <w:rFonts w:hint="eastAsia" w:ascii="宋体" w:hAnsi="宋体" w:eastAsia="宋体" w:cs="宋体"/>
                <w:color w:val="auto"/>
                <w:szCs w:val="21"/>
                <w:u w:val="none"/>
              </w:rPr>
              <w:t>及本人</w:t>
            </w:r>
            <w:r>
              <w:rPr>
                <w:rFonts w:hint="eastAsia" w:ascii="宋体" w:hAnsi="宋体" w:eastAsia="宋体" w:cs="宋体"/>
                <w:color w:val="auto"/>
                <w:szCs w:val="21"/>
              </w:rPr>
              <w:t>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响应文件有效期</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szCs w:val="21"/>
              </w:rPr>
            </w:pPr>
            <w:r>
              <w:rPr>
                <w:rFonts w:hint="eastAsia" w:ascii="宋体" w:hAnsi="宋体" w:eastAsia="宋体" w:cs="宋体"/>
                <w:color w:val="auto"/>
                <w:szCs w:val="21"/>
                <w:u w:val="none"/>
              </w:rPr>
              <w:t>180日历天</w:t>
            </w:r>
            <w:r>
              <w:rPr>
                <w:rFonts w:hint="eastAsia" w:ascii="宋体" w:hAnsi="宋体" w:eastAsia="宋体" w:cs="宋体"/>
                <w:color w:val="auto"/>
                <w:szCs w:val="21"/>
              </w:rPr>
              <w:t>，从谈判截止之日起算。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响应文件份数</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szCs w:val="21"/>
                <w:u w:val="single"/>
              </w:rPr>
            </w:pPr>
            <w:r>
              <w:rPr>
                <w:rFonts w:hint="eastAsia" w:ascii="宋体" w:hAnsi="宋体" w:eastAsia="宋体" w:cs="宋体"/>
                <w:color w:val="auto"/>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cs="仿宋_GB2312"/>
                <w:b/>
                <w:szCs w:val="21"/>
                <w:highlight w:val="none"/>
              </w:rPr>
            </w:pPr>
            <w:r>
              <w:rPr>
                <w:rFonts w:hint="eastAsia" w:ascii="宋体" w:hAnsi="宋体" w:cs="仿宋_GB2312"/>
                <w:b/>
                <w:szCs w:val="21"/>
                <w:highlight w:val="none"/>
              </w:rPr>
              <w:t>价格承包内容</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szCs w:val="21"/>
                <w:highlight w:val="none"/>
                <w:lang w:eastAsia="zh-CN"/>
              </w:rPr>
            </w:pPr>
            <w:r>
              <w:rPr>
                <w:rFonts w:hint="eastAsia" w:ascii="宋体" w:hAnsi="宋体" w:eastAsia="宋体" w:cs="宋体"/>
                <w:color w:val="auto"/>
                <w:sz w:val="21"/>
                <w:szCs w:val="21"/>
                <w:lang w:val="en-US" w:eastAsia="zh-CN"/>
              </w:rPr>
              <w:t>本合同为总价合同，</w:t>
            </w:r>
            <w:r>
              <w:rPr>
                <w:rFonts w:hint="eastAsia" w:ascii="宋体" w:hAnsi="宋体" w:eastAsia="宋体" w:cs="宋体"/>
                <w:color w:val="auto"/>
                <w:sz w:val="21"/>
                <w:szCs w:val="21"/>
                <w:highlight w:val="none"/>
                <w:lang w:val="en-US" w:eastAsia="zh-CN"/>
              </w:rPr>
              <w:t>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合同价格以甲方审定的结算价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highlight w:val="none"/>
              </w:rPr>
            </w:pPr>
            <w:r>
              <w:rPr>
                <w:rFonts w:hint="eastAsia" w:ascii="宋体" w:hAnsi="宋体"/>
                <w:b/>
                <w:szCs w:val="21"/>
                <w:highlight w:val="none"/>
              </w:rPr>
              <w:t>项目支付方式</w:t>
            </w:r>
          </w:p>
        </w:tc>
        <w:tc>
          <w:tcPr>
            <w:tcW w:w="7788"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1.预付款：本项目不支付预付款。</w:t>
            </w:r>
          </w:p>
          <w:p>
            <w:pPr>
              <w:pStyle w:val="4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bCs/>
                <w:szCs w:val="21"/>
                <w:highlight w:val="none"/>
              </w:rPr>
            </w:pPr>
            <w:r>
              <w:rPr>
                <w:rFonts w:hint="eastAsia" w:ascii="宋体" w:hAnsi="宋体" w:eastAsia="宋体" w:cs="宋体"/>
                <w:color w:val="auto"/>
                <w:sz w:val="21"/>
                <w:szCs w:val="21"/>
                <w:highlight w:val="none"/>
                <w:lang w:val="en-US" w:eastAsia="zh-CN"/>
              </w:rPr>
              <w:t>2.履约验收完成付款：本项目办理履约验收合格且在收到乙方的支付请求和乙方提供的合同价格的100%增值税发票原件及有效期内的履约担保复印件后28个工作日内，支付至合同价格的100%。项目履约验收按甲方相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信息发布</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指定媒体</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szCs w:val="21"/>
              </w:rPr>
            </w:pPr>
            <w:r>
              <w:rPr>
                <w:rFonts w:hint="eastAsia" w:ascii="宋体" w:hAnsi="宋体" w:eastAsia="宋体" w:cs="宋体"/>
                <w:szCs w:val="21"/>
              </w:rPr>
              <w:t>长沙市轨道交通集团有限公司</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"http://www.hncsmtr.com/" </w:instrText>
            </w:r>
            <w:r>
              <w:rPr>
                <w:rFonts w:hint="eastAsia" w:ascii="宋体" w:hAnsi="宋体" w:eastAsia="宋体" w:cs="宋体"/>
                <w:color w:val="auto"/>
                <w:sz w:val="21"/>
                <w:szCs w:val="21"/>
              </w:rPr>
              <w:fldChar w:fldCharType="separate"/>
            </w:r>
            <w:r>
              <w:rPr>
                <w:rStyle w:val="55"/>
                <w:rFonts w:hint="eastAsia" w:ascii="宋体" w:hAnsi="宋体" w:eastAsia="宋体" w:cs="宋体"/>
                <w:color w:val="auto"/>
                <w:sz w:val="21"/>
                <w:szCs w:val="21"/>
              </w:rPr>
              <w:t>http://www.hncsmtr.com/</w:t>
            </w:r>
            <w:r>
              <w:rPr>
                <w:rStyle w:val="55"/>
                <w:rFonts w:hint="eastAsia" w:ascii="宋体" w:hAnsi="宋体" w:eastAsia="宋体" w:cs="宋体"/>
                <w:color w:val="auto"/>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szCs w:val="21"/>
              </w:rPr>
              <w:t>采购代理</w:t>
            </w:r>
            <w:r>
              <w:rPr>
                <w:rFonts w:ascii="宋体" w:hAnsi="宋体"/>
                <w:b/>
                <w:szCs w:val="21"/>
              </w:rPr>
              <w:t>服务费</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szCs w:val="21"/>
              </w:rPr>
            </w:pPr>
            <w:r>
              <w:rPr>
                <w:rFonts w:hint="eastAsia" w:ascii="宋体" w:hAnsi="宋体" w:eastAsia="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b/>
                <w:szCs w:val="21"/>
              </w:rPr>
            </w:pPr>
            <w:r>
              <w:rPr>
                <w:rFonts w:hint="eastAsia" w:ascii="宋体" w:hAnsi="宋体"/>
                <w:b/>
                <w:szCs w:val="21"/>
              </w:rPr>
              <w:t>其他规定</w:t>
            </w:r>
          </w:p>
        </w:tc>
        <w:tc>
          <w:tcPr>
            <w:tcW w:w="7788" w:type="dxa"/>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szCs w:val="21"/>
              </w:rPr>
            </w:pPr>
            <w:r>
              <w:rPr>
                <w:rFonts w:hint="eastAsia" w:ascii="宋体" w:hAnsi="宋体" w:eastAsia="宋体" w:cs="宋体"/>
                <w:szCs w:val="21"/>
              </w:rPr>
              <w:t>（如有）</w:t>
            </w:r>
          </w:p>
        </w:tc>
      </w:tr>
    </w:tbl>
    <w:p>
      <w:pPr>
        <w:pStyle w:val="4"/>
        <w:keepNext w:val="0"/>
        <w:keepLines w:val="0"/>
        <w:pageBreakBefore w:val="0"/>
        <w:widowControl w:val="0"/>
        <w:kinsoku/>
        <w:wordWrap/>
        <w:overflowPunct/>
        <w:topLinePunct w:val="0"/>
        <w:bidi w:val="0"/>
        <w:spacing w:line="360" w:lineRule="auto"/>
        <w:ind w:left="0" w:leftChars="0" w:right="0" w:rightChars="0" w:firstLine="602" w:firstLineChars="200"/>
        <w:jc w:val="center"/>
        <w:rPr>
          <w:rFonts w:ascii="黑体" w:hAnsi="黑体" w:eastAsia="黑体"/>
          <w:sz w:val="30"/>
          <w:szCs w:val="30"/>
        </w:rPr>
        <w:sectPr>
          <w:footerReference r:id="rId6" w:type="first"/>
          <w:footerReference r:id="rId5" w:type="default"/>
          <w:pgSz w:w="12240" w:h="15840"/>
          <w:pgMar w:top="1440" w:right="1800" w:bottom="1440" w:left="1800" w:header="720" w:footer="720" w:gutter="0"/>
          <w:pgNumType w:fmt="decimal" w:start="1"/>
          <w:cols w:space="720" w:num="1"/>
          <w:titlePg/>
          <w:rtlGutter w:val="0"/>
          <w:docGrid w:type="lines" w:linePitch="323" w:charSpace="0"/>
        </w:sectPr>
      </w:pPr>
    </w:p>
    <w:p>
      <w:pPr>
        <w:pStyle w:val="4"/>
        <w:keepNext w:val="0"/>
        <w:keepLines w:val="0"/>
        <w:pageBreakBefore w:val="0"/>
        <w:widowControl w:val="0"/>
        <w:kinsoku/>
        <w:wordWrap/>
        <w:overflowPunct/>
        <w:topLinePunct w:val="0"/>
        <w:bidi w:val="0"/>
        <w:spacing w:line="360" w:lineRule="auto"/>
        <w:ind w:left="0" w:leftChars="0" w:right="0" w:rightChars="0" w:firstLine="643" w:firstLineChars="200"/>
        <w:jc w:val="center"/>
        <w:rPr>
          <w:rFonts w:hint="eastAsia" w:ascii="宋体" w:hAnsi="宋体" w:eastAsia="宋体" w:cs="宋体"/>
          <w:sz w:val="32"/>
          <w:szCs w:val="32"/>
        </w:rPr>
      </w:pPr>
      <w:bookmarkStart w:id="3" w:name="_Toc30385"/>
      <w:r>
        <w:rPr>
          <w:rFonts w:hint="eastAsia" w:ascii="宋体" w:hAnsi="宋体" w:eastAsia="宋体" w:cs="宋体"/>
          <w:sz w:val="32"/>
          <w:szCs w:val="32"/>
        </w:rPr>
        <w:t>谈判须知正文</w:t>
      </w:r>
      <w:bookmarkEnd w:id="3"/>
    </w:p>
    <w:p>
      <w:pPr>
        <w:pStyle w:val="5"/>
        <w:keepNext w:val="0"/>
        <w:keepLines w:val="0"/>
        <w:pageBreakBefore w:val="0"/>
        <w:widowControl w:val="0"/>
        <w:kinsoku/>
        <w:wordWrap/>
        <w:overflowPunct/>
        <w:topLinePunct w:val="0"/>
        <w:bidi w:val="0"/>
        <w:spacing w:before="0" w:after="0" w:line="360" w:lineRule="auto"/>
        <w:ind w:right="0" w:rightChars="0"/>
        <w:rPr>
          <w:rFonts w:hint="eastAsia" w:ascii="宋体" w:hAnsi="宋体" w:eastAsia="宋体" w:cs="宋体"/>
          <w:sz w:val="21"/>
          <w:szCs w:val="21"/>
        </w:rPr>
      </w:pPr>
      <w:bookmarkStart w:id="4" w:name="_Toc23354"/>
      <w:r>
        <w:rPr>
          <w:rFonts w:hint="eastAsia" w:ascii="宋体" w:hAnsi="宋体" w:eastAsia="宋体" w:cs="宋体"/>
          <w:sz w:val="21"/>
          <w:szCs w:val="21"/>
        </w:rPr>
        <w:t>一、说明</w:t>
      </w:r>
      <w:bookmarkEnd w:id="4"/>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sz w:val="21"/>
          <w:szCs w:val="21"/>
        </w:rPr>
      </w:pPr>
      <w:r>
        <w:rPr>
          <w:rFonts w:hint="eastAsia" w:ascii="宋体" w:hAnsi="宋体"/>
          <w:b/>
          <w:bCs/>
          <w:sz w:val="21"/>
          <w:szCs w:val="21"/>
        </w:rPr>
        <w:t>1.</w:t>
      </w:r>
      <w:r>
        <w:rPr>
          <w:rFonts w:hint="eastAsia" w:ascii="宋体" w:hAnsi="宋体"/>
          <w:b/>
          <w:sz w:val="21"/>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sz w:val="21"/>
          <w:szCs w:val="21"/>
        </w:rPr>
      </w:pPr>
      <w:r>
        <w:rPr>
          <w:rFonts w:hint="eastAsia" w:ascii="宋体" w:hAnsi="宋体"/>
          <w:b/>
          <w:sz w:val="21"/>
          <w:szCs w:val="21"/>
        </w:rPr>
        <w:t>2.本谈判文件的解释权属于长沙市轨道交通运营有限公司。</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 w:val="21"/>
          <w:szCs w:val="21"/>
        </w:rPr>
      </w:pPr>
      <w:r>
        <w:rPr>
          <w:rFonts w:hint="eastAsia" w:ascii="宋体" w:hAnsi="宋体"/>
          <w:b/>
          <w:bCs/>
          <w:sz w:val="21"/>
          <w:szCs w:val="21"/>
        </w:rPr>
        <w:t>3.定义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
          <w:sz w:val="21"/>
          <w:szCs w:val="21"/>
        </w:rPr>
      </w:pPr>
      <w:r>
        <w:rPr>
          <w:rFonts w:hint="eastAsia" w:ascii="宋体" w:hAnsi="宋体"/>
          <w:sz w:val="21"/>
          <w:szCs w:val="21"/>
        </w:rPr>
        <w:t>3.1“采购单位”是指依法进行采购的法人组织。本项目的采购单位名称见</w:t>
      </w:r>
      <w:r>
        <w:rPr>
          <w:rFonts w:hint="eastAsia" w:ascii="宋体" w:hAnsi="宋体"/>
          <w:b/>
          <w:sz w:val="21"/>
          <w:szCs w:val="21"/>
        </w:rPr>
        <w:t>前附表</w:t>
      </w:r>
      <w:r>
        <w:rPr>
          <w:rFonts w:hint="eastAsia" w:ascii="宋体" w:hAnsi="宋体"/>
          <w:sz w:val="21"/>
          <w:szCs w:val="21"/>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sz w:val="21"/>
          <w:szCs w:val="21"/>
        </w:rPr>
      </w:pPr>
      <w:r>
        <w:rPr>
          <w:rFonts w:hint="eastAsia" w:ascii="宋体" w:hAnsi="宋体"/>
          <w:sz w:val="21"/>
          <w:szCs w:val="21"/>
        </w:rPr>
        <w:t>3.2“谈判单位”是指响应本谈判文件要求、参加谈判的法人组织。</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 w:val="21"/>
          <w:szCs w:val="21"/>
          <w:highlight w:val="none"/>
        </w:rPr>
      </w:pPr>
      <w:r>
        <w:rPr>
          <w:rFonts w:hint="eastAsia" w:ascii="宋体" w:hAnsi="宋体"/>
          <w:color w:val="auto"/>
          <w:sz w:val="21"/>
          <w:szCs w:val="21"/>
          <w:highlight w:val="none"/>
        </w:rPr>
        <w:t>3.3“采购代理机构”是指接受采购人委托，代理采购项目的机构。本采购项目的采购代理机构名称见</w:t>
      </w:r>
      <w:r>
        <w:rPr>
          <w:rFonts w:hint="eastAsia" w:ascii="宋体" w:hAnsi="宋体"/>
          <w:b/>
          <w:bCs/>
          <w:color w:val="auto"/>
          <w:sz w:val="21"/>
          <w:szCs w:val="21"/>
          <w:highlight w:val="none"/>
        </w:rPr>
        <w:t>前附表</w:t>
      </w:r>
      <w:r>
        <w:rPr>
          <w:rFonts w:hint="eastAsia" w:ascii="宋体" w:hAnsi="宋体"/>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 w:val="21"/>
          <w:szCs w:val="21"/>
          <w:highlight w:val="none"/>
        </w:rPr>
      </w:pPr>
      <w:r>
        <w:rPr>
          <w:rFonts w:hint="eastAsia" w:ascii="宋体" w:hAnsi="宋体"/>
          <w:color w:val="auto"/>
          <w:sz w:val="21"/>
          <w:szCs w:val="21"/>
          <w:highlight w:val="none"/>
        </w:rPr>
        <w:t>3.4“谈判</w:t>
      </w:r>
      <w:r>
        <w:rPr>
          <w:rFonts w:hint="eastAsia" w:ascii="宋体" w:hAnsi="宋体"/>
          <w:b/>
          <w:bCs/>
          <w:color w:val="auto"/>
          <w:sz w:val="21"/>
          <w:szCs w:val="21"/>
          <w:highlight w:val="none"/>
        </w:rPr>
        <w:t>评审</w:t>
      </w:r>
      <w:r>
        <w:rPr>
          <w:rFonts w:hint="eastAsia" w:ascii="宋体" w:hAnsi="宋体"/>
          <w:color w:val="auto"/>
          <w:sz w:val="21"/>
          <w:szCs w:val="21"/>
          <w:highlight w:val="none"/>
        </w:rPr>
        <w:t>小组”是指采购单位按其规定组建，依法依规履行其职责和义务的机构。</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4.谈判单位资格要求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 w:val="21"/>
          <w:szCs w:val="21"/>
          <w:highlight w:val="none"/>
        </w:rPr>
      </w:pPr>
      <w:r>
        <w:rPr>
          <w:rFonts w:hint="eastAsia" w:ascii="宋体" w:hAnsi="宋体"/>
          <w:color w:val="auto"/>
          <w:sz w:val="21"/>
          <w:szCs w:val="21"/>
          <w:highlight w:val="none"/>
        </w:rPr>
        <w:t>4.1参与谈判的单位应当符合</w:t>
      </w:r>
      <w:r>
        <w:rPr>
          <w:rFonts w:hint="eastAsia" w:ascii="宋体" w:hAnsi="宋体"/>
          <w:b/>
          <w:color w:val="auto"/>
          <w:sz w:val="21"/>
          <w:szCs w:val="21"/>
          <w:highlight w:val="none"/>
        </w:rPr>
        <w:t>前附表</w:t>
      </w:r>
      <w:r>
        <w:rPr>
          <w:rFonts w:hint="eastAsia" w:ascii="宋体" w:hAnsi="宋体"/>
          <w:color w:val="auto"/>
          <w:sz w:val="21"/>
          <w:szCs w:val="21"/>
          <w:highlight w:val="none"/>
        </w:rPr>
        <w:t>中规定的资格要求；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 w:val="21"/>
          <w:szCs w:val="21"/>
          <w:highlight w:val="none"/>
        </w:rPr>
      </w:pPr>
      <w:r>
        <w:rPr>
          <w:rFonts w:hint="eastAsia" w:ascii="宋体" w:hAnsi="宋体"/>
          <w:color w:val="auto"/>
          <w:sz w:val="21"/>
          <w:szCs w:val="21"/>
          <w:highlight w:val="none"/>
        </w:rPr>
        <w:t>4.2</w:t>
      </w:r>
      <w:r>
        <w:rPr>
          <w:rFonts w:hint="eastAsia" w:hAnsi="宋体"/>
          <w:color w:val="auto"/>
          <w:sz w:val="21"/>
          <w:szCs w:val="21"/>
          <w:highlight w:val="none"/>
        </w:rPr>
        <w:t>参与谈判的单位</w:t>
      </w:r>
      <w:r>
        <w:rPr>
          <w:rFonts w:hAnsi="宋体"/>
          <w:color w:val="auto"/>
          <w:sz w:val="21"/>
          <w:szCs w:val="21"/>
          <w:highlight w:val="none"/>
        </w:rPr>
        <w:t>存在下列情形之一</w:t>
      </w:r>
      <w:r>
        <w:rPr>
          <w:rFonts w:hint="eastAsia" w:hAnsi="宋体"/>
          <w:color w:val="auto"/>
          <w:sz w:val="21"/>
          <w:szCs w:val="21"/>
          <w:highlight w:val="none"/>
        </w:rPr>
        <w:t>的，其</w:t>
      </w:r>
      <w:r>
        <w:rPr>
          <w:rFonts w:hint="eastAsia" w:hAnsi="宋体"/>
          <w:bCs/>
          <w:color w:val="auto"/>
          <w:sz w:val="21"/>
          <w:szCs w:val="21"/>
          <w:highlight w:val="none"/>
        </w:rPr>
        <w:t>谈判</w:t>
      </w:r>
      <w:r>
        <w:rPr>
          <w:rFonts w:hAnsi="宋体"/>
          <w:color w:val="auto"/>
          <w:sz w:val="21"/>
          <w:szCs w:val="21"/>
          <w:highlight w:val="none"/>
        </w:rPr>
        <w:t>将被</w:t>
      </w:r>
      <w:r>
        <w:rPr>
          <w:rFonts w:hAnsi="宋体"/>
          <w:b/>
          <w:bCs/>
          <w:color w:val="auto"/>
          <w:sz w:val="21"/>
          <w:szCs w:val="21"/>
          <w:highlight w:val="none"/>
        </w:rPr>
        <w:t>否决</w:t>
      </w:r>
      <w:r>
        <w:rPr>
          <w:rFonts w:hAnsi="宋体"/>
          <w:color w:val="auto"/>
          <w:sz w:val="21"/>
          <w:szCs w:val="21"/>
          <w:highlight w:val="none"/>
        </w:rPr>
        <w:t>：</w:t>
      </w:r>
    </w:p>
    <w:p>
      <w:pPr>
        <w:pStyle w:val="215"/>
        <w:keepNext w:val="0"/>
        <w:keepLines w:val="0"/>
        <w:pageBreakBefore w:val="0"/>
        <w:widowControl w:val="0"/>
        <w:kinsoku/>
        <w:wordWrap/>
        <w:overflowPunct/>
        <w:topLinePunct w:val="0"/>
        <w:bidi w:val="0"/>
        <w:spacing w:line="360" w:lineRule="auto"/>
        <w:ind w:left="0" w:leftChars="0" w:right="0" w:rightChars="0"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（1）与采购单位（或本项目采购代理机构）存在利害关系且可能影响采购公正性；</w:t>
      </w:r>
    </w:p>
    <w:p>
      <w:pPr>
        <w:pStyle w:val="215"/>
        <w:keepNext w:val="0"/>
        <w:keepLines w:val="0"/>
        <w:pageBreakBefore w:val="0"/>
        <w:widowControl w:val="0"/>
        <w:kinsoku/>
        <w:wordWrap/>
        <w:overflowPunct/>
        <w:topLinePunct w:val="0"/>
        <w:bidi w:val="0"/>
        <w:spacing w:line="360" w:lineRule="auto"/>
        <w:ind w:left="0" w:leftChars="0" w:right="0" w:rightChars="0"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215"/>
        <w:keepNext w:val="0"/>
        <w:keepLines w:val="0"/>
        <w:pageBreakBefore w:val="0"/>
        <w:widowControl w:val="0"/>
        <w:kinsoku/>
        <w:wordWrap/>
        <w:overflowPunct/>
        <w:topLinePunct w:val="0"/>
        <w:bidi w:val="0"/>
        <w:spacing w:line="360" w:lineRule="auto"/>
        <w:ind w:left="0" w:leftChars="0" w:right="0" w:rightChars="0"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215"/>
        <w:keepNext w:val="0"/>
        <w:keepLines w:val="0"/>
        <w:pageBreakBefore w:val="0"/>
        <w:widowControl w:val="0"/>
        <w:kinsoku/>
        <w:wordWrap/>
        <w:overflowPunct/>
        <w:topLinePunct w:val="0"/>
        <w:bidi w:val="0"/>
        <w:spacing w:line="360" w:lineRule="auto"/>
        <w:ind w:left="0" w:leftChars="0" w:right="0" w:rightChars="0"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215"/>
        <w:keepNext w:val="0"/>
        <w:keepLines w:val="0"/>
        <w:pageBreakBefore w:val="0"/>
        <w:widowControl w:val="0"/>
        <w:kinsoku/>
        <w:wordWrap/>
        <w:overflowPunct/>
        <w:topLinePunct w:val="0"/>
        <w:bidi w:val="0"/>
        <w:spacing w:line="360" w:lineRule="auto"/>
        <w:ind w:left="0" w:leftChars="0" w:right="0" w:rightChars="0"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215"/>
        <w:keepNext w:val="0"/>
        <w:keepLines w:val="0"/>
        <w:pageBreakBefore w:val="0"/>
        <w:widowControl w:val="0"/>
        <w:kinsoku/>
        <w:wordWrap/>
        <w:overflowPunct/>
        <w:topLinePunct w:val="0"/>
        <w:bidi w:val="0"/>
        <w:spacing w:line="360" w:lineRule="auto"/>
        <w:ind w:left="0" w:leftChars="0" w:right="0" w:rightChars="0"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s="宋体"/>
          <w:strike/>
          <w:color w:val="auto"/>
          <w:sz w:val="21"/>
          <w:szCs w:val="21"/>
          <w:highlight w:val="none"/>
        </w:rPr>
      </w:pPr>
      <w:r>
        <w:rPr>
          <w:rFonts w:hint="eastAsia" w:ascii="宋体" w:hAnsi="宋体" w:cs="宋体"/>
          <w:color w:val="auto"/>
          <w:sz w:val="21"/>
          <w:szCs w:val="21"/>
          <w:highlight w:val="none"/>
        </w:rPr>
        <w:t>（7）在“信用中国”网站</w:t>
      </w:r>
      <w:r>
        <w:rPr>
          <w:rFonts w:hint="eastAsia" w:ascii="宋体" w:hAnsi="宋体" w:eastAsia="宋体" w:cs="宋体"/>
          <w:sz w:val="21"/>
          <w:szCs w:val="21"/>
        </w:rPr>
        <w:t>（www.creditchina.gov.cn）</w:t>
      </w:r>
      <w:r>
        <w:rPr>
          <w:rFonts w:hint="eastAsia" w:ascii="宋体" w:hAnsi="宋体" w:cs="宋体"/>
          <w:color w:val="auto"/>
          <w:sz w:val="21"/>
          <w:szCs w:val="21"/>
          <w:highlight w:val="none"/>
        </w:rPr>
        <w:t>或“信用湖南”网站（www.credithunan.gov.cn）中显示已被列入失信被执行人名单。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5.参与谈判的费用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 w:val="21"/>
          <w:szCs w:val="21"/>
          <w:highlight w:val="none"/>
        </w:rPr>
      </w:pPr>
      <w:r>
        <w:rPr>
          <w:rFonts w:hint="eastAsia" w:ascii="宋体" w:hAnsi="宋体"/>
          <w:color w:val="auto"/>
          <w:sz w:val="21"/>
          <w:szCs w:val="21"/>
          <w:highlight w:val="none"/>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bidi w:val="0"/>
        <w:adjustRightInd w:val="0"/>
        <w:snapToGrid w:val="0"/>
        <w:spacing w:line="360" w:lineRule="auto"/>
        <w:ind w:left="0" w:leftChars="0" w:right="0" w:rightChars="0" w:firstLine="420" w:firstLineChars="200"/>
        <w:rPr>
          <w:rFonts w:ascii="宋体" w:hAnsi="宋体"/>
          <w:color w:val="auto"/>
          <w:sz w:val="21"/>
          <w:szCs w:val="21"/>
          <w:highlight w:val="none"/>
        </w:rPr>
      </w:pPr>
      <w:r>
        <w:rPr>
          <w:rFonts w:hint="eastAsia" w:ascii="宋体" w:hAnsi="宋体"/>
          <w:color w:val="auto"/>
          <w:sz w:val="21"/>
          <w:szCs w:val="21"/>
          <w:highlight w:val="none"/>
        </w:rPr>
        <w:t>5.2</w:t>
      </w:r>
      <w:r>
        <w:rPr>
          <w:rFonts w:hint="eastAsia" w:ascii="宋体" w:hAnsi="宋体" w:cs="宋体"/>
          <w:color w:val="auto"/>
          <w:sz w:val="21"/>
          <w:szCs w:val="21"/>
          <w:highlight w:val="none"/>
        </w:rPr>
        <w:t>采购代理服务费由中选单位全额承担。本项目采购代理服务费以中选价为基数，按谈判须知</w:t>
      </w:r>
      <w:r>
        <w:rPr>
          <w:rFonts w:hint="eastAsia" w:ascii="宋体" w:hAnsi="宋体" w:cs="宋体"/>
          <w:b/>
          <w:bCs/>
          <w:color w:val="auto"/>
          <w:sz w:val="21"/>
          <w:szCs w:val="21"/>
          <w:highlight w:val="none"/>
        </w:rPr>
        <w:t>《采购代理服务费收费标准》（详见本须知附件）</w:t>
      </w:r>
      <w:r>
        <w:rPr>
          <w:rFonts w:hint="eastAsia" w:ascii="宋体" w:hAnsi="宋体" w:cs="宋体"/>
          <w:color w:val="auto"/>
          <w:sz w:val="21"/>
          <w:szCs w:val="21"/>
          <w:highlight w:val="none"/>
        </w:rPr>
        <w:t>向中选单位收取。</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Ansi="宋体"/>
          <w:b/>
          <w:bCs/>
          <w:color w:val="auto"/>
          <w:sz w:val="21"/>
          <w:szCs w:val="21"/>
          <w:highlight w:val="none"/>
        </w:rPr>
      </w:pPr>
      <w:r>
        <w:rPr>
          <w:rFonts w:hint="eastAsia" w:hAnsi="宋体"/>
          <w:b/>
          <w:color w:val="auto"/>
          <w:sz w:val="21"/>
          <w:szCs w:val="21"/>
          <w:highlight w:val="none"/>
        </w:rPr>
        <w:t>6．</w:t>
      </w:r>
      <w:r>
        <w:rPr>
          <w:rFonts w:hint="eastAsia" w:hAnsi="宋体"/>
          <w:b/>
          <w:bCs/>
          <w:color w:val="auto"/>
          <w:sz w:val="21"/>
          <w:szCs w:val="21"/>
          <w:highlight w:val="none"/>
        </w:rPr>
        <w:t>谈判单位代表</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sz w:val="21"/>
          <w:szCs w:val="21"/>
          <w:highlight w:val="none"/>
        </w:rPr>
      </w:pPr>
      <w:r>
        <w:rPr>
          <w:rFonts w:hint="eastAsia" w:hAnsi="宋体"/>
          <w:color w:val="auto"/>
          <w:sz w:val="21"/>
          <w:szCs w:val="21"/>
          <w:highlight w:val="none"/>
        </w:rPr>
        <w:t>6.1谈判单位代表为谈判单位法定代表人的：应提供法定代表人身份证明书</w:t>
      </w:r>
      <w:r>
        <w:rPr>
          <w:rFonts w:hint="eastAsia" w:hAnsi="宋体"/>
          <w:b/>
          <w:bCs/>
          <w:color w:val="auto"/>
          <w:sz w:val="21"/>
          <w:szCs w:val="21"/>
          <w:highlight w:val="none"/>
        </w:rPr>
        <w:t>（见</w:t>
      </w:r>
      <w:r>
        <w:rPr>
          <w:rFonts w:hint="eastAsia" w:ascii="宋体" w:hAnsi="宋体" w:cs="Courier New"/>
          <w:b/>
          <w:bCs/>
          <w:iCs/>
          <w:sz w:val="21"/>
          <w:szCs w:val="21"/>
          <w:highlight w:val="none"/>
          <w:lang w:val="en-US" w:eastAsia="zh-CN"/>
        </w:rPr>
        <w:t>第</w:t>
      </w:r>
      <w:r>
        <w:rPr>
          <w:rFonts w:hint="eastAsia" w:hAnsi="宋体" w:cs="Courier New"/>
          <w:b/>
          <w:bCs/>
          <w:iCs/>
          <w:sz w:val="21"/>
          <w:szCs w:val="21"/>
          <w:highlight w:val="none"/>
          <w:lang w:val="en-US" w:eastAsia="zh-CN"/>
        </w:rPr>
        <w:t>六</w:t>
      </w:r>
      <w:r>
        <w:rPr>
          <w:rFonts w:hint="eastAsia" w:ascii="宋体" w:hAnsi="宋体" w:cs="Courier New"/>
          <w:b/>
          <w:bCs/>
          <w:iCs/>
          <w:sz w:val="21"/>
          <w:szCs w:val="21"/>
          <w:highlight w:val="none"/>
          <w:lang w:val="en-US" w:eastAsia="zh-CN"/>
        </w:rPr>
        <w:t>章</w:t>
      </w:r>
      <w:r>
        <w:rPr>
          <w:rFonts w:hint="eastAsia" w:hAnsi="宋体"/>
          <w:b/>
          <w:bCs/>
          <w:color w:val="auto"/>
          <w:sz w:val="21"/>
          <w:szCs w:val="21"/>
          <w:highlight w:val="none"/>
        </w:rPr>
        <w:t>响应文件格式）</w:t>
      </w:r>
      <w:r>
        <w:rPr>
          <w:rFonts w:hint="eastAsia" w:hAnsi="宋体"/>
          <w:color w:val="auto"/>
          <w:sz w:val="21"/>
          <w:szCs w:val="21"/>
          <w:highlight w:val="none"/>
        </w:rPr>
        <w:t>原件及本人身份证原件。</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黑体" w:hAnsi="宋体" w:eastAsia="黑体"/>
          <w:b/>
          <w:strike/>
          <w:color w:val="auto"/>
          <w:sz w:val="21"/>
          <w:szCs w:val="21"/>
          <w:highlight w:val="none"/>
        </w:rPr>
      </w:pPr>
      <w:r>
        <w:rPr>
          <w:rFonts w:hint="eastAsia" w:hAnsi="宋体"/>
          <w:color w:val="auto"/>
          <w:sz w:val="21"/>
          <w:szCs w:val="21"/>
          <w:highlight w:val="none"/>
        </w:rPr>
        <w:t>6.2谈判单位代表不是谈判单位法定代表人的：应提供授权委托书</w:t>
      </w:r>
      <w:r>
        <w:rPr>
          <w:rFonts w:hint="eastAsia" w:hAnsi="宋体"/>
          <w:b/>
          <w:bCs/>
          <w:color w:val="auto"/>
          <w:sz w:val="21"/>
          <w:szCs w:val="21"/>
          <w:highlight w:val="none"/>
        </w:rPr>
        <w:t>（见</w:t>
      </w:r>
      <w:r>
        <w:rPr>
          <w:rFonts w:hint="eastAsia" w:ascii="宋体" w:hAnsi="宋体" w:cs="Courier New"/>
          <w:b/>
          <w:bCs/>
          <w:iCs/>
          <w:sz w:val="21"/>
          <w:szCs w:val="21"/>
          <w:highlight w:val="none"/>
          <w:lang w:val="en-US" w:eastAsia="zh-CN"/>
        </w:rPr>
        <w:t>第</w:t>
      </w:r>
      <w:r>
        <w:rPr>
          <w:rFonts w:hint="eastAsia" w:hAnsi="宋体" w:cs="Courier New"/>
          <w:b/>
          <w:bCs/>
          <w:iCs/>
          <w:sz w:val="21"/>
          <w:szCs w:val="21"/>
          <w:highlight w:val="none"/>
          <w:lang w:val="en-US" w:eastAsia="zh-CN"/>
        </w:rPr>
        <w:t>六</w:t>
      </w:r>
      <w:r>
        <w:rPr>
          <w:rFonts w:hint="eastAsia" w:ascii="宋体" w:hAnsi="宋体" w:cs="Courier New"/>
          <w:b/>
          <w:bCs/>
          <w:iCs/>
          <w:sz w:val="21"/>
          <w:szCs w:val="21"/>
          <w:highlight w:val="none"/>
          <w:lang w:val="en-US" w:eastAsia="zh-CN"/>
        </w:rPr>
        <w:t>章</w:t>
      </w:r>
      <w:r>
        <w:rPr>
          <w:rFonts w:hint="eastAsia" w:hAnsi="宋体"/>
          <w:b/>
          <w:bCs/>
          <w:color w:val="auto"/>
          <w:sz w:val="21"/>
          <w:szCs w:val="21"/>
          <w:highlight w:val="none"/>
        </w:rPr>
        <w:t>响应文件格式）</w:t>
      </w:r>
      <w:r>
        <w:rPr>
          <w:rFonts w:hint="eastAsia" w:hAnsi="宋体"/>
          <w:color w:val="auto"/>
          <w:sz w:val="21"/>
          <w:szCs w:val="21"/>
          <w:highlight w:val="none"/>
        </w:rPr>
        <w:t>原件及本人身份证原件。</w:t>
      </w:r>
    </w:p>
    <w:p>
      <w:pPr>
        <w:pStyle w:val="5"/>
        <w:keepNext w:val="0"/>
        <w:keepLines w:val="0"/>
        <w:pageBreakBefore w:val="0"/>
        <w:widowControl w:val="0"/>
        <w:kinsoku/>
        <w:wordWrap/>
        <w:overflowPunct/>
        <w:topLinePunct w:val="0"/>
        <w:bidi w:val="0"/>
        <w:spacing w:before="0" w:after="0" w:line="360" w:lineRule="auto"/>
        <w:ind w:right="0" w:rightChars="0"/>
        <w:rPr>
          <w:rFonts w:hint="eastAsia" w:ascii="宋体" w:hAnsi="宋体" w:eastAsia="宋体" w:cs="宋体"/>
          <w:sz w:val="21"/>
          <w:szCs w:val="21"/>
        </w:rPr>
      </w:pPr>
      <w:bookmarkStart w:id="5" w:name="_Toc19198"/>
      <w:r>
        <w:rPr>
          <w:rFonts w:hint="eastAsia" w:ascii="宋体" w:hAnsi="宋体" w:eastAsia="宋体" w:cs="宋体"/>
          <w:sz w:val="21"/>
          <w:szCs w:val="21"/>
        </w:rPr>
        <w:t>二、谈判文件</w:t>
      </w:r>
      <w:bookmarkEnd w:id="5"/>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color w:val="auto"/>
          <w:szCs w:val="21"/>
          <w:highlight w:val="none"/>
        </w:rPr>
      </w:pPr>
      <w:r>
        <w:rPr>
          <w:rFonts w:hint="eastAsia" w:ascii="宋体" w:hAnsi="宋体"/>
          <w:b/>
          <w:bCs/>
          <w:color w:val="auto"/>
          <w:szCs w:val="21"/>
          <w:highlight w:val="none"/>
        </w:rPr>
        <w:t>7．谈判文件的组成</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highlight w:val="none"/>
        </w:rPr>
      </w:pPr>
      <w:r>
        <w:rPr>
          <w:rFonts w:hint="eastAsia" w:hAnsi="宋体"/>
          <w:color w:val="auto"/>
          <w:highlight w:val="none"/>
        </w:rPr>
        <w:t>7.1谈判文件由下列文件组成：</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highlight w:val="none"/>
        </w:rPr>
      </w:pPr>
      <w:r>
        <w:rPr>
          <w:rFonts w:hint="eastAsia" w:hAnsi="宋体"/>
          <w:color w:val="auto"/>
          <w:highlight w:val="none"/>
        </w:rPr>
        <w:t>第一章 谈判邀请公告</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highlight w:val="none"/>
        </w:rPr>
      </w:pPr>
      <w:r>
        <w:rPr>
          <w:rFonts w:hint="eastAsia" w:hAnsi="宋体"/>
          <w:color w:val="auto"/>
          <w:highlight w:val="none"/>
        </w:rPr>
        <w:t>第二章 谈判须知</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highlight w:val="none"/>
        </w:rPr>
      </w:pPr>
      <w:r>
        <w:rPr>
          <w:rFonts w:hint="eastAsia" w:hAnsi="宋体"/>
          <w:color w:val="auto"/>
          <w:highlight w:val="none"/>
        </w:rPr>
        <w:t>第三章 评审办法及标准</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highlight w:val="none"/>
        </w:rPr>
      </w:pPr>
      <w:r>
        <w:rPr>
          <w:rFonts w:hint="eastAsia" w:hAnsi="宋体"/>
          <w:color w:val="auto"/>
          <w:highlight w:val="none"/>
        </w:rPr>
        <w:t>第四章 用户需求书</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hAnsi="宋体"/>
          <w:color w:val="auto"/>
          <w:highlight w:val="none"/>
        </w:rPr>
      </w:pPr>
      <w:r>
        <w:rPr>
          <w:rFonts w:hint="eastAsia" w:hAnsi="宋体"/>
          <w:color w:val="auto"/>
          <w:highlight w:val="none"/>
        </w:rPr>
        <w:t>第五章 合同格式条款</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hAnsi="宋体" w:eastAsia="宋体"/>
          <w:color w:val="auto"/>
          <w:highlight w:val="none"/>
          <w:lang w:eastAsia="zh-CN"/>
        </w:rPr>
      </w:pPr>
      <w:r>
        <w:rPr>
          <w:rFonts w:hint="eastAsia" w:hAnsi="宋体"/>
          <w:color w:val="auto"/>
          <w:highlight w:val="none"/>
        </w:rPr>
        <w:t>第</w:t>
      </w:r>
      <w:r>
        <w:rPr>
          <w:rFonts w:hint="eastAsia" w:hAnsi="宋体"/>
          <w:color w:val="auto"/>
          <w:highlight w:val="none"/>
          <w:lang w:eastAsia="zh-CN"/>
        </w:rPr>
        <w:t>六</w:t>
      </w:r>
      <w:r>
        <w:rPr>
          <w:rFonts w:hint="eastAsia" w:hAnsi="宋体"/>
          <w:color w:val="auto"/>
          <w:highlight w:val="none"/>
        </w:rPr>
        <w:t>章 响应文件</w:t>
      </w:r>
      <w:r>
        <w:rPr>
          <w:rFonts w:hint="eastAsia" w:hAnsi="宋体"/>
          <w:color w:val="auto"/>
          <w:highlight w:val="none"/>
          <w:lang w:eastAsia="zh-CN"/>
        </w:rPr>
        <w:t>组成</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color w:val="auto"/>
          <w:highlight w:val="none"/>
        </w:rPr>
      </w:pPr>
      <w:r>
        <w:rPr>
          <w:rFonts w:hint="eastAsia"/>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highlight w:val="none"/>
        </w:rPr>
        <w:t>7.3</w:t>
      </w:r>
      <w:r>
        <w:rPr>
          <w:rFonts w:hint="eastAsia" w:ascii="宋体" w:hAnsi="宋体"/>
          <w:color w:val="auto"/>
          <w:szCs w:val="21"/>
          <w:highlight w:val="none"/>
        </w:rPr>
        <w:t>谈判单位应仔细阅读</w:t>
      </w:r>
      <w:r>
        <w:rPr>
          <w:rFonts w:hint="eastAsia" w:ascii="宋体" w:hAnsi="宋体"/>
          <w:bCs/>
          <w:color w:val="auto"/>
          <w:szCs w:val="21"/>
          <w:highlight w:val="none"/>
        </w:rPr>
        <w:t>谈判</w:t>
      </w:r>
      <w:r>
        <w:rPr>
          <w:rFonts w:hint="eastAsia" w:ascii="宋体" w:hAnsi="宋体"/>
          <w:color w:val="auto"/>
          <w:szCs w:val="21"/>
          <w:highlight w:val="none"/>
        </w:rPr>
        <w:t>文件的全部内容，按照</w:t>
      </w:r>
      <w:r>
        <w:rPr>
          <w:rFonts w:hint="eastAsia" w:ascii="宋体" w:hAnsi="宋体"/>
          <w:bCs/>
          <w:color w:val="auto"/>
          <w:szCs w:val="21"/>
          <w:highlight w:val="none"/>
        </w:rPr>
        <w:t>谈判</w:t>
      </w:r>
      <w:r>
        <w:rPr>
          <w:rFonts w:hint="eastAsia" w:ascii="宋体" w:hAnsi="宋体"/>
          <w:color w:val="auto"/>
          <w:szCs w:val="21"/>
          <w:highlight w:val="none"/>
        </w:rPr>
        <w:t>文件要求编制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谈判</w:t>
      </w:r>
      <w:r>
        <w:rPr>
          <w:rFonts w:hint="eastAsia" w:ascii="宋体" w:hAnsi="宋体"/>
          <w:color w:val="auto"/>
          <w:szCs w:val="21"/>
          <w:highlight w:val="none"/>
        </w:rPr>
        <w:t>文件的忽略或误解不能作为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文件存在缺陷或瑕疵的理由，其风险由谈判单位承担。</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cs="宋体"/>
          <w:b/>
          <w:color w:val="auto"/>
          <w:kern w:val="0"/>
          <w:highlight w:val="none"/>
        </w:rPr>
      </w:pPr>
      <w:r>
        <w:rPr>
          <w:rFonts w:hint="eastAsia" w:ascii="宋体" w:hAnsi="宋体"/>
          <w:b/>
          <w:bCs/>
          <w:color w:val="auto"/>
          <w:szCs w:val="21"/>
          <w:highlight w:val="none"/>
        </w:rPr>
        <w:t>8.</w:t>
      </w:r>
      <w:r>
        <w:rPr>
          <w:rFonts w:hint="eastAsia" w:cs="宋体"/>
          <w:b/>
          <w:color w:val="auto"/>
          <w:kern w:val="0"/>
          <w:highlight w:val="none"/>
        </w:rPr>
        <w:t>谈判文件的澄清及答疑</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s="Courier New"/>
          <w:iCs/>
          <w:color w:val="auto"/>
          <w:szCs w:val="21"/>
          <w:highlight w:val="none"/>
        </w:rPr>
      </w:pPr>
      <w:r>
        <w:rPr>
          <w:rFonts w:hint="eastAsia" w:ascii="宋体" w:hAnsi="宋体" w:cs="Courier New"/>
          <w:iCs/>
          <w:color w:val="auto"/>
          <w:szCs w:val="21"/>
          <w:highlight w:val="none"/>
        </w:rPr>
        <w:t>8.1.谈判单位应仔细阅读和检查谈判文件的全部内容，如有疑问，</w:t>
      </w:r>
      <w:r>
        <w:rPr>
          <w:rFonts w:hint="eastAsia" w:ascii="宋体" w:hAnsi="宋体"/>
          <w:color w:val="auto"/>
          <w:szCs w:val="21"/>
          <w:highlight w:val="none"/>
        </w:rPr>
        <w:t>应按</w:t>
      </w:r>
      <w:r>
        <w:rPr>
          <w:rFonts w:hint="eastAsia" w:ascii="宋体" w:hAnsi="宋体"/>
          <w:b/>
          <w:bCs/>
          <w:color w:val="auto"/>
          <w:szCs w:val="21"/>
          <w:highlight w:val="none"/>
        </w:rPr>
        <w:t>前附表</w:t>
      </w:r>
      <w:r>
        <w:rPr>
          <w:rFonts w:hint="eastAsia" w:ascii="宋体" w:hAnsi="宋体"/>
          <w:color w:val="auto"/>
          <w:szCs w:val="21"/>
          <w:highlight w:val="none"/>
        </w:rPr>
        <w:t>规定的时间、方式及地点</w:t>
      </w:r>
      <w:r>
        <w:rPr>
          <w:rFonts w:hint="eastAsia" w:ascii="宋体" w:hAnsi="宋体" w:cs="Courier New"/>
          <w:iCs/>
          <w:color w:val="auto"/>
          <w:szCs w:val="21"/>
          <w:highlight w:val="none"/>
        </w:rPr>
        <w:t>向采购代理机构提出，</w:t>
      </w:r>
      <w:r>
        <w:rPr>
          <w:rFonts w:hint="eastAsia" w:ascii="宋体" w:hAnsi="宋体"/>
          <w:color w:val="auto"/>
          <w:szCs w:val="21"/>
          <w:highlight w:val="none"/>
        </w:rPr>
        <w:t>否则，由此引起的损失由谈判单位自己承担。</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s="Courier New"/>
          <w:iCs/>
          <w:color w:val="auto"/>
          <w:szCs w:val="21"/>
          <w:highlight w:val="none"/>
        </w:rPr>
      </w:pPr>
      <w:r>
        <w:rPr>
          <w:rFonts w:hint="eastAsia" w:ascii="宋体" w:hAnsi="宋体" w:cs="Courier New"/>
          <w:iCs/>
          <w:color w:val="auto"/>
          <w:szCs w:val="21"/>
          <w:highlight w:val="none"/>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8.3</w:t>
      </w:r>
      <w:r>
        <w:rPr>
          <w:rFonts w:hint="eastAsia" w:ascii="宋体" w:hAnsi="宋体" w:cs="宋体"/>
          <w:color w:val="auto"/>
          <w:kern w:val="0"/>
          <w:szCs w:val="21"/>
          <w:highlight w:val="none"/>
        </w:rPr>
        <w:t>澄清或者修改的内容可能影响响应文件编制的，采购单位或采购代理机构应当在提交响应文件截止之日3个工作日前，</w:t>
      </w:r>
      <w:r>
        <w:rPr>
          <w:rFonts w:hint="eastAsia" w:hAnsi="宋体" w:cs="宋体"/>
          <w:color w:val="auto"/>
          <w:kern w:val="0"/>
          <w:highlight w:val="none"/>
        </w:rPr>
        <w:t>在长沙市轨道交通集团有限公司官网</w:t>
      </w:r>
      <w:r>
        <w:rPr>
          <w:rFonts w:hint="eastAsia" w:ascii="宋体" w:hAnsi="宋体" w:eastAsia="宋体" w:cs="宋体"/>
          <w:kern w:val="0"/>
          <w:sz w:val="21"/>
          <w:szCs w:val="21"/>
        </w:rPr>
        <w:t>（http://www.hncsmtr.com/）</w:t>
      </w:r>
      <w:r>
        <w:rPr>
          <w:rFonts w:hint="eastAsia" w:hAnsi="宋体" w:cs="宋体"/>
          <w:color w:val="auto"/>
          <w:kern w:val="0"/>
          <w:highlight w:val="none"/>
        </w:rPr>
        <w:t>发布</w:t>
      </w:r>
      <w:r>
        <w:rPr>
          <w:rFonts w:hint="eastAsia" w:hAnsi="宋体" w:cs="宋体"/>
          <w:color w:val="auto"/>
          <w:kern w:val="0"/>
          <w:highlight w:val="none"/>
          <w:lang w:eastAsia="zh-CN"/>
        </w:rPr>
        <w:t>澄清或答疑文件及顺延谈判时间</w:t>
      </w:r>
      <w:r>
        <w:rPr>
          <w:rFonts w:hint="eastAsia" w:hAnsi="宋体" w:cs="宋体"/>
          <w:color w:val="auto"/>
          <w:kern w:val="0"/>
          <w:highlight w:val="none"/>
        </w:rPr>
        <w:t>，敬请获得谈判文件的所有谈判单位关注，恕不另行通知，如有遗漏采购单位或代理机构不负任何责任。</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b/>
          <w:color w:val="auto"/>
          <w:highlight w:val="none"/>
        </w:rPr>
      </w:pPr>
      <w:r>
        <w:rPr>
          <w:rFonts w:hint="eastAsia" w:ascii="宋体" w:hAnsi="宋体"/>
          <w:b/>
          <w:bCs/>
          <w:color w:val="auto"/>
          <w:szCs w:val="21"/>
          <w:highlight w:val="none"/>
        </w:rPr>
        <w:t>9.</w:t>
      </w:r>
      <w:r>
        <w:rPr>
          <w:rFonts w:hint="eastAsia" w:cs="宋体"/>
          <w:b/>
          <w:color w:val="auto"/>
          <w:kern w:val="0"/>
          <w:highlight w:val="none"/>
        </w:rPr>
        <w:t>响应文件递交截止时间、谈判会议时间及地点</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highlight w:val="none"/>
        </w:rPr>
      </w:pPr>
      <w:r>
        <w:rPr>
          <w:rFonts w:hint="eastAsia" w:hAnsi="宋体"/>
          <w:color w:val="auto"/>
          <w:highlight w:val="none"/>
        </w:rPr>
        <w:t>9.1</w:t>
      </w:r>
      <w:r>
        <w:rPr>
          <w:rFonts w:hint="eastAsia" w:hAnsi="宋体" w:cs="宋体"/>
          <w:color w:val="auto"/>
          <w:kern w:val="0"/>
          <w:highlight w:val="none"/>
        </w:rPr>
        <w:t>谈判单位递交响应文件截止时间、谈判会议</w:t>
      </w:r>
      <w:r>
        <w:rPr>
          <w:rFonts w:hint="eastAsia" w:hAnsi="宋体"/>
          <w:color w:val="auto"/>
          <w:highlight w:val="none"/>
        </w:rPr>
        <w:t>时间及地点见</w:t>
      </w:r>
      <w:r>
        <w:rPr>
          <w:rFonts w:hint="eastAsia" w:hAnsi="宋体"/>
          <w:b/>
          <w:color w:val="auto"/>
          <w:highlight w:val="none"/>
        </w:rPr>
        <w:t>前附表</w:t>
      </w:r>
      <w:r>
        <w:rPr>
          <w:rFonts w:hint="eastAsia" w:hAnsi="宋体"/>
          <w:color w:val="auto"/>
          <w:highlight w:val="none"/>
        </w:rPr>
        <w:t>。</w:t>
      </w:r>
    </w:p>
    <w:p>
      <w:pPr>
        <w:pStyle w:val="5"/>
        <w:keepNext w:val="0"/>
        <w:keepLines w:val="0"/>
        <w:pageBreakBefore w:val="0"/>
        <w:widowControl w:val="0"/>
        <w:kinsoku/>
        <w:wordWrap/>
        <w:overflowPunct/>
        <w:topLinePunct w:val="0"/>
        <w:bidi w:val="0"/>
        <w:spacing w:before="0" w:after="0" w:line="360" w:lineRule="auto"/>
        <w:ind w:right="0" w:rightChars="0"/>
        <w:rPr>
          <w:rFonts w:hint="eastAsia" w:ascii="宋体" w:hAnsi="宋体" w:eastAsia="宋体" w:cs="宋体"/>
          <w:sz w:val="21"/>
          <w:szCs w:val="21"/>
        </w:rPr>
      </w:pPr>
      <w:bookmarkStart w:id="6" w:name="_Toc24457"/>
      <w:r>
        <w:rPr>
          <w:rFonts w:hint="eastAsia" w:ascii="宋体" w:hAnsi="宋体" w:eastAsia="宋体" w:cs="宋体"/>
          <w:sz w:val="21"/>
          <w:szCs w:val="21"/>
        </w:rPr>
        <w:t>三、响应文件</w:t>
      </w:r>
      <w:bookmarkEnd w:id="6"/>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color w:val="auto"/>
          <w:szCs w:val="21"/>
          <w:highlight w:val="none"/>
        </w:rPr>
      </w:pPr>
      <w:r>
        <w:rPr>
          <w:rFonts w:hint="eastAsia" w:ascii="宋体" w:hAnsi="宋体"/>
          <w:b/>
          <w:bCs/>
          <w:color w:val="auto"/>
          <w:szCs w:val="21"/>
          <w:highlight w:val="none"/>
        </w:rPr>
        <w:t>10.一般要求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highlight w:val="none"/>
        </w:rPr>
      </w:pPr>
      <w:r>
        <w:rPr>
          <w:rFonts w:hint="eastAsia" w:ascii="宋体" w:hAnsi="宋体"/>
          <w:bCs/>
          <w:color w:val="auto"/>
          <w:szCs w:val="21"/>
          <w:highlight w:val="none"/>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highlight w:val="none"/>
        </w:rPr>
      </w:pPr>
      <w:r>
        <w:rPr>
          <w:rFonts w:hint="eastAsia" w:ascii="宋体" w:hAnsi="宋体"/>
          <w:bCs/>
          <w:color w:val="auto"/>
          <w:szCs w:val="21"/>
          <w:highlight w:val="none"/>
        </w:rPr>
        <w:t>10.2</w:t>
      </w:r>
      <w:r>
        <w:rPr>
          <w:rFonts w:hint="eastAsia" w:ascii="宋体" w:hAnsi="宋体"/>
          <w:color w:val="auto"/>
          <w:szCs w:val="21"/>
          <w:highlight w:val="none"/>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highlight w:val="none"/>
        </w:rPr>
      </w:pPr>
      <w:r>
        <w:rPr>
          <w:rFonts w:hint="eastAsia" w:hAnsi="宋体"/>
          <w:bCs/>
          <w:color w:val="auto"/>
          <w:highlight w:val="none"/>
        </w:rPr>
        <w:t>10.3</w:t>
      </w:r>
      <w:r>
        <w:rPr>
          <w:rFonts w:hint="eastAsia" w:hAnsi="宋体"/>
          <w:color w:val="auto"/>
          <w:highlight w:val="none"/>
        </w:rPr>
        <w:t>计量单位应使用我国法定计量单位，未列明时应默认为我国法定计量单位。</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highlight w:val="none"/>
        </w:rPr>
      </w:pPr>
      <w:r>
        <w:rPr>
          <w:rFonts w:hint="eastAsia" w:hAnsi="宋体"/>
          <w:color w:val="auto"/>
          <w:highlight w:val="none"/>
        </w:rPr>
        <w:t>10.4响应文件应采用书面形式，电报、传真、电子邮件形式的响应文件概不接受。</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10.5谈判单位提交的响应文件应按谈判文件中提供的响应文件格式编制。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color w:val="auto"/>
          <w:szCs w:val="21"/>
          <w:highlight w:val="none"/>
        </w:rPr>
      </w:pPr>
      <w:r>
        <w:rPr>
          <w:rFonts w:hint="eastAsia" w:ascii="宋体" w:hAnsi="宋体"/>
          <w:b/>
          <w:bCs/>
          <w:color w:val="auto"/>
          <w:szCs w:val="21"/>
          <w:highlight w:val="none"/>
        </w:rPr>
        <w:t>11.</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highlight w:val="none"/>
        </w:rPr>
        <w:t>11.1</w:t>
      </w:r>
      <w:r>
        <w:rPr>
          <w:rFonts w:hint="eastAsia" w:hAnsi="宋体"/>
          <w:color w:val="auto"/>
          <w:highlight w:val="none"/>
        </w:rPr>
        <w:t>响应文件应包括下列内容：</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highlight w:val="none"/>
        </w:rPr>
      </w:pPr>
      <w:r>
        <w:rPr>
          <w:rFonts w:hint="eastAsia" w:hAnsi="宋体"/>
          <w:color w:val="auto"/>
          <w:highlight w:val="none"/>
        </w:rPr>
        <w:t>（1）谈判承诺书</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hAnsi="宋体"/>
        </w:rPr>
        <w:t>（2）法定代表人身份证明书</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hAnsi="宋体"/>
        </w:rPr>
        <w:t>（3）授权委托书</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hAnsi="宋体"/>
        </w:rPr>
        <w:t>（4）谈判单位资格条件证明文件</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hAnsi="宋体" w:eastAsia="宋体"/>
          <w:highlight w:val="none"/>
          <w:lang w:eastAsia="zh-CN"/>
        </w:rPr>
      </w:pPr>
      <w:r>
        <w:rPr>
          <w:rFonts w:hint="eastAsia" w:hAnsi="宋体"/>
          <w:highlight w:val="none"/>
        </w:rPr>
        <w:t>（5）服务方案</w:t>
      </w:r>
      <w:r>
        <w:rPr>
          <w:rFonts w:hint="eastAsia" w:hAnsi="宋体"/>
          <w:highlight w:val="none"/>
          <w:lang w:eastAsia="zh-CN"/>
        </w:rPr>
        <w:t>（如有）</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hAnsi="宋体" w:eastAsia="宋体"/>
          <w:highlight w:val="none"/>
          <w:lang w:eastAsia="zh-CN"/>
        </w:rPr>
      </w:pPr>
      <w:r>
        <w:rPr>
          <w:rFonts w:hint="eastAsia" w:hAnsi="宋体"/>
          <w:highlight w:val="none"/>
        </w:rPr>
        <w:t>（6）报价一览表</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hAnsi="宋体"/>
        </w:rPr>
        <w:t>（</w:t>
      </w:r>
      <w:r>
        <w:rPr>
          <w:rFonts w:hint="eastAsia" w:hAnsi="宋体"/>
          <w:lang w:val="en-US" w:eastAsia="zh-CN"/>
        </w:rPr>
        <w:t>7</w:t>
      </w:r>
      <w:r>
        <w:rPr>
          <w:rFonts w:hint="eastAsia" w:hAnsi="宋体"/>
        </w:rPr>
        <w:t>）其他资料（如有）</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ascii="宋体" w:hAnsi="宋体"/>
        </w:rPr>
        <w:t>11.3</w:t>
      </w:r>
      <w:r>
        <w:rPr>
          <w:rFonts w:hint="eastAsia" w:ascii="宋体" w:hAnsi="宋体"/>
          <w:szCs w:val="21"/>
        </w:rPr>
        <w:t>谈判单位无论成交与否，其递交的响应文件均不予退还。</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color w:val="auto"/>
          <w:szCs w:val="21"/>
          <w:highlight w:val="none"/>
        </w:rPr>
      </w:pPr>
      <w:r>
        <w:rPr>
          <w:rFonts w:hint="eastAsia" w:ascii="宋体" w:hAnsi="宋体"/>
          <w:b/>
          <w:bCs/>
          <w:color w:val="auto"/>
          <w:szCs w:val="21"/>
          <w:highlight w:val="none"/>
        </w:rPr>
        <w:t>12.报价要求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highlight w:val="none"/>
        </w:rPr>
      </w:pPr>
      <w:r>
        <w:rPr>
          <w:rFonts w:hint="eastAsia" w:ascii="宋体" w:hAnsi="宋体"/>
          <w:color w:val="auto"/>
          <w:highlight w:val="none"/>
        </w:rPr>
        <w:t>12.1谈判单位应按</w:t>
      </w:r>
      <w:r>
        <w:rPr>
          <w:rFonts w:hint="eastAsia" w:hAnsi="宋体" w:cs="Times New Roman"/>
          <w:b/>
          <w:bCs/>
          <w:color w:val="auto"/>
          <w:sz w:val="21"/>
          <w:szCs w:val="21"/>
          <w:highlight w:val="none"/>
          <w:lang w:val="en-US" w:eastAsia="zh-CN"/>
        </w:rPr>
        <w:t>第六章</w:t>
      </w:r>
      <w:r>
        <w:rPr>
          <w:rFonts w:hint="eastAsia" w:ascii="宋体" w:hAnsi="宋体"/>
          <w:color w:val="auto"/>
          <w:highlight w:val="none"/>
        </w:rPr>
        <w:t>“响应文件格式”的要求在报价文件中进行报价。</w:t>
      </w:r>
      <w:r>
        <w:rPr>
          <w:rFonts w:hint="eastAsia" w:ascii="宋体" w:hAnsi="宋体"/>
          <w:color w:val="auto"/>
          <w:szCs w:val="21"/>
          <w:highlight w:val="none"/>
        </w:rPr>
        <w:t>谈判单位所报的总价及综合单价均不得超过谈判控制价</w:t>
      </w:r>
      <w:r>
        <w:rPr>
          <w:rFonts w:hint="eastAsia" w:ascii="宋体" w:hAnsi="宋体"/>
          <w:color w:val="auto"/>
          <w:highlight w:val="none"/>
        </w:rPr>
        <w:t>，</w:t>
      </w:r>
      <w:r>
        <w:rPr>
          <w:rFonts w:hint="eastAsia" w:ascii="宋体" w:hAnsi="宋体"/>
          <w:color w:val="auto"/>
          <w:szCs w:val="21"/>
          <w:highlight w:val="none"/>
        </w:rPr>
        <w:t>不超过谈判控制价的报价方为有效报价，</w:t>
      </w:r>
      <w:r>
        <w:rPr>
          <w:rFonts w:hint="eastAsia" w:ascii="宋体" w:hAnsi="宋体"/>
          <w:color w:val="auto"/>
          <w:highlight w:val="none"/>
        </w:rPr>
        <w:t>谈判时需明确税费，税率必须符合国家政策法规规定，合同支付时服务单位需开具经</w:t>
      </w:r>
      <w:r>
        <w:rPr>
          <w:rFonts w:hint="eastAsia" w:ascii="宋体" w:hAnsi="宋体"/>
          <w:b/>
          <w:color w:val="auto"/>
          <w:highlight w:val="none"/>
        </w:rPr>
        <w:t>采购单位</w:t>
      </w:r>
      <w:r>
        <w:rPr>
          <w:rFonts w:hint="eastAsia" w:ascii="宋体" w:hAnsi="宋体"/>
          <w:color w:val="auto"/>
          <w:highlight w:val="none"/>
        </w:rPr>
        <w:t>认可的合法完税单据。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12.2</w:t>
      </w:r>
      <w:r>
        <w:rPr>
          <w:rFonts w:hint="eastAsia" w:hAnsi="宋体"/>
          <w:color w:val="auto"/>
          <w:szCs w:val="21"/>
          <w:highlight w:val="none"/>
        </w:rPr>
        <w:t>谈判单位应充分了解该项目的总体情况以及影响谈判报价的其他要素。</w:t>
      </w:r>
      <w:r>
        <w:rPr>
          <w:rFonts w:hint="eastAsia" w:hAnsi="宋体"/>
          <w:b/>
          <w:color w:val="auto"/>
          <w:szCs w:val="21"/>
          <w:highlight w:val="none"/>
        </w:rPr>
        <w:t>最终结算以长沙市轨道交通</w:t>
      </w:r>
      <w:r>
        <w:rPr>
          <w:rFonts w:hint="eastAsia" w:hAnsi="宋体"/>
          <w:b/>
          <w:color w:val="auto"/>
          <w:szCs w:val="21"/>
          <w:highlight w:val="none"/>
          <w:lang w:eastAsia="zh-CN"/>
        </w:rPr>
        <w:t>运营</w:t>
      </w:r>
      <w:r>
        <w:rPr>
          <w:rFonts w:hint="eastAsia" w:hAnsi="宋体"/>
          <w:b/>
          <w:color w:val="auto"/>
          <w:szCs w:val="21"/>
          <w:highlight w:val="none"/>
        </w:rPr>
        <w:t>有限公司审核为准。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color w:val="auto"/>
          <w:szCs w:val="21"/>
          <w:highlight w:val="none"/>
        </w:rPr>
        <w:t>单位在</w:t>
      </w:r>
      <w:r>
        <w:rPr>
          <w:rFonts w:hint="eastAsia" w:ascii="宋体" w:hAnsi="宋体"/>
          <w:color w:val="auto"/>
          <w:szCs w:val="21"/>
          <w:highlight w:val="none"/>
        </w:rPr>
        <w:t>谈判</w:t>
      </w:r>
      <w:r>
        <w:rPr>
          <w:rFonts w:ascii="宋体" w:hAnsi="宋体"/>
          <w:color w:val="auto"/>
          <w:szCs w:val="21"/>
          <w:highlight w:val="none"/>
        </w:rPr>
        <w:t>截止时间前修改</w:t>
      </w:r>
      <w:r>
        <w:rPr>
          <w:rFonts w:hint="eastAsia" w:ascii="宋体" w:hAnsi="宋体"/>
          <w:color w:val="auto"/>
          <w:szCs w:val="21"/>
          <w:highlight w:val="none"/>
        </w:rPr>
        <w:t>报价文件</w:t>
      </w:r>
      <w:r>
        <w:rPr>
          <w:rFonts w:ascii="宋体" w:hAnsi="宋体"/>
          <w:color w:val="auto"/>
          <w:szCs w:val="21"/>
          <w:highlight w:val="none"/>
        </w:rPr>
        <w:t>中的</w:t>
      </w:r>
      <w:r>
        <w:rPr>
          <w:rFonts w:hint="eastAsia" w:ascii="宋体" w:hAnsi="宋体"/>
          <w:color w:val="auto"/>
          <w:szCs w:val="21"/>
          <w:highlight w:val="none"/>
        </w:rPr>
        <w:t>谈判总</w:t>
      </w:r>
      <w:r>
        <w:rPr>
          <w:rFonts w:ascii="宋体" w:hAnsi="宋体"/>
          <w:color w:val="auto"/>
          <w:szCs w:val="21"/>
          <w:highlight w:val="none"/>
        </w:rPr>
        <w:t>报价，应同时修改</w:t>
      </w:r>
      <w:r>
        <w:rPr>
          <w:rFonts w:hint="eastAsia" w:ascii="宋体" w:hAnsi="宋体"/>
          <w:color w:val="auto"/>
          <w:szCs w:val="21"/>
          <w:highlight w:val="none"/>
        </w:rPr>
        <w:t>报价</w:t>
      </w:r>
      <w:r>
        <w:rPr>
          <w:rFonts w:ascii="宋体" w:hAnsi="宋体"/>
          <w:color w:val="auto"/>
          <w:szCs w:val="21"/>
          <w:highlight w:val="none"/>
        </w:rPr>
        <w:t>文件</w:t>
      </w:r>
      <w:r>
        <w:rPr>
          <w:rFonts w:hint="eastAsia" w:ascii="宋体" w:hAnsi="宋体"/>
          <w:color w:val="auto"/>
          <w:szCs w:val="21"/>
          <w:highlight w:val="none"/>
        </w:rPr>
        <w:t>《报价一览表》和《分项价格表》</w:t>
      </w:r>
      <w:r>
        <w:rPr>
          <w:rFonts w:ascii="宋体" w:hAnsi="宋体"/>
          <w:color w:val="auto"/>
          <w:szCs w:val="21"/>
          <w:highlight w:val="none"/>
        </w:rPr>
        <w:t>中的相应报价。</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12.4本项目谈判控制价</w:t>
      </w:r>
      <w:r>
        <w:rPr>
          <w:rFonts w:hint="eastAsia" w:hAnsi="宋体"/>
          <w:color w:val="auto"/>
          <w:highlight w:val="none"/>
        </w:rPr>
        <w:t>见</w:t>
      </w:r>
      <w:r>
        <w:rPr>
          <w:rFonts w:hint="eastAsia" w:hAnsi="宋体"/>
          <w:b/>
          <w:color w:val="auto"/>
          <w:highlight w:val="none"/>
        </w:rPr>
        <w:t>前附表</w:t>
      </w:r>
      <w:r>
        <w:rPr>
          <w:rFonts w:hint="eastAsia" w:hAnsi="宋体"/>
          <w:color w:val="auto"/>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highlight w:val="none"/>
        </w:rPr>
      </w:pPr>
      <w:r>
        <w:rPr>
          <w:rFonts w:hint="eastAsia" w:ascii="宋体" w:hAnsi="宋体"/>
          <w:color w:val="auto"/>
          <w:szCs w:val="21"/>
          <w:highlight w:val="none"/>
        </w:rPr>
        <w:t>12.5除合同另有约定外，谈判报价作为中选价及合同价在合同履行期间是固定不变的，不受政策、法规变化以及汇率浮动、物价指数浮动等因素的影响。中选人不得以任何理由予以变更。</w:t>
      </w:r>
      <w:r>
        <w:rPr>
          <w:rFonts w:hint="eastAsia" w:hAnsi="宋体"/>
          <w:color w:val="auto"/>
          <w:highlight w:val="none"/>
        </w:rPr>
        <w:t>以可变动价格提交的报价将被认为是非实质响应而被拒绝。</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hAnsi="宋体"/>
        </w:rPr>
        <w:t>12.6谈判单位递交两份或多份内容不同的报价文件，或在一份报价文件中对同一项目报有两个或多个报价，且未声明哪一个有效的，将被认为是非实质响应而被拒绝。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FF0000"/>
          <w:szCs w:val="21"/>
        </w:rPr>
      </w:pPr>
      <w:r>
        <w:rPr>
          <w:rFonts w:hint="eastAsia" w:ascii="宋体" w:hAnsi="宋体"/>
          <w:bCs/>
          <w:szCs w:val="21"/>
        </w:rPr>
        <w:t>12.7</w:t>
      </w:r>
      <w:r>
        <w:rPr>
          <w:rFonts w:hint="eastAsia" w:ascii="宋体" w:hAnsi="宋体"/>
          <w:bCs/>
          <w:color w:val="auto"/>
          <w:szCs w:val="21"/>
          <w:highlight w:val="none"/>
        </w:rPr>
        <w:t>最低报价不能作为中选的保证</w:t>
      </w:r>
      <w:r>
        <w:rPr>
          <w:rFonts w:hint="eastAsia" w:ascii="宋体" w:hAnsi="宋体"/>
          <w:bCs/>
          <w:szCs w:val="21"/>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b w:val="0"/>
          <w:bCs w:val="0"/>
          <w:color w:val="auto"/>
          <w:highlight w:val="none"/>
        </w:rPr>
      </w:pPr>
      <w:r>
        <w:rPr>
          <w:rFonts w:hint="eastAsia" w:ascii="宋体" w:hAnsi="宋体"/>
          <w:b w:val="0"/>
          <w:bCs w:val="0"/>
          <w:color w:val="auto"/>
          <w:szCs w:val="21"/>
          <w:highlight w:val="none"/>
        </w:rPr>
        <w:t>12.8本项目采用总价方式</w:t>
      </w:r>
      <w:r>
        <w:rPr>
          <w:rFonts w:hint="eastAsia" w:ascii="宋体" w:hAnsi="宋体" w:cs="宋体"/>
          <w:b w:val="0"/>
          <w:bCs w:val="0"/>
          <w:color w:val="auto"/>
          <w:kern w:val="0"/>
          <w:szCs w:val="21"/>
          <w:highlight w:val="none"/>
        </w:rPr>
        <w:t>，</w:t>
      </w:r>
      <w:r>
        <w:rPr>
          <w:rFonts w:hint="eastAsia" w:ascii="宋体" w:hAnsi="宋体" w:cs="仿宋_GB2312"/>
          <w:b w:val="0"/>
          <w:bCs w:val="0"/>
          <w:color w:val="auto"/>
          <w:szCs w:val="21"/>
          <w:highlight w:val="none"/>
        </w:rPr>
        <w:t>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审定的结算价为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Cs w:val="21"/>
        </w:rPr>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Cs w:val="21"/>
        </w:rPr>
      </w:pPr>
      <w:r>
        <w:rPr>
          <w:rFonts w:hint="eastAsia" w:ascii="宋体" w:hAnsi="宋体"/>
          <w:b/>
          <w:bCs/>
          <w:szCs w:val="21"/>
        </w:rPr>
        <w:t>14.响应文件的编制</w:t>
      </w:r>
    </w:p>
    <w:p>
      <w:pPr>
        <w:pStyle w:val="215"/>
        <w:keepNext w:val="0"/>
        <w:keepLines w:val="0"/>
        <w:pageBreakBefore w:val="0"/>
        <w:widowControl w:val="0"/>
        <w:kinsoku/>
        <w:wordWrap/>
        <w:overflowPunct/>
        <w:topLinePunct w:val="0"/>
        <w:bidi w:val="0"/>
        <w:spacing w:line="360" w:lineRule="auto"/>
        <w:ind w:left="0" w:leftChars="0" w:right="0" w:rightChars="0" w:firstLine="420" w:firstLineChars="200"/>
        <w:jc w:val="both"/>
        <w:rPr>
          <w:rFonts w:hAnsi="宋体"/>
          <w:color w:val="auto"/>
          <w:sz w:val="21"/>
          <w:szCs w:val="21"/>
        </w:rPr>
      </w:pPr>
      <w:r>
        <w:rPr>
          <w:rFonts w:hint="eastAsia" w:hAnsi="宋体" w:cs="Times New Roman"/>
          <w:color w:val="auto"/>
          <w:sz w:val="21"/>
          <w:szCs w:val="21"/>
        </w:rPr>
        <w:t>14</w:t>
      </w:r>
      <w:r>
        <w:rPr>
          <w:rFonts w:hAnsi="宋体" w:cs="Times New Roman"/>
          <w:color w:val="auto"/>
          <w:sz w:val="21"/>
          <w:szCs w:val="21"/>
        </w:rPr>
        <w:t>.1</w:t>
      </w:r>
      <w:r>
        <w:rPr>
          <w:rFonts w:hint="eastAsia" w:hAnsi="宋体" w:cs="Times New Roman"/>
          <w:color w:val="auto"/>
          <w:sz w:val="21"/>
          <w:szCs w:val="21"/>
        </w:rPr>
        <w:t>响应</w:t>
      </w:r>
      <w:r>
        <w:rPr>
          <w:rFonts w:hAnsi="宋体" w:cs="Times New Roman"/>
          <w:color w:val="auto"/>
          <w:sz w:val="21"/>
          <w:szCs w:val="21"/>
        </w:rPr>
        <w:t>文件应按</w:t>
      </w:r>
      <w:r>
        <w:rPr>
          <w:rFonts w:hint="eastAsia" w:hAnsi="宋体" w:cs="Times New Roman"/>
          <w:b/>
          <w:bCs/>
          <w:color w:val="auto"/>
          <w:sz w:val="21"/>
          <w:szCs w:val="21"/>
          <w:highlight w:val="none"/>
          <w:lang w:val="en-US" w:eastAsia="zh-CN"/>
        </w:rPr>
        <w:t>第六章</w:t>
      </w:r>
      <w:r>
        <w:rPr>
          <w:rFonts w:hAnsi="宋体" w:cs="Times New Roman"/>
          <w:color w:val="auto"/>
          <w:sz w:val="21"/>
          <w:szCs w:val="21"/>
        </w:rPr>
        <w:t>“</w:t>
      </w:r>
      <w:r>
        <w:rPr>
          <w:rFonts w:hint="eastAsia" w:hAnsi="宋体" w:cs="Times New Roman"/>
          <w:color w:val="auto"/>
          <w:sz w:val="21"/>
          <w:szCs w:val="21"/>
        </w:rPr>
        <w:t>响应</w:t>
      </w:r>
      <w:r>
        <w:rPr>
          <w:rFonts w:hAnsi="宋体" w:cs="Times New Roman"/>
          <w:color w:val="auto"/>
          <w:sz w:val="21"/>
          <w:szCs w:val="21"/>
        </w:rPr>
        <w:t>文件格式”进行编写，</w:t>
      </w:r>
      <w:r>
        <w:rPr>
          <w:rFonts w:hAnsi="宋体"/>
          <w:color w:val="auto"/>
          <w:sz w:val="21"/>
          <w:szCs w:val="21"/>
        </w:rPr>
        <w:t>如有必要，可以增加附页，作为</w:t>
      </w:r>
      <w:r>
        <w:rPr>
          <w:rFonts w:hint="eastAsia" w:hAnsi="宋体"/>
          <w:color w:val="auto"/>
          <w:sz w:val="21"/>
          <w:szCs w:val="21"/>
        </w:rPr>
        <w:t>响应</w:t>
      </w:r>
      <w:r>
        <w:rPr>
          <w:rFonts w:hAnsi="宋体"/>
          <w:color w:val="auto"/>
          <w:sz w:val="21"/>
          <w:szCs w:val="21"/>
        </w:rPr>
        <w:t>文件的组成部分。</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rPr>
      </w:pPr>
      <w:r>
        <w:rPr>
          <w:rFonts w:hint="eastAsia" w:hAnsi="宋体"/>
          <w:color w:val="auto"/>
        </w:rPr>
        <w:t>14.2响应</w:t>
      </w:r>
      <w:r>
        <w:rPr>
          <w:rFonts w:hAnsi="宋体"/>
          <w:color w:val="auto"/>
        </w:rPr>
        <w:t>文件</w:t>
      </w:r>
      <w:r>
        <w:rPr>
          <w:rFonts w:hint="eastAsia" w:hAnsi="宋体"/>
          <w:color w:val="auto"/>
        </w:rPr>
        <w:t>应用不褪色的材料书写或打印（建议</w:t>
      </w:r>
      <w:r>
        <w:rPr>
          <w:rFonts w:hAnsi="宋体"/>
          <w:color w:val="auto"/>
        </w:rPr>
        <w:t>双面打印</w:t>
      </w:r>
      <w:r>
        <w:rPr>
          <w:rFonts w:hint="eastAsia" w:hAnsi="宋体"/>
          <w:color w:val="auto"/>
        </w:rPr>
        <w:t>），并按</w:t>
      </w:r>
      <w:r>
        <w:rPr>
          <w:rFonts w:hint="eastAsia" w:hAnsi="宋体" w:cs="Times New Roman"/>
          <w:b/>
          <w:bCs/>
          <w:color w:val="auto"/>
          <w:sz w:val="21"/>
          <w:szCs w:val="21"/>
          <w:highlight w:val="none"/>
          <w:lang w:val="en-US" w:eastAsia="zh-CN"/>
        </w:rPr>
        <w:t>第六章</w:t>
      </w:r>
      <w:r>
        <w:rPr>
          <w:rFonts w:hint="eastAsia" w:hAnsi="宋体"/>
          <w:color w:val="auto"/>
        </w:rPr>
        <w:t>“响应文件格式”的要求进行签字和（或）盖章。对响应文件的澄清、说明和补正应由谈判单位的法定代表人或其授权的代理人签字或盖单位公章。由谈判单位的法定代表人签字（或盖章</w:t>
      </w:r>
      <w:r>
        <w:rPr>
          <w:rFonts w:hint="eastAsia" w:hAnsi="宋体"/>
          <w:color w:val="auto"/>
          <w:highlight w:val="none"/>
        </w:rPr>
        <w:t>）的，应附法定代表人身份证明书，由代理人签字的，应附授权委托书。法定代表人身份证明书或授权委托书应符合</w:t>
      </w:r>
      <w:r>
        <w:rPr>
          <w:rFonts w:hint="eastAsia" w:hAnsi="宋体" w:cs="Times New Roman"/>
          <w:b/>
          <w:bCs/>
          <w:color w:val="auto"/>
          <w:sz w:val="21"/>
          <w:szCs w:val="21"/>
          <w:highlight w:val="none"/>
          <w:lang w:val="en-US" w:eastAsia="zh-CN"/>
        </w:rPr>
        <w:t>第六章</w:t>
      </w:r>
      <w:r>
        <w:rPr>
          <w:rFonts w:hAnsi="宋体"/>
          <w:color w:val="auto"/>
          <w:highlight w:val="none"/>
        </w:rPr>
        <w:t>“</w:t>
      </w:r>
      <w:r>
        <w:rPr>
          <w:rFonts w:hint="eastAsia" w:hAnsi="宋体"/>
          <w:color w:val="auto"/>
        </w:rPr>
        <w:t>响应文件格式</w:t>
      </w:r>
      <w:r>
        <w:rPr>
          <w:rFonts w:hAnsi="宋体"/>
          <w:color w:val="auto"/>
        </w:rPr>
        <w:t>”</w:t>
      </w:r>
      <w:r>
        <w:rPr>
          <w:rFonts w:hint="eastAsia" w:hAnsi="宋体"/>
          <w:color w:val="auto"/>
        </w:rPr>
        <w:t>的要求。</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rPr>
      </w:pPr>
      <w:r>
        <w:rPr>
          <w:rFonts w:hint="eastAsia" w:hAnsi="宋体"/>
          <w:color w:val="auto"/>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rPr>
      </w:pPr>
      <w:r>
        <w:rPr>
          <w:rFonts w:hint="eastAsia" w:hAnsi="宋体"/>
          <w:color w:val="auto"/>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hAnsi="宋体"/>
          <w:color w:val="auto"/>
        </w:rPr>
        <w:t>若</w:t>
      </w:r>
      <w:r>
        <w:rPr>
          <w:rFonts w:hint="eastAsia" w:hAnsi="宋体"/>
          <w:color w:val="auto"/>
        </w:rPr>
        <w:t>响应</w:t>
      </w:r>
      <w:r>
        <w:rPr>
          <w:rFonts w:hAnsi="宋体"/>
          <w:color w:val="auto"/>
        </w:rPr>
        <w:t>文件副本</w:t>
      </w:r>
      <w:r>
        <w:rPr>
          <w:rFonts w:hint="eastAsia" w:hAnsi="宋体"/>
          <w:color w:val="auto"/>
        </w:rPr>
        <w:t>为</w:t>
      </w:r>
      <w:r>
        <w:rPr>
          <w:rFonts w:hAnsi="宋体"/>
          <w:color w:val="auto"/>
        </w:rPr>
        <w:t>正本的复印件，</w:t>
      </w:r>
      <w:r>
        <w:rPr>
          <w:rFonts w:hint="eastAsia" w:hAnsi="宋体"/>
          <w:color w:val="auto"/>
        </w:rPr>
        <w:t>还</w:t>
      </w:r>
      <w:r>
        <w:rPr>
          <w:rFonts w:hAnsi="宋体"/>
          <w:color w:val="auto"/>
        </w:rPr>
        <w:t>需</w:t>
      </w:r>
      <w:r>
        <w:rPr>
          <w:rFonts w:hint="eastAsia" w:hAnsi="宋体"/>
          <w:color w:val="auto"/>
        </w:rPr>
        <w:t>在谈判文件</w:t>
      </w:r>
      <w:r>
        <w:rPr>
          <w:rFonts w:hAnsi="宋体"/>
          <w:color w:val="auto"/>
        </w:rPr>
        <w:t>要求盖章处加盖单位公章。</w:t>
      </w:r>
      <w:r>
        <w:rPr>
          <w:rFonts w:hint="eastAsia" w:hAnsi="宋体"/>
          <w:color w:val="auto"/>
        </w:rPr>
        <w:t>当正本和副本有差异时，以正本为准。</w:t>
      </w:r>
    </w:p>
    <w:p>
      <w:pPr>
        <w:pStyle w:val="5"/>
        <w:keepNext w:val="0"/>
        <w:keepLines w:val="0"/>
        <w:pageBreakBefore w:val="0"/>
        <w:widowControl w:val="0"/>
        <w:kinsoku/>
        <w:wordWrap/>
        <w:overflowPunct/>
        <w:topLinePunct w:val="0"/>
        <w:bidi w:val="0"/>
        <w:spacing w:before="0" w:after="0" w:line="360" w:lineRule="auto"/>
        <w:ind w:right="0" w:rightChars="0"/>
        <w:rPr>
          <w:rFonts w:hint="eastAsia" w:ascii="宋体" w:hAnsi="宋体" w:eastAsia="宋体" w:cs="宋体"/>
          <w:sz w:val="21"/>
          <w:szCs w:val="21"/>
        </w:rPr>
      </w:pPr>
      <w:bookmarkStart w:id="7" w:name="_Toc664"/>
      <w:r>
        <w:rPr>
          <w:rFonts w:hint="eastAsia" w:ascii="宋体" w:hAnsi="宋体" w:eastAsia="宋体" w:cs="宋体"/>
          <w:sz w:val="21"/>
          <w:szCs w:val="21"/>
        </w:rPr>
        <w:t>四、响应文件的递交</w:t>
      </w:r>
      <w:bookmarkEnd w:id="7"/>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ascii="宋体" w:hAnsi="宋体"/>
          <w:b/>
          <w:bCs/>
          <w:color w:val="auto"/>
          <w:szCs w:val="21"/>
        </w:rPr>
      </w:pPr>
      <w:r>
        <w:rPr>
          <w:rFonts w:hint="eastAsia"/>
          <w:color w:val="auto"/>
        </w:rPr>
        <w:t>15.1谈判单位须将响应文件一正两副与电子文件一起密封包装。</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color w:val="auto"/>
          <w:szCs w:val="21"/>
        </w:rPr>
      </w:pPr>
      <w:r>
        <w:rPr>
          <w:rFonts w:hint="eastAsia" w:ascii="宋体" w:hAnsi="宋体"/>
          <w:b/>
          <w:bCs/>
          <w:color w:val="auto"/>
          <w:szCs w:val="21"/>
        </w:rPr>
        <w:t>16.响应文件的标记</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ascii="宋体" w:hAnsi="宋体"/>
          <w:b w:val="0"/>
          <w:bCs w:val="0"/>
          <w:color w:val="auto"/>
          <w:szCs w:val="21"/>
        </w:rPr>
      </w:pPr>
      <w:r>
        <w:rPr>
          <w:rFonts w:hint="eastAsia" w:ascii="宋体" w:hAnsi="宋体"/>
          <w:color w:val="auto"/>
          <w:szCs w:val="21"/>
        </w:rPr>
        <w:t>16.1</w:t>
      </w:r>
      <w:r>
        <w:rPr>
          <w:rFonts w:hint="eastAsia" w:ascii="宋体" w:hAnsi="宋体"/>
          <w:bCs/>
          <w:color w:val="auto"/>
          <w:szCs w:val="21"/>
        </w:rPr>
        <w:t>响应文件的密封封套上须写明如下内容</w:t>
      </w:r>
      <w:r>
        <w:rPr>
          <w:rFonts w:hint="eastAsia" w:ascii="宋体" w:hAnsi="宋体"/>
          <w:b w:val="0"/>
          <w:bCs w:val="0"/>
          <w:color w:val="auto"/>
          <w:szCs w:val="21"/>
        </w:rPr>
        <w:t>。</w:t>
      </w:r>
    </w:p>
    <w:tbl>
      <w:tblPr>
        <w:tblStyle w:val="46"/>
        <w:tblW w:w="7938" w:type="dxa"/>
        <w:jc w:val="center"/>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7938" w:type="dxa"/>
            <w:vAlign w:val="top"/>
          </w:tcPr>
          <w:p>
            <w:pPr>
              <w:keepNext w:val="0"/>
              <w:keepLines w:val="0"/>
              <w:pageBreakBefore w:val="0"/>
              <w:widowControl w:val="0"/>
              <w:kinsoku/>
              <w:wordWrap/>
              <w:overflowPunct/>
              <w:topLinePunct w:val="0"/>
              <w:bidi w:val="0"/>
              <w:spacing w:before="0" w:beforeAutospacing="0" w:after="0" w:afterAutospacing="0" w:line="360" w:lineRule="auto"/>
              <w:ind w:left="0" w:leftChars="0" w:right="0" w:rightChars="0" w:firstLine="420" w:firstLineChars="200"/>
              <w:rPr>
                <w:rFonts w:ascii="宋体" w:hAnsi="宋体"/>
                <w:color w:val="auto"/>
                <w:szCs w:val="21"/>
                <w:u w:val="single"/>
              </w:rPr>
            </w:pPr>
            <w:r>
              <w:rPr>
                <w:rFonts w:hint="eastAsia" w:ascii="宋体" w:hAnsi="宋体"/>
                <w:color w:val="auto"/>
                <w:szCs w:val="21"/>
              </w:rPr>
              <w:t>采购单位：</w:t>
            </w:r>
          </w:p>
          <w:p>
            <w:pPr>
              <w:keepNext w:val="0"/>
              <w:keepLines w:val="0"/>
              <w:pageBreakBefore w:val="0"/>
              <w:widowControl w:val="0"/>
              <w:kinsoku/>
              <w:wordWrap/>
              <w:overflowPunct/>
              <w:topLinePunct w:val="0"/>
              <w:bidi w:val="0"/>
              <w:spacing w:before="0" w:beforeAutospacing="0" w:after="0" w:afterAutospacing="0" w:line="360" w:lineRule="auto"/>
              <w:ind w:left="0" w:leftChars="0" w:right="0" w:rightChars="0" w:firstLine="420" w:firstLineChars="200"/>
              <w:rPr>
                <w:rFonts w:ascii="宋体" w:hAnsi="宋体"/>
                <w:color w:val="auto"/>
                <w:szCs w:val="21"/>
                <w:u w:val="single"/>
              </w:rPr>
            </w:pPr>
            <w:r>
              <w:rPr>
                <w:rFonts w:hint="eastAsia" w:ascii="宋体" w:hAnsi="宋体"/>
                <w:color w:val="auto"/>
                <w:szCs w:val="21"/>
              </w:rPr>
              <w:t>项目名称：</w:t>
            </w:r>
          </w:p>
          <w:p>
            <w:pPr>
              <w:keepNext w:val="0"/>
              <w:keepLines w:val="0"/>
              <w:pageBreakBefore w:val="0"/>
              <w:widowControl w:val="0"/>
              <w:kinsoku/>
              <w:wordWrap/>
              <w:overflowPunct/>
              <w:topLinePunct w:val="0"/>
              <w:bidi w:val="0"/>
              <w:spacing w:before="0" w:beforeAutospacing="0" w:after="0" w:afterAutospacing="0" w:line="360" w:lineRule="auto"/>
              <w:ind w:left="0" w:leftChars="0" w:right="0" w:rightChars="0" w:firstLine="420" w:firstLineChars="200"/>
              <w:rPr>
                <w:rFonts w:ascii="宋体" w:hAnsi="宋体"/>
                <w:color w:val="auto"/>
                <w:szCs w:val="21"/>
                <w:u w:val="single"/>
              </w:rPr>
            </w:pPr>
            <w:r>
              <w:rPr>
                <w:rFonts w:hint="eastAsia" w:ascii="宋体" w:hAnsi="宋体"/>
                <w:color w:val="auto"/>
                <w:szCs w:val="21"/>
              </w:rPr>
              <w:t>谈判单位：</w:t>
            </w:r>
            <w:r>
              <w:rPr>
                <w:rFonts w:hint="eastAsia" w:ascii="宋体" w:hAnsi="宋体"/>
                <w:color w:val="auto"/>
                <w:szCs w:val="21"/>
                <w:u w:val="single"/>
              </w:rPr>
              <w:t>（填写单位名称并加盖单位公章）</w:t>
            </w:r>
          </w:p>
          <w:p>
            <w:pPr>
              <w:keepNext w:val="0"/>
              <w:keepLines w:val="0"/>
              <w:pageBreakBefore w:val="0"/>
              <w:widowControl w:val="0"/>
              <w:kinsoku/>
              <w:wordWrap/>
              <w:overflowPunct/>
              <w:topLinePunct w:val="0"/>
              <w:bidi w:val="0"/>
              <w:spacing w:before="0" w:beforeAutospacing="0" w:after="0" w:afterAutospacing="0" w:line="360" w:lineRule="auto"/>
              <w:ind w:left="0" w:leftChars="0" w:right="0" w:rightChars="0" w:firstLine="420" w:firstLineChars="200"/>
              <w:rPr>
                <w:rFonts w:ascii="宋体" w:hAnsi="宋体"/>
                <w:color w:val="auto"/>
                <w:szCs w:val="21"/>
              </w:rPr>
            </w:pPr>
            <w:r>
              <w:rPr>
                <w:rFonts w:hint="eastAsia" w:ascii="宋体" w:hAnsi="宋体"/>
                <w:bCs/>
                <w:color w:val="auto"/>
                <w:szCs w:val="21"/>
              </w:rPr>
              <w:t>年</w:t>
            </w:r>
            <w:r>
              <w:rPr>
                <w:rFonts w:hint="eastAsia" w:ascii="宋体" w:hAnsi="宋体"/>
                <w:bCs/>
                <w:color w:val="auto"/>
                <w:szCs w:val="21"/>
                <w:lang w:val="en-US" w:eastAsia="zh-CN"/>
              </w:rPr>
              <w:t xml:space="preserve">     </w:t>
            </w:r>
            <w:r>
              <w:rPr>
                <w:rFonts w:hint="eastAsia" w:ascii="宋体" w:hAnsi="宋体"/>
                <w:bCs/>
                <w:color w:val="auto"/>
                <w:szCs w:val="21"/>
              </w:rPr>
              <w:t>月</w:t>
            </w:r>
            <w:r>
              <w:rPr>
                <w:rFonts w:hint="eastAsia" w:ascii="宋体" w:hAnsi="宋体"/>
                <w:bCs/>
                <w:color w:val="auto"/>
                <w:szCs w:val="21"/>
                <w:lang w:val="en-US" w:eastAsia="zh-CN"/>
              </w:rPr>
              <w:t xml:space="preserve">     </w:t>
            </w:r>
            <w:r>
              <w:rPr>
                <w:rFonts w:hint="eastAsia" w:ascii="宋体" w:hAnsi="宋体"/>
                <w:bCs/>
                <w:color w:val="auto"/>
                <w:szCs w:val="21"/>
              </w:rPr>
              <w:t>日</w:t>
            </w:r>
          </w:p>
        </w:tc>
      </w:tr>
    </w:tbl>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Cs w:val="21"/>
        </w:rPr>
      </w:pPr>
      <w:r>
        <w:rPr>
          <w:rFonts w:hint="eastAsia" w:ascii="宋体" w:hAnsi="宋体"/>
          <w:b/>
          <w:bCs/>
          <w:szCs w:val="21"/>
        </w:rPr>
        <w:t>17.响应文件的递交</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5"/>
        <w:keepNext w:val="0"/>
        <w:keepLines w:val="0"/>
        <w:pageBreakBefore w:val="0"/>
        <w:widowControl w:val="0"/>
        <w:kinsoku/>
        <w:wordWrap/>
        <w:overflowPunct/>
        <w:topLinePunct w:val="0"/>
        <w:bidi w:val="0"/>
        <w:spacing w:before="0" w:after="0" w:line="360" w:lineRule="auto"/>
        <w:ind w:right="0" w:rightChars="0"/>
        <w:rPr>
          <w:rFonts w:hint="eastAsia" w:ascii="宋体" w:hAnsi="宋体" w:eastAsia="宋体" w:cs="宋体"/>
          <w:sz w:val="21"/>
          <w:szCs w:val="21"/>
        </w:rPr>
      </w:pPr>
      <w:bookmarkStart w:id="8" w:name="_Toc4809"/>
      <w:r>
        <w:rPr>
          <w:rFonts w:hint="eastAsia" w:ascii="宋体" w:hAnsi="宋体" w:eastAsia="宋体" w:cs="宋体"/>
          <w:sz w:val="21"/>
          <w:szCs w:val="21"/>
        </w:rPr>
        <w:t>五、响应文件的评审</w:t>
      </w:r>
      <w:bookmarkEnd w:id="8"/>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黑体" w:hAnsi="宋体" w:eastAsia="黑体"/>
          <w:b/>
          <w:sz w:val="24"/>
        </w:rPr>
      </w:pPr>
      <w:r>
        <w:rPr>
          <w:rFonts w:hint="eastAsia" w:ascii="宋体" w:hAnsi="宋体"/>
          <w:b w:val="0"/>
          <w:bCs w:val="0"/>
          <w:color w:val="auto"/>
          <w:szCs w:val="21"/>
        </w:rPr>
        <w:t>18.</w:t>
      </w:r>
      <w:r>
        <w:rPr>
          <w:rFonts w:hint="eastAsia" w:ascii="宋体" w:hAnsi="宋体"/>
          <w:bCs/>
          <w:color w:val="auto"/>
          <w:szCs w:val="21"/>
        </w:rPr>
        <w:t>评审由谈判评审小组负责，谈判评审小组应按照本谈判文件第三章“评审办法及标</w:t>
      </w:r>
      <w:r>
        <w:rPr>
          <w:rFonts w:hint="eastAsia" w:ascii="宋体" w:hAnsi="宋体"/>
          <w:bCs/>
          <w:szCs w:val="21"/>
        </w:rPr>
        <w:t>准”的内容和程序对响应文件进行评审。</w:t>
      </w:r>
    </w:p>
    <w:p>
      <w:pPr>
        <w:pStyle w:val="5"/>
        <w:keepNext w:val="0"/>
        <w:keepLines w:val="0"/>
        <w:pageBreakBefore w:val="0"/>
        <w:widowControl w:val="0"/>
        <w:kinsoku/>
        <w:wordWrap/>
        <w:overflowPunct/>
        <w:topLinePunct w:val="0"/>
        <w:bidi w:val="0"/>
        <w:spacing w:before="0" w:after="0" w:line="360" w:lineRule="auto"/>
        <w:ind w:right="0" w:rightChars="0"/>
        <w:rPr>
          <w:rFonts w:hint="eastAsia" w:ascii="宋体" w:hAnsi="宋体" w:eastAsia="宋体" w:cs="宋体"/>
          <w:sz w:val="21"/>
          <w:szCs w:val="21"/>
        </w:rPr>
      </w:pPr>
      <w:bookmarkStart w:id="9" w:name="_Toc25543"/>
      <w:r>
        <w:rPr>
          <w:rFonts w:hint="eastAsia" w:ascii="宋体" w:hAnsi="宋体" w:eastAsia="宋体" w:cs="宋体"/>
          <w:sz w:val="21"/>
          <w:szCs w:val="21"/>
        </w:rPr>
        <w:t>六、响应文件的澄清、说明及补正</w:t>
      </w:r>
      <w:bookmarkEnd w:id="9"/>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b/>
          <w:kern w:val="0"/>
          <w:szCs w:val="21"/>
        </w:rPr>
      </w:pPr>
      <w:r>
        <w:rPr>
          <w:rFonts w:hint="eastAsia" w:ascii="宋体" w:hAnsi="宋体" w:cs="宋体"/>
          <w:b/>
          <w:kern w:val="0"/>
          <w:szCs w:val="21"/>
        </w:rPr>
        <w:t>19.澄清</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kern w:val="0"/>
          <w:szCs w:val="21"/>
        </w:rPr>
      </w:pPr>
      <w:r>
        <w:rPr>
          <w:rFonts w:hint="eastAsia" w:ascii="宋体" w:hAnsi="宋体" w:cs="宋体"/>
          <w:color w:val="auto"/>
          <w:kern w:val="0"/>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b/>
          <w:color w:val="auto"/>
          <w:kern w:val="0"/>
          <w:szCs w:val="21"/>
        </w:rPr>
      </w:pPr>
      <w:r>
        <w:rPr>
          <w:rFonts w:hint="eastAsia" w:ascii="宋体" w:hAnsi="宋体" w:cs="宋体"/>
          <w:b/>
          <w:color w:val="auto"/>
          <w:kern w:val="0"/>
          <w:szCs w:val="21"/>
        </w:rPr>
        <w:t>20.说明及补正</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kern w:val="0"/>
          <w:szCs w:val="21"/>
        </w:rPr>
      </w:pPr>
      <w:r>
        <w:rPr>
          <w:rFonts w:hint="eastAsia" w:ascii="宋体" w:hAnsi="宋体" w:cs="宋体"/>
          <w:color w:val="auto"/>
          <w:kern w:val="0"/>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kern w:val="0"/>
          <w:szCs w:val="21"/>
        </w:rPr>
      </w:pPr>
      <w:r>
        <w:rPr>
          <w:rFonts w:hint="eastAsia" w:ascii="宋体" w:hAnsi="宋体" w:cs="宋体"/>
          <w:color w:val="auto"/>
          <w:kern w:val="0"/>
          <w:szCs w:val="21"/>
        </w:rPr>
        <w:t>20.2谈判单位对响应文件的澄清不得改变谈判报价及实质内容。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ascii="黑体" w:hAnsi="宋体" w:eastAsia="黑体"/>
          <w:b/>
          <w:color w:val="auto"/>
          <w:sz w:val="24"/>
        </w:rPr>
      </w:pPr>
      <w:r>
        <w:rPr>
          <w:rFonts w:hint="eastAsia" w:ascii="宋体" w:hAnsi="宋体" w:cs="宋体"/>
          <w:color w:val="auto"/>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pPr>
        <w:pStyle w:val="5"/>
        <w:keepNext w:val="0"/>
        <w:keepLines w:val="0"/>
        <w:pageBreakBefore w:val="0"/>
        <w:widowControl w:val="0"/>
        <w:kinsoku/>
        <w:wordWrap/>
        <w:overflowPunct/>
        <w:topLinePunct w:val="0"/>
        <w:bidi w:val="0"/>
        <w:spacing w:before="0" w:after="0" w:line="360" w:lineRule="auto"/>
        <w:ind w:right="0" w:rightChars="0"/>
        <w:rPr>
          <w:rFonts w:hint="eastAsia" w:ascii="宋体" w:hAnsi="宋体" w:eastAsia="宋体" w:cs="宋体"/>
          <w:sz w:val="21"/>
          <w:szCs w:val="21"/>
        </w:rPr>
      </w:pPr>
      <w:bookmarkStart w:id="10" w:name="_Toc25353"/>
      <w:r>
        <w:rPr>
          <w:rFonts w:hint="eastAsia" w:ascii="宋体" w:hAnsi="宋体" w:eastAsia="宋体" w:cs="宋体"/>
          <w:sz w:val="21"/>
          <w:szCs w:val="21"/>
        </w:rPr>
        <w:t>七、中选结果与授予合同</w:t>
      </w:r>
      <w:bookmarkEnd w:id="10"/>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Cs w:val="21"/>
        </w:rPr>
      </w:pPr>
      <w:r>
        <w:rPr>
          <w:rFonts w:hint="eastAsia" w:ascii="宋体" w:hAnsi="宋体"/>
          <w:b/>
          <w:bCs/>
          <w:szCs w:val="21"/>
        </w:rPr>
        <w:t>21.中选信息的公布</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rPr>
      </w:pPr>
      <w:r>
        <w:rPr>
          <w:rFonts w:hint="eastAsia" w:hAnsi="宋体"/>
          <w:color w:val="auto"/>
        </w:rPr>
        <w:t>21.1中选单位确定后，采购单位应将结果信息在</w:t>
      </w:r>
      <w:r>
        <w:rPr>
          <w:rFonts w:hint="eastAsia" w:hAnsi="宋体"/>
          <w:b/>
          <w:color w:val="auto"/>
        </w:rPr>
        <w:t>前附表</w:t>
      </w:r>
      <w:r>
        <w:rPr>
          <w:rFonts w:hint="eastAsia" w:hAnsi="宋体"/>
          <w:color w:val="auto"/>
        </w:rPr>
        <w:t>指定的媒体上公布，</w:t>
      </w:r>
      <w:r>
        <w:rPr>
          <w:rFonts w:hint="eastAsia" w:hAnsi="宋体"/>
          <w:b/>
          <w:bCs/>
          <w:color w:val="auto"/>
        </w:rPr>
        <w:t>公示期限为3个工作日</w:t>
      </w:r>
      <w:r>
        <w:rPr>
          <w:rFonts w:hint="eastAsia" w:hAnsi="宋体"/>
          <w:color w:val="auto"/>
        </w:rPr>
        <w:t>。</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pPr>
      <w:r>
        <w:rPr>
          <w:rFonts w:hint="eastAsia" w:hAnsi="宋体"/>
          <w:b/>
          <w:bCs/>
          <w:color w:val="auto"/>
        </w:rPr>
        <w:t>22.评审结果异议</w:t>
      </w:r>
      <w:r>
        <w:rPr>
          <w:rFonts w:ascii="宋体" w:hAnsi="宋体" w:eastAsia="宋体" w:cs="宋体"/>
          <w:kern w:val="0"/>
          <w:sz w:val="24"/>
          <w:szCs w:val="24"/>
          <w:lang w:val="en-US" w:eastAsia="zh-CN"/>
        </w:rPr>
        <w:br w:type="textWrapping"/>
      </w:r>
      <w:r>
        <w:rPr>
          <w:rFonts w:hint="eastAsia" w:hAnsi="宋体"/>
          <w:highlight w:val="none"/>
          <w:lang w:val="en-US" w:eastAsia="zh-CN"/>
        </w:rPr>
        <w:t>22.1谈判单位对评审结果有异议的，应当在结果公示期间提出。</w:t>
      </w:r>
      <w:r>
        <w:rPr>
          <w:rFonts w:hint="eastAsia" w:hAnsi="宋体"/>
          <w:highlight w:val="none"/>
          <w:lang w:val="en-US" w:eastAsia="zh-CN"/>
        </w:rPr>
        <w:br w:type="textWrapping"/>
      </w:r>
      <w:r>
        <w:rPr>
          <w:rFonts w:hint="eastAsia" w:hAnsi="宋体"/>
          <w:highlight w:val="none"/>
          <w:lang w:val="en-US" w:eastAsia="zh-CN"/>
        </w:rPr>
        <w:t>22.2异议的提出与处理按相关规定执行。</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Cs w:val="21"/>
        </w:rPr>
      </w:pPr>
      <w:r>
        <w:rPr>
          <w:rFonts w:hint="eastAsia" w:ascii="宋体" w:hAnsi="宋体"/>
          <w:b/>
          <w:bCs/>
          <w:szCs w:val="21"/>
        </w:rPr>
        <w:t>23.中选通知</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hAnsi="宋体"/>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Cs w:val="21"/>
        </w:rPr>
      </w:pPr>
      <w:r>
        <w:rPr>
          <w:rFonts w:hint="eastAsia" w:ascii="宋体" w:hAnsi="宋体"/>
          <w:b/>
          <w:bCs/>
          <w:szCs w:val="21"/>
        </w:rPr>
        <w:t>24.签订合同</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hAnsi="宋体"/>
        </w:rPr>
        <w:t>24.1谈判文件、中选单位的响应文件及其补充的文件等均为签订合同的依据。</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hAnsi="宋体"/>
        </w:rPr>
        <w:t>24.2中选单位应当在中选通知书发出后及时与采购单位签订合同。</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rPr>
      </w:pPr>
      <w:r>
        <w:rPr>
          <w:rFonts w:hint="eastAsia" w:hAnsi="宋体"/>
        </w:rPr>
        <w:t>24.3中选单位应当按照合同约定履行义务。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color w:val="auto"/>
          <w:szCs w:val="21"/>
        </w:rPr>
      </w:pPr>
      <w:r>
        <w:rPr>
          <w:rFonts w:hint="eastAsia" w:ascii="宋体" w:hAnsi="宋体"/>
          <w:b/>
          <w:bCs/>
          <w:color w:val="auto"/>
          <w:szCs w:val="21"/>
        </w:rPr>
        <w:t>25.纪律和监督</w:t>
      </w:r>
    </w:p>
    <w:p>
      <w:pPr>
        <w:keepNext w:val="0"/>
        <w:keepLines w:val="0"/>
        <w:pageBreakBefore w:val="0"/>
        <w:widowControl w:val="0"/>
        <w:kinsoku/>
        <w:wordWrap/>
        <w:overflowPunct/>
        <w:topLinePunct w:val="0"/>
        <w:bidi w:val="0"/>
        <w:spacing w:line="360" w:lineRule="auto"/>
        <w:ind w:left="0" w:leftChars="0" w:right="0" w:rightChars="0" w:firstLine="422" w:firstLineChars="200"/>
        <w:rPr>
          <w:rFonts w:ascii="宋体" w:hAnsi="宋体"/>
          <w:b/>
          <w:bCs/>
          <w:color w:val="auto"/>
          <w:szCs w:val="21"/>
        </w:rPr>
      </w:pPr>
      <w:r>
        <w:rPr>
          <w:rFonts w:hint="eastAsia" w:ascii="宋体" w:hAnsi="宋体"/>
          <w:b/>
          <w:bCs/>
          <w:color w:val="auto"/>
          <w:szCs w:val="21"/>
        </w:rPr>
        <w:t>25.1对采购单位的纪律要求</w:t>
      </w:r>
    </w:p>
    <w:p>
      <w:pPr>
        <w:pStyle w:val="215"/>
        <w:keepNext w:val="0"/>
        <w:keepLines w:val="0"/>
        <w:pageBreakBefore w:val="0"/>
        <w:widowControl w:val="0"/>
        <w:kinsoku/>
        <w:wordWrap/>
        <w:overflowPunct/>
        <w:topLinePunct w:val="0"/>
        <w:bidi w:val="0"/>
        <w:spacing w:line="360" w:lineRule="auto"/>
        <w:ind w:left="0" w:leftChars="0" w:right="0" w:rightChars="0" w:firstLine="420" w:firstLineChars="200"/>
        <w:jc w:val="both"/>
        <w:rPr>
          <w:rFonts w:hAnsi="宋体" w:cs="Courier New"/>
          <w:color w:val="auto"/>
          <w:sz w:val="21"/>
          <w:szCs w:val="21"/>
        </w:rPr>
      </w:pPr>
      <w:r>
        <w:rPr>
          <w:rFonts w:hint="eastAsia" w:hAnsi="宋体" w:cs="Courier New"/>
          <w:color w:val="auto"/>
          <w:sz w:val="21"/>
          <w:szCs w:val="21"/>
        </w:rPr>
        <w:t>采购单位</w:t>
      </w:r>
      <w:r>
        <w:rPr>
          <w:rFonts w:hAnsi="宋体" w:cs="Courier New"/>
          <w:color w:val="auto"/>
          <w:sz w:val="21"/>
          <w:szCs w:val="21"/>
        </w:rPr>
        <w:t>不得泄露</w:t>
      </w:r>
      <w:r>
        <w:rPr>
          <w:rFonts w:hint="eastAsia" w:hAnsi="宋体" w:cs="Courier New"/>
          <w:color w:val="auto"/>
          <w:sz w:val="21"/>
          <w:szCs w:val="21"/>
        </w:rPr>
        <w:t>谈判</w:t>
      </w:r>
      <w:r>
        <w:rPr>
          <w:rFonts w:hAnsi="宋体" w:cs="Courier New"/>
          <w:color w:val="auto"/>
          <w:sz w:val="21"/>
          <w:szCs w:val="21"/>
        </w:rPr>
        <w:t>活动中应当保密的情况和资料，不得与</w:t>
      </w:r>
      <w:r>
        <w:rPr>
          <w:rFonts w:hint="eastAsia" w:hAnsi="宋体" w:cs="Courier New"/>
          <w:color w:val="auto"/>
          <w:sz w:val="21"/>
          <w:szCs w:val="21"/>
        </w:rPr>
        <w:t>谈判单位</w:t>
      </w:r>
      <w:r>
        <w:rPr>
          <w:rFonts w:hAnsi="宋体" w:cs="Courier New"/>
          <w:color w:val="auto"/>
          <w:sz w:val="21"/>
          <w:szCs w:val="21"/>
        </w:rPr>
        <w:t>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bidi w:val="0"/>
        <w:spacing w:line="360" w:lineRule="auto"/>
        <w:ind w:left="0" w:leftChars="0" w:right="0" w:rightChars="0" w:firstLine="422" w:firstLineChars="200"/>
        <w:rPr>
          <w:rFonts w:ascii="宋体" w:hAnsi="宋体"/>
          <w:b/>
          <w:bCs/>
          <w:color w:val="auto"/>
          <w:szCs w:val="21"/>
        </w:rPr>
      </w:pPr>
      <w:r>
        <w:rPr>
          <w:rFonts w:hint="eastAsia" w:ascii="宋体" w:hAnsi="宋体"/>
          <w:b/>
          <w:bCs/>
          <w:color w:val="auto"/>
          <w:szCs w:val="21"/>
        </w:rPr>
        <w:t>25.2对谈判单位的纪律要求</w:t>
      </w:r>
    </w:p>
    <w:p>
      <w:pPr>
        <w:pStyle w:val="215"/>
        <w:keepNext w:val="0"/>
        <w:keepLines w:val="0"/>
        <w:pageBreakBefore w:val="0"/>
        <w:widowControl w:val="0"/>
        <w:kinsoku/>
        <w:wordWrap/>
        <w:overflowPunct/>
        <w:topLinePunct w:val="0"/>
        <w:bidi w:val="0"/>
        <w:spacing w:line="360" w:lineRule="auto"/>
        <w:ind w:left="0" w:leftChars="0" w:right="0" w:rightChars="0" w:firstLine="420" w:firstLineChars="200"/>
        <w:jc w:val="both"/>
        <w:rPr>
          <w:rFonts w:hAnsi="宋体"/>
          <w:color w:val="auto"/>
          <w:sz w:val="21"/>
          <w:szCs w:val="21"/>
        </w:rPr>
      </w:pPr>
      <w:r>
        <w:rPr>
          <w:rFonts w:hint="eastAsia" w:hAnsi="宋体"/>
          <w:color w:val="auto"/>
          <w:sz w:val="21"/>
          <w:szCs w:val="21"/>
        </w:rPr>
        <w:t>谈判单位</w:t>
      </w:r>
      <w:r>
        <w:rPr>
          <w:rFonts w:hAnsi="宋体"/>
          <w:color w:val="auto"/>
          <w:sz w:val="21"/>
          <w:szCs w:val="21"/>
        </w:rPr>
        <w:t>不得相互串通或者与</w:t>
      </w:r>
      <w:r>
        <w:rPr>
          <w:rFonts w:hint="eastAsia" w:hAnsi="宋体"/>
          <w:color w:val="auto"/>
          <w:sz w:val="21"/>
          <w:szCs w:val="21"/>
        </w:rPr>
        <w:t>采购单位及采购代理机构</w:t>
      </w:r>
      <w:r>
        <w:rPr>
          <w:rFonts w:hAnsi="宋体"/>
          <w:color w:val="auto"/>
          <w:sz w:val="21"/>
          <w:szCs w:val="21"/>
        </w:rPr>
        <w:t>串通，不得向</w:t>
      </w:r>
      <w:r>
        <w:rPr>
          <w:rFonts w:hint="eastAsia" w:hAnsi="宋体"/>
          <w:color w:val="auto"/>
          <w:sz w:val="21"/>
          <w:szCs w:val="21"/>
        </w:rPr>
        <w:t>采购单位、采购代理机构</w:t>
      </w:r>
      <w:r>
        <w:rPr>
          <w:rFonts w:hAnsi="宋体"/>
          <w:color w:val="auto"/>
          <w:sz w:val="21"/>
          <w:szCs w:val="21"/>
        </w:rPr>
        <w:t>或者</w:t>
      </w:r>
      <w:r>
        <w:rPr>
          <w:rFonts w:hint="eastAsia" w:hAnsi="宋体"/>
          <w:color w:val="auto"/>
          <w:sz w:val="21"/>
          <w:szCs w:val="21"/>
        </w:rPr>
        <w:t>谈判评审小组</w:t>
      </w:r>
      <w:r>
        <w:rPr>
          <w:rFonts w:hAnsi="宋体"/>
          <w:color w:val="auto"/>
          <w:sz w:val="21"/>
          <w:szCs w:val="21"/>
        </w:rPr>
        <w:t>成员行贿谋取中</w:t>
      </w:r>
      <w:r>
        <w:rPr>
          <w:rFonts w:hint="eastAsia" w:hAnsi="宋体"/>
          <w:color w:val="auto"/>
          <w:sz w:val="21"/>
          <w:szCs w:val="21"/>
        </w:rPr>
        <w:t>选</w:t>
      </w:r>
      <w:r>
        <w:rPr>
          <w:rFonts w:hAnsi="宋体"/>
          <w:color w:val="auto"/>
          <w:sz w:val="21"/>
          <w:szCs w:val="21"/>
        </w:rPr>
        <w:t>，不得以他人名义</w:t>
      </w:r>
      <w:r>
        <w:rPr>
          <w:rFonts w:hint="eastAsia" w:hAnsi="宋体"/>
          <w:color w:val="auto"/>
          <w:sz w:val="21"/>
          <w:szCs w:val="21"/>
        </w:rPr>
        <w:t>参与谈判</w:t>
      </w:r>
      <w:r>
        <w:rPr>
          <w:rFonts w:hAnsi="宋体"/>
          <w:color w:val="auto"/>
          <w:sz w:val="21"/>
          <w:szCs w:val="21"/>
        </w:rPr>
        <w:t>或者以其他方式弄虚作假骗取中</w:t>
      </w:r>
      <w:r>
        <w:rPr>
          <w:rFonts w:hint="eastAsia" w:hAnsi="宋体"/>
          <w:color w:val="auto"/>
          <w:sz w:val="21"/>
          <w:szCs w:val="21"/>
        </w:rPr>
        <w:t>选</w:t>
      </w:r>
      <w:r>
        <w:rPr>
          <w:rFonts w:hAnsi="宋体"/>
          <w:color w:val="auto"/>
          <w:sz w:val="21"/>
          <w:szCs w:val="21"/>
        </w:rPr>
        <w:t>；</w:t>
      </w:r>
      <w:r>
        <w:rPr>
          <w:rFonts w:hint="eastAsia" w:hAnsi="宋体"/>
          <w:color w:val="auto"/>
          <w:sz w:val="21"/>
          <w:szCs w:val="21"/>
        </w:rPr>
        <w:t>谈判单位</w:t>
      </w:r>
      <w:r>
        <w:rPr>
          <w:rFonts w:hAnsi="宋体"/>
          <w:color w:val="auto"/>
          <w:sz w:val="21"/>
          <w:szCs w:val="21"/>
        </w:rPr>
        <w:t>不得以任何方式干扰、影响评</w:t>
      </w:r>
      <w:r>
        <w:rPr>
          <w:rFonts w:hint="eastAsia" w:hAnsi="宋体"/>
          <w:color w:val="auto"/>
          <w:sz w:val="21"/>
          <w:szCs w:val="21"/>
        </w:rPr>
        <w:t>审</w:t>
      </w:r>
      <w:r>
        <w:rPr>
          <w:rFonts w:hAnsi="宋体"/>
          <w:color w:val="auto"/>
          <w:sz w:val="21"/>
          <w:szCs w:val="21"/>
        </w:rPr>
        <w:t>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bidi w:val="0"/>
        <w:spacing w:line="360" w:lineRule="auto"/>
        <w:ind w:left="0" w:leftChars="0" w:right="0" w:rightChars="0" w:firstLine="422" w:firstLineChars="200"/>
        <w:rPr>
          <w:rFonts w:ascii="宋体" w:hAnsi="宋体"/>
          <w:b/>
          <w:bCs/>
          <w:color w:val="auto"/>
          <w:szCs w:val="21"/>
        </w:rPr>
      </w:pPr>
      <w:r>
        <w:rPr>
          <w:rFonts w:hint="eastAsia" w:ascii="宋体" w:hAnsi="宋体"/>
          <w:b/>
          <w:bCs/>
          <w:color w:val="auto"/>
          <w:szCs w:val="21"/>
        </w:rPr>
        <w:t>25.3对</w:t>
      </w:r>
      <w:r>
        <w:rPr>
          <w:rFonts w:hint="eastAsia" w:hAnsi="宋体"/>
          <w:b/>
          <w:color w:val="auto"/>
          <w:szCs w:val="21"/>
        </w:rPr>
        <w:t>谈判评审小组</w:t>
      </w:r>
      <w:r>
        <w:rPr>
          <w:rFonts w:hint="eastAsia" w:ascii="宋体" w:hAnsi="宋体"/>
          <w:b/>
          <w:bCs/>
          <w:color w:val="auto"/>
          <w:szCs w:val="21"/>
        </w:rPr>
        <w:t>成员的纪律要求</w:t>
      </w:r>
    </w:p>
    <w:p>
      <w:pPr>
        <w:pStyle w:val="215"/>
        <w:keepNext w:val="0"/>
        <w:keepLines w:val="0"/>
        <w:pageBreakBefore w:val="0"/>
        <w:widowControl w:val="0"/>
        <w:kinsoku/>
        <w:wordWrap/>
        <w:overflowPunct/>
        <w:topLinePunct w:val="0"/>
        <w:bidi w:val="0"/>
        <w:spacing w:line="360" w:lineRule="auto"/>
        <w:ind w:left="0" w:leftChars="0" w:right="0" w:rightChars="0" w:firstLine="420" w:firstLineChars="200"/>
        <w:jc w:val="both"/>
        <w:rPr>
          <w:rFonts w:hAnsi="宋体"/>
          <w:color w:val="auto"/>
          <w:sz w:val="21"/>
          <w:szCs w:val="21"/>
        </w:rPr>
      </w:pPr>
      <w:r>
        <w:rPr>
          <w:rFonts w:hint="eastAsia" w:hAnsi="宋体"/>
          <w:color w:val="auto"/>
          <w:sz w:val="21"/>
          <w:szCs w:val="21"/>
        </w:rPr>
        <w:t>谈判评审小组</w:t>
      </w:r>
      <w:r>
        <w:rPr>
          <w:rFonts w:hAnsi="宋体"/>
          <w:color w:val="auto"/>
          <w:sz w:val="21"/>
          <w:szCs w:val="21"/>
        </w:rPr>
        <w:t>成员不得收受他人的财物或者其他好处，不得向他人透露对</w:t>
      </w:r>
      <w:r>
        <w:rPr>
          <w:rFonts w:hint="eastAsia" w:hAnsi="宋体"/>
          <w:color w:val="auto"/>
          <w:sz w:val="21"/>
          <w:szCs w:val="21"/>
        </w:rPr>
        <w:t>谈判</w:t>
      </w:r>
      <w:r>
        <w:rPr>
          <w:rFonts w:hAnsi="宋体"/>
          <w:color w:val="auto"/>
          <w:sz w:val="21"/>
          <w:szCs w:val="21"/>
        </w:rPr>
        <w:t>文件的评审和比较以及评</w:t>
      </w:r>
      <w:r>
        <w:rPr>
          <w:rFonts w:hint="eastAsia" w:hAnsi="宋体"/>
          <w:color w:val="auto"/>
          <w:sz w:val="21"/>
          <w:szCs w:val="21"/>
        </w:rPr>
        <w:t>审</w:t>
      </w:r>
      <w:r>
        <w:rPr>
          <w:rFonts w:hAnsi="宋体"/>
          <w:color w:val="auto"/>
          <w:sz w:val="21"/>
          <w:szCs w:val="21"/>
        </w:rPr>
        <w:t>有关的其他情况。在评</w:t>
      </w:r>
      <w:r>
        <w:rPr>
          <w:rFonts w:hint="eastAsia" w:hAnsi="宋体"/>
          <w:color w:val="auto"/>
          <w:sz w:val="21"/>
          <w:szCs w:val="21"/>
        </w:rPr>
        <w:t>审</w:t>
      </w:r>
      <w:r>
        <w:rPr>
          <w:rFonts w:hAnsi="宋体"/>
          <w:color w:val="auto"/>
          <w:sz w:val="21"/>
          <w:szCs w:val="21"/>
        </w:rPr>
        <w:t>活动中，</w:t>
      </w:r>
      <w:r>
        <w:rPr>
          <w:rFonts w:hint="eastAsia" w:hAnsi="宋体"/>
          <w:color w:val="auto"/>
          <w:sz w:val="21"/>
          <w:szCs w:val="21"/>
        </w:rPr>
        <w:t>谈判评审小组</w:t>
      </w:r>
      <w:r>
        <w:rPr>
          <w:rFonts w:hAnsi="宋体"/>
          <w:color w:val="auto"/>
          <w:sz w:val="21"/>
          <w:szCs w:val="21"/>
        </w:rPr>
        <w:t>成员应当客观、公正地履行职责，遵守职业道德，不得擅离职守，影响评</w:t>
      </w:r>
      <w:r>
        <w:rPr>
          <w:rFonts w:hint="eastAsia" w:hAnsi="宋体"/>
          <w:color w:val="auto"/>
          <w:sz w:val="21"/>
          <w:szCs w:val="21"/>
        </w:rPr>
        <w:t>审</w:t>
      </w:r>
      <w:r>
        <w:rPr>
          <w:rFonts w:hAnsi="宋体"/>
          <w:color w:val="auto"/>
          <w:sz w:val="21"/>
          <w:szCs w:val="21"/>
        </w:rPr>
        <w:t>程序正常进行，不得使用第</w:t>
      </w:r>
      <w:bookmarkStart w:id="11" w:name="page32"/>
      <w:bookmarkEnd w:id="11"/>
      <w:r>
        <w:rPr>
          <w:rFonts w:hAnsi="宋体"/>
          <w:color w:val="auto"/>
          <w:sz w:val="21"/>
          <w:szCs w:val="21"/>
        </w:rPr>
        <w:t>三章“评</w:t>
      </w:r>
      <w:r>
        <w:rPr>
          <w:rFonts w:hint="eastAsia" w:hAnsi="宋体"/>
          <w:color w:val="auto"/>
          <w:sz w:val="21"/>
          <w:szCs w:val="21"/>
        </w:rPr>
        <w:t>审</w:t>
      </w:r>
      <w:r>
        <w:rPr>
          <w:rFonts w:hAnsi="宋体"/>
          <w:color w:val="auto"/>
          <w:sz w:val="21"/>
          <w:szCs w:val="21"/>
        </w:rPr>
        <w:t>办法”没有规定的评审因素和标准进行评</w:t>
      </w:r>
      <w:r>
        <w:rPr>
          <w:rFonts w:hint="eastAsia" w:hAnsi="宋体"/>
          <w:color w:val="auto"/>
          <w:sz w:val="21"/>
          <w:szCs w:val="21"/>
        </w:rPr>
        <w:t>审</w:t>
      </w:r>
      <w:r>
        <w:rPr>
          <w:rFonts w:hAnsi="宋体"/>
          <w:color w:val="auto"/>
          <w:sz w:val="21"/>
          <w:szCs w:val="21"/>
        </w:rPr>
        <w:t>。</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bidi w:val="0"/>
        <w:spacing w:line="360" w:lineRule="auto"/>
        <w:ind w:left="0" w:leftChars="0" w:right="0" w:rightChars="0" w:firstLine="422" w:firstLineChars="200"/>
        <w:rPr>
          <w:rFonts w:ascii="宋体" w:hAnsi="宋体"/>
          <w:b/>
          <w:bCs/>
          <w:color w:val="auto"/>
          <w:szCs w:val="21"/>
        </w:rPr>
      </w:pPr>
      <w:r>
        <w:rPr>
          <w:rFonts w:hint="eastAsia" w:ascii="宋体" w:hAnsi="宋体"/>
          <w:b/>
          <w:bCs/>
          <w:color w:val="auto"/>
          <w:szCs w:val="21"/>
        </w:rPr>
        <w:t>25.4对与评审活动有关的工作人员的纪律要求</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Ansi="宋体"/>
          <w:color w:val="auto"/>
        </w:rPr>
      </w:pPr>
      <w:r>
        <w:rPr>
          <w:rFonts w:hAnsi="宋体"/>
          <w:color w:val="auto"/>
        </w:rPr>
        <w:t>与评审活动有关的工作人员不得收受他人的财物或者其他好处，不得向他人透露对</w:t>
      </w:r>
      <w:r>
        <w:rPr>
          <w:rFonts w:hint="eastAsia" w:hAnsi="宋体"/>
          <w:color w:val="auto"/>
        </w:rPr>
        <w:t>响应</w:t>
      </w:r>
      <w:r>
        <w:rPr>
          <w:rFonts w:hAnsi="宋体"/>
          <w:color w:val="auto"/>
        </w:rPr>
        <w:t>文件的评审和比较以及评</w:t>
      </w:r>
      <w:r>
        <w:rPr>
          <w:rFonts w:hint="eastAsia" w:hAnsi="宋体"/>
          <w:color w:val="auto"/>
        </w:rPr>
        <w:t>审</w:t>
      </w:r>
      <w:r>
        <w:rPr>
          <w:rFonts w:hAnsi="宋体"/>
          <w:color w:val="auto"/>
        </w:rPr>
        <w:t>有关的其他情况。在评审活动中，与评审活动有关的工作人员不得擅离职守，影响评审程序正常进行。</w:t>
      </w:r>
    </w:p>
    <w:p>
      <w:pPr>
        <w:pStyle w:val="5"/>
        <w:keepNext w:val="0"/>
        <w:keepLines w:val="0"/>
        <w:pageBreakBefore w:val="0"/>
        <w:widowControl w:val="0"/>
        <w:kinsoku/>
        <w:wordWrap/>
        <w:overflowPunct/>
        <w:topLinePunct w:val="0"/>
        <w:bidi w:val="0"/>
        <w:spacing w:before="0" w:after="0" w:line="360" w:lineRule="auto"/>
        <w:ind w:right="0" w:rightChars="0"/>
        <w:rPr>
          <w:rFonts w:hint="eastAsia" w:ascii="宋体" w:hAnsi="宋体" w:eastAsia="宋体" w:cs="宋体"/>
          <w:sz w:val="21"/>
          <w:szCs w:val="21"/>
        </w:rPr>
      </w:pPr>
      <w:bookmarkStart w:id="12" w:name="_Toc27069"/>
      <w:r>
        <w:rPr>
          <w:rFonts w:hint="eastAsia" w:ascii="宋体" w:hAnsi="宋体" w:eastAsia="宋体" w:cs="宋体"/>
          <w:sz w:val="21"/>
          <w:szCs w:val="21"/>
        </w:rPr>
        <w:t>八、其他</w:t>
      </w:r>
      <w:bookmarkEnd w:id="12"/>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sectPr>
          <w:pgSz w:w="12240" w:h="15840"/>
          <w:pgMar w:top="1440" w:right="1800" w:bottom="1440" w:left="1800" w:header="720" w:footer="720" w:gutter="0"/>
          <w:pgNumType w:fmt="decimal"/>
          <w:cols w:space="720" w:num="1"/>
          <w:titlePg/>
          <w:rtlGutter w:val="0"/>
          <w:docGrid w:type="lines" w:linePitch="323" w:charSpace="0"/>
        </w:sectPr>
      </w:pPr>
      <w:r>
        <w:rPr>
          <w:rFonts w:hint="eastAsia" w:ascii="宋体" w:hAnsi="宋体" w:cs="宋体"/>
          <w:color w:val="auto"/>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color w:val="auto"/>
          <w:szCs w:val="21"/>
        </w:rPr>
        <w:t>同时，视其情节轻重处禁止参与长沙市轨道交通集团有限公司及下属子公司项目招标采购活动（最多三年），并依据国家有关规定进行处理。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left"/>
        <w:rPr>
          <w:rFonts w:hint="eastAsia" w:ascii="宋体" w:hAnsi="宋体" w:eastAsia="宋体" w:cs="宋体"/>
          <w:b/>
          <w:sz w:val="21"/>
          <w:szCs w:val="21"/>
        </w:rPr>
      </w:pPr>
      <w:r>
        <w:rPr>
          <w:rFonts w:hint="eastAsia" w:ascii="宋体" w:hAnsi="宋体" w:eastAsia="宋体" w:cs="宋体"/>
          <w:b/>
          <w:sz w:val="21"/>
          <w:szCs w:val="21"/>
        </w:rPr>
        <w:t>附件一：采购代理服务费收费标准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t>采购代理服务收费参照汇率表</w:t>
      </w:r>
    </w:p>
    <w:tbl>
      <w:tblPr>
        <w:tblStyle w:val="47"/>
        <w:tblW w:w="93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right"/>
              <w:rPr>
                <w:rFonts w:hint="eastAsia" w:ascii="宋体" w:hAnsi="宋体" w:eastAsia="宋体" w:cs="宋体"/>
                <w:b w:val="0"/>
                <w:bCs/>
                <w:szCs w:val="21"/>
              </w:rPr>
            </w:pPr>
            <w:r>
              <w:rPr>
                <w:rFonts w:hint="eastAsia" w:ascii="宋体" w:hAnsi="宋体" w:eastAsia="宋体" w:cs="宋体"/>
                <w:b w:val="0"/>
                <w:bCs/>
                <w:szCs w:val="21"/>
              </w:rPr>
              <w:t>汇率</w:t>
            </w:r>
          </w:p>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rPr>
                <w:rFonts w:hint="eastAsia" w:ascii="宋体" w:hAnsi="宋体" w:eastAsia="宋体" w:cs="宋体"/>
                <w:b w:val="0"/>
                <w:bCs/>
                <w:szCs w:val="21"/>
              </w:rPr>
            </w:pPr>
            <w:r>
              <w:rPr>
                <w:rFonts w:hint="eastAsia" w:ascii="宋体" w:hAnsi="宋体" w:eastAsia="宋体" w:cs="宋体"/>
                <w:b w:val="0"/>
                <w:bCs/>
                <w:szCs w:val="21"/>
              </w:rPr>
              <w:t>中选金额</w:t>
            </w:r>
          </w:p>
        </w:tc>
        <w:tc>
          <w:tcPr>
            <w:tcW w:w="2451" w:type="dxa"/>
            <w:tcBorders>
              <w:top w:val="single" w:color="auto" w:sz="12" w:space="0"/>
            </w:tcBorders>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货物采购</w:t>
            </w:r>
          </w:p>
        </w:tc>
        <w:tc>
          <w:tcPr>
            <w:tcW w:w="2325" w:type="dxa"/>
            <w:tcBorders>
              <w:top w:val="single" w:color="auto" w:sz="12" w:space="0"/>
            </w:tcBorders>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服务采购</w:t>
            </w:r>
          </w:p>
        </w:tc>
        <w:tc>
          <w:tcPr>
            <w:tcW w:w="2367"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100万元以下</w:t>
            </w:r>
          </w:p>
        </w:tc>
        <w:tc>
          <w:tcPr>
            <w:tcW w:w="2451" w:type="dxa"/>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1.5%</w:t>
            </w:r>
          </w:p>
        </w:tc>
        <w:tc>
          <w:tcPr>
            <w:tcW w:w="2325" w:type="dxa"/>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1.5%</w:t>
            </w:r>
          </w:p>
        </w:tc>
        <w:tc>
          <w:tcPr>
            <w:tcW w:w="2367" w:type="dxa"/>
            <w:tcBorders>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100～400万元</w:t>
            </w:r>
          </w:p>
        </w:tc>
        <w:tc>
          <w:tcPr>
            <w:tcW w:w="2451" w:type="dxa"/>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1.1%</w:t>
            </w:r>
          </w:p>
        </w:tc>
        <w:tc>
          <w:tcPr>
            <w:tcW w:w="2325" w:type="dxa"/>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0.8%</w:t>
            </w:r>
          </w:p>
        </w:tc>
        <w:tc>
          <w:tcPr>
            <w:tcW w:w="2367" w:type="dxa"/>
            <w:tcBorders>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center"/>
              <w:rPr>
                <w:rFonts w:hint="eastAsia" w:ascii="宋体" w:hAnsi="宋体" w:eastAsia="宋体" w:cs="宋体"/>
                <w:b w:val="0"/>
                <w:bCs/>
                <w:szCs w:val="21"/>
              </w:rPr>
            </w:pPr>
            <w:r>
              <w:rPr>
                <w:rFonts w:hint="eastAsia" w:ascii="宋体" w:hAnsi="宋体" w:eastAsia="宋体" w:cs="宋体"/>
                <w:b w:val="0"/>
                <w:bCs/>
                <w:szCs w:val="21"/>
              </w:rPr>
              <w:t>备注</w:t>
            </w:r>
          </w:p>
        </w:tc>
        <w:tc>
          <w:tcPr>
            <w:tcW w:w="7143" w:type="dxa"/>
            <w:gridSpan w:val="3"/>
            <w:tcBorders>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b w:val="0"/>
                <w:bCs/>
                <w:szCs w:val="21"/>
              </w:rPr>
            </w:pPr>
            <w:r>
              <w:rPr>
                <w:rFonts w:hint="eastAsia" w:ascii="宋体" w:hAnsi="宋体" w:eastAsia="宋体" w:cs="宋体"/>
                <w:b w:val="0"/>
                <w:bCs/>
                <w:szCs w:val="21"/>
              </w:rPr>
              <w:t>采购代理服务费的收费标准为：以中选价为基数，按《采购代理服务收费参照汇率表》进行计算后，向中选单位收取。服务费超过2万元的，按2万元计取，服务费低于5000元的，按5000元计取。</w:t>
            </w:r>
          </w:p>
        </w:tc>
      </w:tr>
    </w:tbl>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b w:val="0"/>
          <w:bCs/>
          <w:szCs w:val="21"/>
        </w:rPr>
      </w:pPr>
      <w:r>
        <w:rPr>
          <w:rFonts w:hint="eastAsia" w:ascii="宋体" w:hAnsi="宋体" w:eastAsia="宋体" w:cs="宋体"/>
          <w:b w:val="0"/>
          <w:bCs/>
          <w:szCs w:val="21"/>
        </w:rPr>
        <w:t>注：采购代理服务收费按差额定率累进法计算。例如：某工程采购代理业务中选金额为300万元，计算采购代理服务收费额如下：</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b w:val="0"/>
          <w:bCs/>
          <w:szCs w:val="21"/>
        </w:rPr>
      </w:pPr>
      <w:r>
        <w:rPr>
          <w:rFonts w:hint="eastAsia" w:ascii="宋体" w:hAnsi="宋体" w:eastAsia="宋体" w:cs="宋体"/>
          <w:b w:val="0"/>
          <w:bCs/>
          <w:szCs w:val="21"/>
        </w:rPr>
        <w:t>100万元×1.0%＝1万元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b w:val="0"/>
          <w:bCs/>
          <w:szCs w:val="21"/>
        </w:rPr>
      </w:pPr>
      <w:r>
        <w:rPr>
          <w:rFonts w:hint="eastAsia" w:ascii="宋体" w:hAnsi="宋体" w:eastAsia="宋体" w:cs="宋体"/>
          <w:b w:val="0"/>
          <w:bCs/>
          <w:szCs w:val="21"/>
        </w:rPr>
        <w:t>（300-100）万元×0.7%＝1.4万元</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b w:val="0"/>
          <w:bCs/>
          <w:szCs w:val="21"/>
        </w:rPr>
      </w:pPr>
      <w:r>
        <w:rPr>
          <w:rFonts w:hint="eastAsia" w:ascii="宋体" w:hAnsi="宋体" w:eastAsia="宋体" w:cs="宋体"/>
          <w:b w:val="0"/>
          <w:bCs/>
          <w:szCs w:val="21"/>
        </w:rPr>
        <w:t>合计收费＝1+1.4＝2.4（万元）</w:t>
      </w: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bookmarkStart w:id="13" w:name="_Toc30375"/>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r>
        <w:rPr>
          <w:rFonts w:hint="eastAsia" w:ascii="宋体" w:hAnsi="宋体" w:eastAsia="宋体" w:cs="宋体"/>
          <w:bCs w:val="0"/>
          <w:sz w:val="32"/>
          <w:szCs w:val="32"/>
        </w:rPr>
        <w:t>第三章 评审办法及标准</w:t>
      </w:r>
      <w:bookmarkEnd w:id="13"/>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int="eastAsia" w:ascii="宋体" w:hAnsi="宋体" w:eastAsia="宋体" w:cs="宋体"/>
          <w:b/>
          <w:color w:val="auto"/>
          <w:sz w:val="21"/>
          <w:szCs w:val="21"/>
        </w:rPr>
      </w:pPr>
      <w:r>
        <w:rPr>
          <w:rFonts w:hint="eastAsia" w:ascii="宋体" w:hAnsi="宋体" w:eastAsia="宋体" w:cs="宋体"/>
          <w:b/>
          <w:sz w:val="21"/>
          <w:szCs w:val="21"/>
        </w:rPr>
        <w:t>一、评审办法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黑体" w:hAnsi="宋体" w:eastAsia="黑体"/>
          <w:b/>
          <w:color w:val="auto"/>
          <w:sz w:val="24"/>
          <w:highlight w:val="none"/>
        </w:rPr>
      </w:pPr>
      <w:r>
        <w:rPr>
          <w:rFonts w:hint="eastAsia" w:ascii="宋体" w:hAnsi="宋体"/>
          <w:bCs/>
          <w:color w:val="auto"/>
          <w:szCs w:val="21"/>
          <w:highlight w:val="none"/>
        </w:rPr>
        <w:t>1.本项目采用经符合性审查</w:t>
      </w:r>
      <w:r>
        <w:rPr>
          <w:rFonts w:hint="eastAsia" w:ascii="宋体" w:hAnsi="宋体"/>
          <w:bCs/>
          <w:color w:val="auto"/>
          <w:szCs w:val="21"/>
          <w:highlight w:val="none"/>
          <w:lang w:eastAsia="zh-CN"/>
        </w:rPr>
        <w:t>合格</w:t>
      </w:r>
      <w:r>
        <w:rPr>
          <w:rFonts w:hint="eastAsia" w:ascii="宋体" w:hAnsi="宋体"/>
          <w:bCs/>
          <w:color w:val="auto"/>
          <w:szCs w:val="21"/>
          <w:highlight w:val="none"/>
        </w:rPr>
        <w:t>后的</w:t>
      </w:r>
      <w:r>
        <w:rPr>
          <w:rFonts w:hint="eastAsia" w:ascii="宋体" w:hAnsi="宋体"/>
          <w:b/>
          <w:bCs/>
          <w:color w:val="auto"/>
          <w:szCs w:val="21"/>
          <w:highlight w:val="none"/>
          <w:u w:val="single"/>
        </w:rPr>
        <w:t>最低价法</w:t>
      </w:r>
      <w:r>
        <w:rPr>
          <w:rFonts w:hint="eastAsia" w:ascii="宋体" w:hAnsi="宋体"/>
          <w:b/>
          <w:bCs/>
          <w:color w:val="auto"/>
          <w:szCs w:val="21"/>
          <w:highlight w:val="none"/>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int="eastAsia" w:ascii="宋体" w:hAnsi="宋体" w:eastAsia="宋体" w:cs="宋体"/>
          <w:b/>
          <w:sz w:val="21"/>
          <w:szCs w:val="21"/>
        </w:rPr>
      </w:pPr>
      <w:r>
        <w:rPr>
          <w:rFonts w:hint="eastAsia" w:ascii="宋体" w:hAnsi="宋体" w:eastAsia="宋体" w:cs="宋体"/>
          <w:b/>
          <w:sz w:val="21"/>
          <w:szCs w:val="21"/>
        </w:rPr>
        <w:t>二、谈判程序</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szCs w:val="21"/>
        </w:rPr>
      </w:pPr>
      <w:r>
        <w:rPr>
          <w:rFonts w:hint="eastAsia" w:ascii="宋体" w:hAnsi="宋体"/>
          <w:bCs/>
          <w:szCs w:val="21"/>
        </w:rPr>
        <w:t>2.采购单位在前附表内规定的谈判时间及地点组织谈判活动。谈判活动由采购单位、谈判单位代表参与。</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黑体" w:hAnsi="宋体"/>
          <w:b/>
          <w:color w:val="auto"/>
          <w:sz w:val="24"/>
        </w:rPr>
      </w:pPr>
      <w:r>
        <w:rPr>
          <w:rFonts w:hint="eastAsia" w:ascii="宋体" w:hAnsi="宋体"/>
          <w:bCs/>
          <w:color w:val="auto"/>
          <w:szCs w:val="21"/>
        </w:rPr>
        <w:t>3．谈判程序分为：</w:t>
      </w:r>
      <w:r>
        <w:rPr>
          <w:rFonts w:hint="eastAsia" w:ascii="宋体" w:hAnsi="宋体"/>
          <w:b/>
          <w:color w:val="auto"/>
          <w:szCs w:val="21"/>
        </w:rPr>
        <w:t>谈判验证阶段及谈判评审阶段。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int="eastAsia" w:ascii="宋体" w:hAnsi="宋体" w:eastAsia="宋体" w:cs="宋体"/>
          <w:b/>
          <w:sz w:val="21"/>
          <w:szCs w:val="21"/>
        </w:rPr>
      </w:pPr>
      <w:r>
        <w:rPr>
          <w:rFonts w:hint="eastAsia" w:ascii="宋体" w:hAnsi="宋体" w:eastAsia="宋体" w:cs="宋体"/>
          <w:b/>
          <w:sz w:val="21"/>
          <w:szCs w:val="21"/>
        </w:rPr>
        <w:t>三、谈判验证阶段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rPr>
      </w:pPr>
      <w:r>
        <w:rPr>
          <w:rFonts w:hint="eastAsia" w:ascii="宋体" w:hAnsi="宋体"/>
          <w:bCs/>
          <w:color w:val="auto"/>
          <w:szCs w:val="21"/>
        </w:rPr>
        <w:t>谈判验证阶段分为身份验证和唱价。</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rPr>
      </w:pPr>
      <w:r>
        <w:rPr>
          <w:rFonts w:hint="eastAsia" w:ascii="宋体" w:hAnsi="宋体"/>
          <w:bCs/>
          <w:color w:val="auto"/>
          <w:szCs w:val="21"/>
        </w:rPr>
        <w:t>4.身份验证阶段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rPr>
      </w:pPr>
      <w:r>
        <w:rPr>
          <w:rFonts w:hint="eastAsia" w:ascii="宋体" w:hAnsi="宋体"/>
          <w:bCs/>
          <w:color w:val="auto"/>
          <w:szCs w:val="21"/>
        </w:rPr>
        <w:t>4.1采购单位按本文件前附表内规定的响应文件的谈判现场验证要求，对参与谈判的单位代表身份进行验证。</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bCs/>
          <w:color w:val="auto"/>
          <w:szCs w:val="21"/>
        </w:rPr>
        <w:t>4.2参与谈判的代表身份经验证不合格的，视为无效响应，</w:t>
      </w:r>
      <w:r>
        <w:rPr>
          <w:rFonts w:hint="eastAsia" w:ascii="宋体" w:hAnsi="宋体"/>
          <w:color w:val="auto"/>
          <w:szCs w:val="21"/>
        </w:rPr>
        <w:t>不得进入下一阶段。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rPr>
      </w:pPr>
      <w:r>
        <w:rPr>
          <w:rFonts w:hint="eastAsia" w:ascii="宋体" w:hAnsi="宋体"/>
          <w:bCs/>
          <w:color w:val="auto"/>
          <w:szCs w:val="21"/>
        </w:rPr>
        <w:t>5.唱价阶段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rPr>
      </w:pPr>
      <w:r>
        <w:rPr>
          <w:rFonts w:hint="eastAsia" w:ascii="宋体" w:hAnsi="宋体"/>
          <w:bCs/>
          <w:color w:val="auto"/>
          <w:szCs w:val="21"/>
        </w:rPr>
        <w:t>5.1身份验证结束后，由采购单位当众拆封经身份验证合格的谈判单位的谈判响应文件，宣读响应文件中《报价一览表》内容，并记录在案。</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rPr>
      </w:pPr>
      <w:r>
        <w:rPr>
          <w:rFonts w:hint="eastAsia" w:ascii="宋体" w:hAnsi="宋体"/>
          <w:bCs/>
          <w:color w:val="auto"/>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int="eastAsia" w:ascii="宋体" w:hAnsi="宋体" w:eastAsia="宋体" w:cs="宋体"/>
          <w:b/>
          <w:sz w:val="21"/>
          <w:szCs w:val="21"/>
        </w:rPr>
      </w:pPr>
      <w:r>
        <w:rPr>
          <w:rFonts w:hint="eastAsia" w:ascii="宋体" w:hAnsi="宋体" w:eastAsia="宋体" w:cs="宋体"/>
          <w:b/>
          <w:sz w:val="21"/>
          <w:szCs w:val="21"/>
        </w:rPr>
        <w:t>四、谈判审查阶段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color w:val="auto"/>
          <w:szCs w:val="21"/>
        </w:rPr>
      </w:pPr>
      <w:r>
        <w:rPr>
          <w:rFonts w:hint="eastAsia" w:ascii="宋体" w:hAnsi="宋体"/>
          <w:bCs/>
          <w:color w:val="auto"/>
          <w:szCs w:val="21"/>
        </w:rPr>
        <w:t>谈判评审阶段分为符合性审查、详细评审及推荐中选单位。</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color w:val="auto"/>
          <w:szCs w:val="21"/>
        </w:rPr>
      </w:pPr>
      <w:r>
        <w:rPr>
          <w:rFonts w:hint="eastAsia" w:ascii="宋体" w:hAnsi="宋体"/>
          <w:b/>
          <w:color w:val="auto"/>
          <w:szCs w:val="21"/>
        </w:rPr>
        <w:t>6.符合性审查阶段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符合性审查分为对谈判单位资格的符合性审查及报价的符合性审查。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6.1资格的符合性审查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谈判评审</w:t>
      </w:r>
      <w:r>
        <w:rPr>
          <w:rFonts w:hint="eastAsia" w:ascii="宋体" w:hAnsi="宋体"/>
          <w:bCs/>
          <w:color w:val="auto"/>
          <w:szCs w:val="21"/>
        </w:rPr>
        <w:t>小组</w:t>
      </w:r>
      <w:r>
        <w:rPr>
          <w:rFonts w:hint="eastAsia" w:ascii="宋体" w:hAnsi="宋体"/>
          <w:color w:val="auto"/>
          <w:szCs w:val="21"/>
        </w:rPr>
        <w:t>根据本谈判文件</w:t>
      </w:r>
      <w:r>
        <w:rPr>
          <w:rFonts w:hint="eastAsia" w:hAnsi="宋体"/>
          <w:b/>
          <w:color w:val="auto"/>
        </w:rPr>
        <w:t>前附表</w:t>
      </w:r>
      <w:r>
        <w:rPr>
          <w:rFonts w:hint="eastAsia" w:hAnsi="宋体"/>
          <w:color w:val="auto"/>
        </w:rPr>
        <w:t>内</w:t>
      </w:r>
      <w:r>
        <w:rPr>
          <w:rFonts w:hint="eastAsia" w:ascii="宋体" w:hAnsi="宋体"/>
          <w:color w:val="auto"/>
          <w:szCs w:val="21"/>
        </w:rPr>
        <w:t>规定的谈判单位资格要求，对谈判单位进行符合性审查，资格审查以谈判单位递交的原件资料为准。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6.2报价的符合性审查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谈判评审小组根据谈判文件的规定，对报价文件的有效性、完整性等进行符合性审查。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6.3有下列情形之一的，为符合性审查不合格，视为无效响应，不进入下一阶段：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（1）未按照谈判文件规定要求签署盖章的；</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（2）响应</w:t>
      </w:r>
      <w:r>
        <w:rPr>
          <w:rFonts w:hint="eastAsia" w:ascii="宋体" w:hAnsi="宋体" w:cs="宋体"/>
          <w:color w:val="auto"/>
          <w:kern w:val="0"/>
          <w:szCs w:val="21"/>
        </w:rPr>
        <w:t>文件有效期不满足谈判文件规定的；</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（3）不满足资格条件要求的；</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（4）不满足用户需求书要求书的；</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color w:val="auto"/>
          <w:szCs w:val="21"/>
        </w:rPr>
      </w:pPr>
      <w:r>
        <w:rPr>
          <w:rFonts w:hint="eastAsia" w:ascii="宋体" w:hAnsi="宋体"/>
          <w:color w:val="auto"/>
          <w:szCs w:val="21"/>
        </w:rPr>
        <w:t>（5）超过谈判控制价的；</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黑体" w:hAnsi="宋体" w:eastAsia="黑体"/>
          <w:b/>
          <w:color w:val="auto"/>
          <w:sz w:val="24"/>
        </w:rPr>
      </w:pPr>
      <w:r>
        <w:rPr>
          <w:rFonts w:hint="eastAsia" w:ascii="宋体" w:hAnsi="宋体"/>
          <w:color w:val="auto"/>
          <w:szCs w:val="21"/>
        </w:rPr>
        <w:t xml:space="preserve">（6）递交两份或多份内容不同的报价文件，或在一份报价文件中对同一项目报有两个或多个报价，且未声明哪一个有效的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color w:val="auto"/>
          <w:szCs w:val="21"/>
        </w:rPr>
      </w:pPr>
      <w:r>
        <w:rPr>
          <w:rFonts w:hint="eastAsia" w:ascii="宋体" w:hAnsi="宋体"/>
          <w:b/>
          <w:color w:val="auto"/>
          <w:szCs w:val="21"/>
        </w:rPr>
        <w:t>7.</w:t>
      </w:r>
      <w:r>
        <w:rPr>
          <w:rFonts w:hint="eastAsia" w:ascii="宋体" w:hAnsi="宋体"/>
          <w:b/>
          <w:bCs/>
          <w:color w:val="auto"/>
          <w:szCs w:val="21"/>
        </w:rPr>
        <w:t>详细评审阶段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kern w:val="0"/>
          <w:szCs w:val="21"/>
        </w:rPr>
      </w:pPr>
      <w:r>
        <w:rPr>
          <w:rFonts w:hint="eastAsia" w:ascii="宋体" w:hAnsi="宋体" w:cs="宋体"/>
          <w:color w:val="auto"/>
          <w:kern w:val="0"/>
          <w:szCs w:val="21"/>
        </w:rPr>
        <w:t>7.1谈判评审小组应按以下要求对经符合性审查合格的谈判单位进行详细评审：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kern w:val="0"/>
          <w:szCs w:val="21"/>
        </w:rPr>
      </w:pPr>
      <w:r>
        <w:rPr>
          <w:rFonts w:hint="eastAsia" w:ascii="宋体" w:hAnsi="宋体"/>
          <w:color w:val="auto"/>
          <w:szCs w:val="21"/>
        </w:rPr>
        <w:t>（1）</w:t>
      </w:r>
      <w:r>
        <w:rPr>
          <w:rFonts w:hint="eastAsia" w:ascii="宋体" w:hAnsi="宋体" w:cs="宋体"/>
          <w:color w:val="auto"/>
          <w:kern w:val="0"/>
          <w:szCs w:val="21"/>
        </w:rPr>
        <w:t>以经谈判评审小组一致认定满足《竞争性谈判文件》要求且谈判总报价最低的报价为基准价，其得分为满分。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
          <w:bCs/>
          <w:color w:val="auto"/>
          <w:szCs w:val="21"/>
        </w:rPr>
      </w:pPr>
      <w:r>
        <w:rPr>
          <w:rFonts w:hint="eastAsia" w:ascii="宋体" w:hAnsi="宋体"/>
          <w:color w:val="auto"/>
          <w:szCs w:val="21"/>
        </w:rPr>
        <w:t>（2）</w:t>
      </w:r>
      <w:r>
        <w:rPr>
          <w:rFonts w:hint="eastAsia" w:ascii="宋体" w:hAnsi="宋体" w:cs="宋体"/>
          <w:color w:val="auto"/>
          <w:kern w:val="0"/>
          <w:szCs w:val="21"/>
        </w:rPr>
        <w:t>其他有效单位的得分统一按下列公式计算（保留2位小数，第3位四舍五入）：谈判单位得分=(基准价／谈判总报价)×100</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color w:val="auto"/>
          <w:szCs w:val="21"/>
        </w:rPr>
      </w:pPr>
      <w:r>
        <w:rPr>
          <w:rFonts w:hint="eastAsia" w:ascii="宋体" w:hAnsi="宋体"/>
          <w:b/>
          <w:bCs/>
          <w:color w:val="auto"/>
          <w:szCs w:val="21"/>
        </w:rPr>
        <w:t>8.推荐中选单位</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kern w:val="0"/>
          <w:szCs w:val="21"/>
        </w:rPr>
      </w:pPr>
      <w:r>
        <w:rPr>
          <w:rFonts w:hint="eastAsia" w:ascii="宋体" w:hAnsi="宋体"/>
          <w:bCs/>
          <w:color w:val="auto"/>
          <w:szCs w:val="21"/>
        </w:rPr>
        <w:t xml:space="preserve">8.1 </w:t>
      </w:r>
      <w:r>
        <w:rPr>
          <w:rFonts w:hint="eastAsia" w:ascii="宋体" w:hAnsi="宋体" w:cs="宋体"/>
          <w:color w:val="auto"/>
          <w:kern w:val="0"/>
          <w:szCs w:val="21"/>
        </w:rPr>
        <w:t>谈判评审小组应当在全部评审结束后，按照得分由高到低顺序推荐1名中选单位，并填写评审报告。</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rPr>
          <w:color w:val="auto"/>
          <w:szCs w:val="21"/>
        </w:rPr>
      </w:pPr>
      <w:r>
        <w:rPr>
          <w:rFonts w:hint="eastAsia" w:ascii="宋体" w:hAnsi="宋体" w:cs="宋体"/>
          <w:color w:val="auto"/>
          <w:kern w:val="0"/>
          <w:szCs w:val="21"/>
        </w:rPr>
        <w:t>8.2 全部评审结束后，若出现报价得分相同的情形，则采用现场抽签方式确定中选单位。</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szCs w:val="21"/>
        </w:rPr>
      </w:pPr>
    </w:p>
    <w:p>
      <w:pPr>
        <w:keepNext w:val="0"/>
        <w:keepLines w:val="0"/>
        <w:pageBreakBefore w:val="0"/>
        <w:widowControl w:val="0"/>
        <w:kinsoku/>
        <w:wordWrap/>
        <w:overflowPunct/>
        <w:topLinePunct w:val="0"/>
        <w:bidi w:val="0"/>
        <w:adjustRightInd w:val="0"/>
        <w:snapToGrid w:val="0"/>
        <w:spacing w:beforeLines="50" w:line="360" w:lineRule="auto"/>
        <w:ind w:left="0" w:leftChars="0" w:right="0" w:rightChars="0" w:firstLine="643" w:firstLineChars="200"/>
        <w:rPr>
          <w:rFonts w:ascii="黑体" w:eastAsia="黑体"/>
          <w:b/>
          <w:sz w:val="32"/>
          <w:szCs w:val="32"/>
        </w:rPr>
        <w:sectPr>
          <w:footerReference r:id="rId7" w:type="default"/>
          <w:pgSz w:w="11906" w:h="16838"/>
          <w:pgMar w:top="1440" w:right="1797" w:bottom="1440" w:left="1797" w:header="851" w:footer="851" w:gutter="0"/>
          <w:pgNumType w:fmt="decimal"/>
          <w:cols w:space="720" w:num="1"/>
          <w:docGrid w:linePitch="312" w:charSpace="0"/>
        </w:sect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rPr>
          <w:rFonts w:ascii="黑体" w:hAnsi="宋体" w:eastAsia="黑体"/>
          <w:b/>
          <w:sz w:val="24"/>
        </w:rPr>
      </w:pPr>
    </w:p>
    <w:p>
      <w:pPr>
        <w:pStyle w:val="3"/>
        <w:keepNext w:val="0"/>
        <w:keepLines w:val="0"/>
        <w:pageBreakBefore w:val="0"/>
        <w:widowControl w:val="0"/>
        <w:numPr>
          <w:ilvl w:val="0"/>
          <w:numId w:val="2"/>
        </w:numPr>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r>
        <w:rPr>
          <w:rFonts w:hint="eastAsia" w:ascii="宋体" w:hAnsi="宋体" w:eastAsia="宋体" w:cs="宋体"/>
          <w:bCs w:val="0"/>
          <w:sz w:val="32"/>
          <w:szCs w:val="32"/>
        </w:rPr>
        <w:t xml:space="preserve"> </w:t>
      </w:r>
      <w:bookmarkStart w:id="14" w:name="_Toc8585"/>
      <w:r>
        <w:rPr>
          <w:rFonts w:hint="eastAsia" w:ascii="宋体" w:hAnsi="宋体" w:eastAsia="宋体" w:cs="宋体"/>
          <w:bCs w:val="0"/>
          <w:sz w:val="32"/>
          <w:szCs w:val="32"/>
        </w:rPr>
        <w:t>用户需求书</w:t>
      </w:r>
      <w:bookmarkEnd w:id="14"/>
    </w:p>
    <w:p>
      <w:pPr>
        <w:keepNext w:val="0"/>
        <w:keepLines w:val="0"/>
        <w:pageBreakBefore w:val="0"/>
        <w:widowControl w:val="0"/>
        <w:numPr>
          <w:ilvl w:val="0"/>
          <w:numId w:val="0"/>
        </w:numPr>
        <w:kinsoku/>
        <w:wordWrap/>
        <w:overflowPunct/>
        <w:topLinePunct w:val="0"/>
        <w:bidi w:val="0"/>
        <w:adjustRightInd/>
        <w:spacing w:line="360" w:lineRule="auto"/>
        <w:ind w:left="0" w:leftChars="0" w:right="0" w:rightChars="0" w:firstLine="420" w:firstLineChars="200"/>
        <w:jc w:val="both"/>
        <w:textAlignment w:val="auto"/>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int="eastAsia" w:ascii="宋体" w:hAnsi="宋体" w:eastAsia="宋体" w:cs="宋体"/>
          <w:b/>
          <w:sz w:val="21"/>
          <w:szCs w:val="21"/>
        </w:rPr>
      </w:pPr>
      <w:r>
        <w:rPr>
          <w:rFonts w:hint="eastAsia" w:ascii="宋体" w:hAnsi="宋体" w:eastAsia="宋体" w:cs="宋体"/>
          <w:b/>
          <w:sz w:val="21"/>
          <w:szCs w:val="21"/>
        </w:rPr>
        <w:t>一、项目概况及招标范围</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（一）项目概况</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根据国家、湖南省、长沙市相关法律、法规、标准、文件的要求开展长沙市轨道交通5号线一期工程职业病危害因素检测和职业病防护设施竣工验收服务。投标人出具的检测报告、控制效果评价报告和组织的专家评审会等所有内容及流程均须符合相关政府部门的要求。</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（二）招标范围</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长沙市轨道交通5号线一期工程包括水渡河车辆段、天际岭主变电所、长善路主变电所和全线18个地下车站（含区间隧道），分别为水渡河站、土桥站、白茅铺站、月湖公园北站、马栏山站、鸭子铺站、火炬村站、马王堆站、万家丽广场站、芙蓉区政府站、高桥北站、高桥南站、圭塘站、木桥站、雨花区政府站、大塘站、板塘冲站、毛竹塘站，均为地下车站。</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2" w:firstLineChars="200"/>
        <w:jc w:val="both"/>
        <w:textAlignment w:val="auto"/>
        <w:rPr>
          <w:rFonts w:hint="eastAsia" w:ascii="宋体" w:hAnsi="宋体" w:eastAsia="宋体" w:cs="宋体"/>
          <w:b/>
          <w:bCs w:val="0"/>
          <w:sz w:val="21"/>
          <w:szCs w:val="21"/>
        </w:rPr>
      </w:pPr>
      <w:r>
        <w:rPr>
          <w:rFonts w:hint="eastAsia" w:ascii="宋体" w:hAnsi="宋体" w:eastAsia="宋体" w:cs="宋体"/>
          <w:b/>
          <w:bCs w:val="0"/>
          <w:sz w:val="21"/>
          <w:szCs w:val="21"/>
        </w:rPr>
        <w:t>二、项目计划（时间阶段）</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（一）项目服务期</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本项目服务期限暂定为2019年12月1日至2020年2月29日，总服务期限为3个月（实际服务时间以中标方接到招标人发出的开工令起算，共计3个月）。招标人有权根据实际情况对项目实施时间进行调整。</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（二）投标人工作主要分为以下四个阶段：</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1.第一阶段：编制现场检测计划。</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2.第二阶段：开展现场检测，并出具检测或评价报告。</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3.第三阶段（如有）：检测结果超标时，投标人应提出合理的可操作性的解决方案，指导招标人进行整改，并免费提供复测，出具复测报告。</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4.第四阶段：召开职业病危害控制效果评价报告和职业病防护设施竣工验收的专家评审会，完成职业病防护设施竣工验收工作。</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2" w:firstLineChars="200"/>
        <w:jc w:val="both"/>
        <w:textAlignment w:val="auto"/>
        <w:rPr>
          <w:rFonts w:hint="eastAsia" w:ascii="宋体" w:hAnsi="宋体" w:eastAsia="宋体" w:cs="宋体"/>
          <w:b/>
          <w:bCs w:val="0"/>
          <w:sz w:val="21"/>
          <w:szCs w:val="21"/>
        </w:rPr>
      </w:pPr>
      <w:r>
        <w:rPr>
          <w:rFonts w:hint="eastAsia" w:ascii="宋体" w:hAnsi="宋体" w:eastAsia="宋体" w:cs="宋体"/>
          <w:b/>
          <w:bCs w:val="0"/>
          <w:sz w:val="21"/>
          <w:szCs w:val="21"/>
        </w:rPr>
        <w:t>三、相关技术标准及规范</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投标人应严格按照国家、湖南省、长沙市最新的相关技术标准及规范（包括以下技术标准、规范及同行业相关经验，以下标准如有更新，须按最新标准执行）执行（详见表一）：</w:t>
      </w:r>
    </w:p>
    <w:tbl>
      <w:tblPr>
        <w:tblStyle w:val="46"/>
        <w:tblW w:w="975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35"/>
        <w:gridCol w:w="3103"/>
        <w:gridCol w:w="5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7"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eastAsia="zh-CN"/>
              </w:rPr>
              <w:t>表一</w:t>
            </w:r>
            <w:r>
              <w:rPr>
                <w:rFonts w:hint="eastAsia" w:ascii="宋体" w:hAnsi="宋体" w:eastAsia="宋体" w:cs="宋体"/>
                <w:b/>
                <w:color w:val="000000"/>
                <w:kern w:val="0"/>
                <w:sz w:val="21"/>
                <w:szCs w:val="21"/>
                <w:lang w:val="en-US" w:eastAsia="zh-CN"/>
              </w:rPr>
              <w:t xml:space="preserve"> </w:t>
            </w:r>
            <w:r>
              <w:rPr>
                <w:rFonts w:hint="eastAsia" w:ascii="宋体" w:hAnsi="宋体" w:eastAsia="宋体" w:cs="宋体"/>
                <w:b/>
                <w:color w:val="000000"/>
                <w:kern w:val="0"/>
                <w:sz w:val="21"/>
                <w:szCs w:val="21"/>
              </w:rPr>
              <w:t>标准汇总表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序号</w:t>
            </w:r>
          </w:p>
        </w:tc>
        <w:tc>
          <w:tcPr>
            <w:tcW w:w="3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标准代号</w:t>
            </w:r>
          </w:p>
        </w:tc>
        <w:tc>
          <w:tcPr>
            <w:tcW w:w="5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标准名称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3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103"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中华人民共和国主席令第六十号</w:t>
            </w:r>
          </w:p>
        </w:tc>
        <w:tc>
          <w:tcPr>
            <w:tcW w:w="581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《中华人民共和国职业病防治法》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1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安监总厅安健【2015】16号</w:t>
            </w:r>
          </w:p>
        </w:tc>
        <w:tc>
          <w:tcPr>
            <w:tcW w:w="58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《用人单位职业病危害因素定期检测管理规范》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31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333333"/>
                <w:sz w:val="21"/>
                <w:szCs w:val="21"/>
                <w:shd w:val="clear" w:color="auto" w:fill="FFFFFF"/>
              </w:rPr>
              <w:t>GB 8702-1988</w:t>
            </w:r>
          </w:p>
        </w:tc>
        <w:tc>
          <w:tcPr>
            <w:tcW w:w="58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《电磁辐射防护规定》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31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GBZ2-1-2007</w:t>
            </w:r>
          </w:p>
        </w:tc>
        <w:tc>
          <w:tcPr>
            <w:tcW w:w="58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《工作场所有害因素职业接触限值 第1部分：化学有害因素》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3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3103"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GBZ2-2-2007</w:t>
            </w:r>
          </w:p>
        </w:tc>
        <w:tc>
          <w:tcPr>
            <w:tcW w:w="581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《工作场所有害因素职业接触限值 第2部分：物理因素》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3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GBZ/T 205-2007</w:t>
            </w:r>
          </w:p>
        </w:tc>
        <w:tc>
          <w:tcPr>
            <w:tcW w:w="5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《密闭空间作业职业危害防护规范》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3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GBZ 188-2014</w:t>
            </w:r>
          </w:p>
        </w:tc>
        <w:tc>
          <w:tcPr>
            <w:tcW w:w="5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《职业健康监护技术规范》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3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GBZ 159-2004</w:t>
            </w:r>
          </w:p>
        </w:tc>
        <w:tc>
          <w:tcPr>
            <w:tcW w:w="5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《工作场所空气中有害物质监测的采样规范》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31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GBZT277-2016</w:t>
            </w:r>
          </w:p>
        </w:tc>
        <w:tc>
          <w:tcPr>
            <w:tcW w:w="5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《职业病危害评价通则》</w:t>
            </w:r>
          </w:p>
        </w:tc>
      </w:tr>
    </w:tbl>
    <w:p>
      <w:pPr>
        <w:keepNext w:val="0"/>
        <w:keepLines w:val="0"/>
        <w:pageBreakBefore w:val="0"/>
        <w:widowControl w:val="0"/>
        <w:kinsoku/>
        <w:wordWrap/>
        <w:overflowPunct/>
        <w:topLinePunct w:val="0"/>
        <w:bidi w:val="0"/>
        <w:adjustRightInd/>
        <w:snapToGrid w:val="0"/>
        <w:spacing w:line="360" w:lineRule="auto"/>
        <w:ind w:left="0" w:leftChars="0" w:right="0" w:rightChars="0" w:firstLine="422" w:firstLineChars="200"/>
        <w:jc w:val="both"/>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四、项目管控要求</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（一）人员配备要求</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1.投标人须为本项目配备的项目负责人1名。项目负责人负责项目实施全过程的技术、安全和实施管理，全面协调指导该项目各项工作的开展，中途不得随意换人。</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2.项目参与人员不得超过国家法定退休年龄。</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3.投标人应确保项目参与人员思想品德良好、无犯罪记录、身体健康、无重大疾病。</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4.投标人应遵守中国的法律、法规和运营公司的工作制度和管理规定，接受招标人对本项目相关工作安排、业务指导、检查和评估，不干预招标人内部事务。</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（二）设备配备要求</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项目实施所需的各项设备、仪器及工器具均由投标人自行配备。</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（三）安全管理规定</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1.投标人应服从招标人的管理，严格遵守招标人制定的各项安全管理规定。投标人不得携带和使用易燃、易爆物品，检测场所严禁吸烟，未经允许不得私自触碰设备，严禁乱拉乱接电线。</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2.投标人进入轨行区需自备好安全帽、荧光衣和劳保鞋等劳动防护用品，并正确穿戴。</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3.进入车站、轨行区、各设备房等作业场所，招标人根据实际情况办理请销点后，投标人在招标人的带领下进入检测现场，未经允许，不得私自进入检测场所。</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4.投标人不得对招标人正常运营造成影响，否则按照招标人规章制度承担相应的责任。</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2" w:firstLineChars="200"/>
        <w:jc w:val="both"/>
        <w:textAlignment w:val="auto"/>
        <w:rPr>
          <w:rFonts w:hint="eastAsia" w:ascii="宋体" w:hAnsi="宋体" w:eastAsia="宋体" w:cs="宋体"/>
          <w:b/>
          <w:bCs w:val="0"/>
          <w:sz w:val="21"/>
          <w:szCs w:val="21"/>
        </w:rPr>
      </w:pPr>
      <w:r>
        <w:rPr>
          <w:rFonts w:hint="eastAsia" w:ascii="宋体" w:hAnsi="宋体" w:eastAsia="宋体" w:cs="宋体"/>
          <w:b/>
          <w:bCs w:val="0"/>
          <w:sz w:val="21"/>
          <w:szCs w:val="21"/>
        </w:rPr>
        <w:t>五、项目实施要求</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（一）工作时间和范围</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1.投标人项目实施时间，以招标人通知为准，投标人不得随意变更或延期。</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非紧急情况下，投标人项目响应时间以2个工作日为准，招标人发出通知后，2个工作日内投标人不能做出有效的响应，招标人有权根据实际情况予以处罚。紧急情况下，项目响应时间不得超过2小时。招标人保留终止合同的权利。</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3.在如遇大客流、重大活动、节假日或其他特别情况时，投标人应服从招标人的管理和调度指挥，合理调配检测现场，确保地铁车站服务质量和现场检测要求。</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（二）服务标准、流程及操作要求</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1.投标人为招标人开展职业病危害因素检测。检测范围应包含但不限于以下场所：全线各车站及区间、主变电所、车辆段等所有作业场所。</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投标人为招标人组织职业病防护设施竣工验收。验收项目内容包括根据职业病危害因素检测结果编制和出具职业病危害控制效果评价报告，职业病危害控制效果评价报告的专家评审和职业病防护设施竣工验收的专家评审等所有内容。</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3.职业病危害因素检测结果超标时，投标人应提出合理的可操作性的解决方案，指导招标人进行整改，并提供免费复测和正式报告。</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4.投标人应根据现场全面准确的调查、识别各岗位职业病危害因素，在进行职业病危害因素检测时应包含但不局限下表所示的岗位和职业病危害因素（详见表二）。</w:t>
      </w:r>
    </w:p>
    <w:tbl>
      <w:tblPr>
        <w:tblStyle w:val="46"/>
        <w:tblW w:w="10012" w:type="dxa"/>
        <w:jc w:val="center"/>
        <w:tblInd w:w="-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38"/>
        <w:gridCol w:w="1718"/>
        <w:gridCol w:w="5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1001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表二</w:t>
            </w:r>
            <w:r>
              <w:rPr>
                <w:rFonts w:hint="eastAsia" w:ascii="宋体" w:hAnsi="宋体" w:eastAsia="宋体" w:cs="宋体"/>
                <w:b/>
                <w:bCs/>
                <w:color w:val="000000"/>
                <w:kern w:val="0"/>
                <w:sz w:val="21"/>
                <w:szCs w:val="21"/>
                <w:lang w:val="en-US" w:eastAsia="zh-CN"/>
              </w:rPr>
              <w:t xml:space="preserve"> 岗位</w:t>
            </w:r>
            <w:r>
              <w:rPr>
                <w:rFonts w:hint="eastAsia" w:ascii="宋体" w:hAnsi="宋体" w:eastAsia="宋体" w:cs="宋体"/>
                <w:b/>
                <w:bCs/>
                <w:color w:val="000000"/>
                <w:kern w:val="0"/>
                <w:sz w:val="21"/>
                <w:szCs w:val="21"/>
                <w:lang w:eastAsia="zh-CN"/>
              </w:rPr>
              <w:t>职业病危害因素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车间</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岗位名称</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检测的职业病危害因素项目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信号车间</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信号检修工</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工频电场、噪声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23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运用库、检修厂房、调机工程车库</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工程车检修工</w:t>
            </w:r>
          </w:p>
        </w:tc>
        <w:tc>
          <w:tcPr>
            <w:tcW w:w="595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一氧化碳、二氧化碳、一氧化氮、二氧化氮、噪声、粉尘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23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设备检修工</w:t>
            </w:r>
          </w:p>
        </w:tc>
        <w:tc>
          <w:tcPr>
            <w:tcW w:w="59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23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机床操作工</w:t>
            </w:r>
          </w:p>
        </w:tc>
        <w:tc>
          <w:tcPr>
            <w:tcW w:w="59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8"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运用库</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车辆检修工</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噪声、金属粉尘、苯类、丙酮、正己烷、环己烷、乙酸丁酯、乙酸乙酯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4"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机电车间</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熔焊工</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噪声、电焊烟尘、臭氧、二氧化氮、一氧化碳、二氧化碳、锰及无机其化合物、电焊弧光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乘务车间</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电客车司机</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噪声、振动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污水处理站</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综合维修工</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硫化氢、氨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地下站台</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站务人员</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噪声、二氧化碳、微波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8"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车站设备管理用房</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机电维修工</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噪声、工频电磁场、铅烟、硫酸氟化物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变电站、主变电所</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变电检修工</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噪声、工频电场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物资库房</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仓管工</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石棉粉尘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区间隧道</w:t>
            </w:r>
          </w:p>
        </w:tc>
        <w:tc>
          <w:tcPr>
            <w:tcW w:w="17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线路检修工</w:t>
            </w:r>
          </w:p>
        </w:tc>
        <w:tc>
          <w:tcPr>
            <w:tcW w:w="5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一氧化碳、二氧化碳、一氧化氮、二氧化氮、噪声</w:t>
            </w:r>
          </w:p>
        </w:tc>
      </w:tr>
    </w:tbl>
    <w:p>
      <w:pPr>
        <w:keepNext w:val="0"/>
        <w:keepLines w:val="0"/>
        <w:pageBreakBefore w:val="0"/>
        <w:widowControl w:val="0"/>
        <w:kinsoku/>
        <w:wordWrap/>
        <w:overflowPunct/>
        <w:topLinePunct w:val="0"/>
        <w:bidi w:val="0"/>
        <w:adjustRightInd/>
        <w:snapToGrid w:val="0"/>
        <w:spacing w:line="360" w:lineRule="auto"/>
        <w:ind w:left="0" w:leftChars="0" w:right="0" w:rightChars="0" w:firstLine="422" w:firstLineChars="200"/>
        <w:jc w:val="both"/>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六、项目验收</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（一）验收小组</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验收小组由招标人相关人员组成。</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（二）验收周期</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本项目按照合同要求进行验收，整个项目共验收一次。</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（三）验收标准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1.现场检测过程未出现影响招标人安全质量及地铁运营的因素。</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2.投标人在招标人约定的时间内，按要求完成本项目合同及竞谈文件/用户需求书/技术规格书（如有）所列内容，获得专家、招标人及相关单位认可。</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3.投标人在规定时间内提供完整齐全的控制效果评价报告、专家评审意见表及现场检测影像、视频等资料。</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4.投标人发生的考核情况、现场检查问题均已按要求进行闭环处理。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以上内容全部符合要求即认为项目完成，通过验收。</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四</w:t>
      </w:r>
      <w:r>
        <w:rPr>
          <w:rFonts w:hint="eastAsia" w:ascii="宋体" w:hAnsi="宋体" w:eastAsia="宋体" w:cs="宋体"/>
          <w:b w:val="0"/>
          <w:bCs/>
          <w:sz w:val="21"/>
          <w:szCs w:val="21"/>
        </w:rPr>
        <w:t>）验收成果</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投标人在规定时间内提供完整齐全的控制效果评价报告、专家评审意见表及现场检测影像、视频等资料。</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2" w:firstLineChars="200"/>
        <w:jc w:val="both"/>
        <w:textAlignment w:val="auto"/>
        <w:rPr>
          <w:rFonts w:hint="eastAsia" w:ascii="宋体" w:hAnsi="宋体" w:eastAsia="宋体" w:cs="宋体"/>
          <w:b/>
          <w:bCs w:val="0"/>
          <w:sz w:val="21"/>
          <w:szCs w:val="21"/>
        </w:rPr>
      </w:pPr>
      <w:r>
        <w:rPr>
          <w:rFonts w:hint="eastAsia" w:ascii="宋体" w:hAnsi="宋体" w:eastAsia="宋体" w:cs="宋体"/>
          <w:b/>
          <w:bCs w:val="0"/>
          <w:sz w:val="21"/>
          <w:szCs w:val="21"/>
        </w:rPr>
        <w:t>七、考核标准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（一）质量考核标准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根据用户需求书中的相关条款，由招标人对投标人进行考核评分，并按分值等级进行相关考核。当有考核项目适用两个及以上考核标准时，以最高程度考核项为考核标准。因投标人原因造成设备故障、客伤、招标人或第三方财产或人身损害的安全事故事件，除负责赔偿责任外，还需向招标人赔付所造成的损失，所赔付金额由招标人依据《运营公司生产安全事故（事件）调查处理规则》所规定的安全事故事件的性质、受伤人员数量、受伤害的程度、招标人的名誉、形象受损的范围和程度等确定的金额，并承担招标人因此发生的诉讼费、律师费等一切费用。</w:t>
      </w:r>
    </w:p>
    <w:tbl>
      <w:tblPr>
        <w:tblStyle w:val="46"/>
        <w:tblpPr w:leftFromText="180" w:rightFromText="180" w:vertAnchor="text" w:horzAnchor="page" w:tblpXSpec="center" w:tblpY="799"/>
        <w:tblOverlap w:val="never"/>
        <w:tblW w:w="98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4"/>
        <w:gridCol w:w="4905"/>
        <w:gridCol w:w="3217"/>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7" w:hRule="atLeast"/>
          <w:jc w:val="center"/>
        </w:trPr>
        <w:tc>
          <w:tcPr>
            <w:tcW w:w="984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rPr>
              <w:t>表</w:t>
            </w:r>
            <w:r>
              <w:rPr>
                <w:rFonts w:hint="eastAsia" w:ascii="宋体" w:hAnsi="宋体" w:cs="宋体"/>
                <w:b/>
                <w:color w:val="000000"/>
                <w:kern w:val="0"/>
                <w:sz w:val="21"/>
                <w:szCs w:val="21"/>
                <w:highlight w:val="none"/>
                <w:lang w:eastAsia="zh-CN"/>
              </w:rPr>
              <w:t>三</w:t>
            </w:r>
            <w:r>
              <w:rPr>
                <w:rFonts w:hint="eastAsia" w:ascii="宋体" w:hAnsi="宋体" w:cs="宋体"/>
                <w:b/>
                <w:color w:val="000000"/>
                <w:kern w:val="0"/>
                <w:sz w:val="21"/>
                <w:szCs w:val="21"/>
                <w:highlight w:val="none"/>
              </w:rPr>
              <w:t xml:space="preserve"> </w:t>
            </w:r>
            <w:r>
              <w:rPr>
                <w:rFonts w:hint="eastAsia" w:ascii="宋体" w:hAnsi="宋体" w:cs="宋体"/>
                <w:b/>
                <w:color w:val="000000"/>
                <w:kern w:val="0"/>
                <w:sz w:val="21"/>
                <w:szCs w:val="21"/>
                <w:highlight w:val="none"/>
                <w:lang w:val="en-US" w:eastAsia="zh-CN"/>
              </w:rPr>
              <w:t xml:space="preserve"> </w:t>
            </w:r>
            <w:r>
              <w:rPr>
                <w:rFonts w:hint="eastAsia" w:ascii="宋体" w:hAnsi="宋体" w:cs="宋体"/>
                <w:b/>
                <w:color w:val="000000"/>
                <w:kern w:val="0"/>
                <w:sz w:val="21"/>
                <w:szCs w:val="21"/>
                <w:highlight w:val="none"/>
              </w:rPr>
              <w:t>质量考核标准表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7"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rPr>
              <w:t>序号</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lang w:eastAsia="zh-CN"/>
              </w:rPr>
              <w:t>考</w:t>
            </w:r>
            <w:r>
              <w:rPr>
                <w:rFonts w:hint="eastAsia" w:ascii="宋体" w:hAnsi="宋体" w:cs="宋体"/>
                <w:b/>
                <w:color w:val="000000"/>
                <w:kern w:val="0"/>
                <w:sz w:val="21"/>
                <w:szCs w:val="21"/>
                <w:highlight w:val="none"/>
              </w:rPr>
              <w:t>核内容</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rPr>
              <w:t>处罚结果</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1</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职业病危害控制效果评价报告和职业病防护设施竣工验收未能通过专家评审会，并在规定时间取得验收通过的专家意见。</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每推迟1天扣4分，累计推迟X天，扣4*X分，推迟总天数超过8天，直接定位D级，并有权解除合同。</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职业病危害因素检测报告不能在规定时间前提交的。</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每推迟1天扣4分，累计推迟X天，扣4*X分，推迟总天数超过8天，直接定位D级，并有权解除合同。</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2"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kern w:val="0"/>
                <w:sz w:val="21"/>
                <w:szCs w:val="21"/>
                <w:highlight w:val="none"/>
                <w:lang w:val="en-US"/>
              </w:rPr>
            </w:pPr>
            <w:r>
              <w:rPr>
                <w:rFonts w:hint="eastAsia" w:ascii="宋体" w:hAnsi="宋体" w:eastAsia="宋体" w:cs="宋体"/>
                <w:bCs/>
                <w:sz w:val="21"/>
                <w:szCs w:val="21"/>
                <w:lang w:eastAsia="zh-CN"/>
              </w:rPr>
              <w:t>投标人</w:t>
            </w:r>
            <w:r>
              <w:rPr>
                <w:rFonts w:hint="eastAsia" w:ascii="宋体" w:hAnsi="宋体" w:eastAsia="宋体" w:cs="宋体"/>
                <w:bCs/>
                <w:sz w:val="21"/>
                <w:szCs w:val="21"/>
                <w:highlight w:val="none"/>
              </w:rPr>
              <w:t>收到</w:t>
            </w:r>
            <w:r>
              <w:rPr>
                <w:rFonts w:hint="eastAsia" w:ascii="宋体" w:hAnsi="宋体" w:eastAsia="宋体" w:cs="宋体"/>
                <w:bCs/>
                <w:sz w:val="21"/>
                <w:szCs w:val="21"/>
                <w:highlight w:val="none"/>
                <w:lang w:eastAsia="zh-CN"/>
              </w:rPr>
              <w:t>招标人</w:t>
            </w:r>
            <w:r>
              <w:rPr>
                <w:rFonts w:hint="eastAsia" w:ascii="宋体" w:hAnsi="宋体" w:eastAsia="宋体" w:cs="宋体"/>
                <w:bCs/>
                <w:sz w:val="21"/>
                <w:szCs w:val="21"/>
              </w:rPr>
              <w:t>以电话、信息或邮件等方式告知的开展本项目相关工作后，两个工作日内不能及时</w:t>
            </w:r>
            <w:r>
              <w:rPr>
                <w:rFonts w:hint="eastAsia" w:ascii="宋体" w:hAnsi="宋体" w:eastAsia="宋体" w:cs="宋体"/>
                <w:bCs/>
                <w:sz w:val="21"/>
                <w:szCs w:val="21"/>
                <w:lang w:val="en-US" w:eastAsia="zh-CN"/>
              </w:rPr>
              <w:t>做出有效的响应</w:t>
            </w:r>
            <w:r>
              <w:rPr>
                <w:rFonts w:hint="eastAsia" w:ascii="宋体" w:hAnsi="宋体" w:eastAsia="宋体" w:cs="宋体"/>
                <w:bCs/>
                <w:sz w:val="21"/>
                <w:szCs w:val="21"/>
              </w:rPr>
              <w:t>，且无正当理由延缓</w:t>
            </w:r>
            <w:r>
              <w:rPr>
                <w:rFonts w:hint="eastAsia" w:ascii="宋体" w:hAnsi="宋体" w:eastAsia="宋体" w:cs="宋体"/>
                <w:bCs/>
                <w:sz w:val="21"/>
                <w:szCs w:val="21"/>
                <w:lang w:val="en-US" w:eastAsia="zh-CN"/>
              </w:rPr>
              <w:t>或拖延</w:t>
            </w:r>
            <w:r>
              <w:rPr>
                <w:rFonts w:hint="eastAsia" w:ascii="宋体" w:hAnsi="宋体" w:eastAsia="宋体" w:cs="宋体"/>
                <w:bCs/>
                <w:sz w:val="21"/>
                <w:szCs w:val="21"/>
              </w:rPr>
              <w:t>项目开展的</w:t>
            </w:r>
            <w:r>
              <w:rPr>
                <w:rFonts w:hint="eastAsia" w:ascii="宋体" w:hAnsi="宋体" w:eastAsia="宋体" w:cs="宋体"/>
                <w:bCs/>
                <w:sz w:val="21"/>
                <w:szCs w:val="21"/>
                <w:lang w:eastAsia="zh-CN"/>
              </w:rPr>
              <w:t>。</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每推迟1个工作日扣4分，累计推迟X天，扣4*X分。</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投标人在招标人作业范围内</w:t>
            </w:r>
            <w:r>
              <w:rPr>
                <w:rFonts w:hint="eastAsia" w:ascii="宋体" w:hAnsi="宋体" w:eastAsia="宋体" w:cs="宋体"/>
                <w:bCs/>
                <w:sz w:val="21"/>
                <w:szCs w:val="21"/>
              </w:rPr>
              <w:t>吸烟</w:t>
            </w:r>
            <w:r>
              <w:rPr>
                <w:rFonts w:hint="eastAsia" w:ascii="宋体" w:hAnsi="宋体" w:eastAsia="宋体" w:cs="宋体"/>
                <w:bCs/>
                <w:sz w:val="21"/>
                <w:szCs w:val="21"/>
                <w:lang w:eastAsia="zh-CN"/>
              </w:rPr>
              <w:t>。</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每次扣3分。</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投标人未经允许不得私自触碰招标人设备、</w:t>
            </w:r>
            <w:r>
              <w:rPr>
                <w:rFonts w:hint="eastAsia" w:ascii="宋体" w:hAnsi="宋体" w:eastAsia="宋体" w:cs="宋体"/>
                <w:bCs/>
                <w:sz w:val="21"/>
                <w:szCs w:val="21"/>
                <w:lang w:eastAsia="zh-CN"/>
              </w:rPr>
              <w:t>乱拉乱接电线。</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每次扣3分。</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1"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投标人在招标人作业范围未按要求正确穿戴安全帽、荧光衣和劳保鞋等劳动防护用品。</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每次扣3分。</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投标人检测仪器、生活垃圾或其他物资遗漏轨行区。</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每次扣4分。</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未经允许私自进入车站、轨行区、各设备房等作业场所。</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每次扣3分。</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pStyle w:val="45"/>
              <w:keepNext w:val="0"/>
              <w:keepLines w:val="0"/>
              <w:pageBreakBefore w:val="0"/>
              <w:widowControl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9</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携带或使用易燃、易爆物品进行车站或其他作业场所。</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每次扣3分。</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1"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10</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highlight w:val="none"/>
                <w:lang w:val="en-US" w:eastAsia="zh-CN"/>
              </w:rPr>
              <w:t>因投标人检测仪器设备原因，发生影响运营、客服、造成列车晚点、信号缺失等情况。</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每次扣8分。</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2" w:hRule="atLeas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11</w:t>
            </w:r>
          </w:p>
        </w:tc>
        <w:tc>
          <w:tcPr>
            <w:tcW w:w="4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现场检测过程出现其他违反招标人制度的情况。</w:t>
            </w:r>
          </w:p>
        </w:tc>
        <w:tc>
          <w:tcPr>
            <w:tcW w:w="3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每次扣3分。</w:t>
            </w:r>
          </w:p>
        </w:tc>
        <w:tc>
          <w:tcPr>
            <w:tcW w:w="10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color w:val="000000"/>
                <w:sz w:val="21"/>
                <w:szCs w:val="21"/>
                <w:highlight w:val="none"/>
              </w:rPr>
            </w:pPr>
          </w:p>
        </w:tc>
      </w:tr>
    </w:tbl>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投标人违反招标人相关规定、制度，按照表三质量考核标准、表四考核支付表执行（包括但不限于以下考核标准）：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以上3-11项条款均为投标人未对招标人人员和设备设施等造成影响的情况下的扣分处罚。当投标人行为给招标人造成一定影响，发生影响运营安全的一般及以上的事故，直接扣30分，且招标人有权解除合同，并由投标人承担解除服务合同给招标人造成的经济损失和法律责任。</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20" w:firstLineChars="20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以上同一考核项目发生3次及以上，或累计扣分超过30分，招标人有权解除合同，并由投标人承担解除服务合同给招标人造成的经济损失和法律责任。</w:t>
      </w:r>
    </w:p>
    <w:tbl>
      <w:tblPr>
        <w:tblStyle w:val="46"/>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27"/>
        <w:gridCol w:w="4284"/>
        <w:gridCol w:w="4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9" w:hRule="atLeast"/>
          <w:jc w:val="center"/>
        </w:trPr>
        <w:tc>
          <w:tcPr>
            <w:tcW w:w="97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default" w:ascii="宋体" w:hAnsi="宋体" w:eastAsia="宋体" w:cs="宋体"/>
                <w:b/>
                <w:i w:val="0"/>
                <w:color w:val="000000"/>
                <w:sz w:val="21"/>
                <w:szCs w:val="21"/>
                <w:highlight w:val="none"/>
                <w:u w:val="none"/>
                <w:lang w:val="en-US"/>
              </w:rPr>
            </w:pPr>
            <w:r>
              <w:rPr>
                <w:rFonts w:hint="eastAsia" w:ascii="宋体" w:hAnsi="宋体" w:eastAsia="宋体" w:cs="宋体"/>
                <w:b/>
                <w:i w:val="0"/>
                <w:color w:val="000000"/>
                <w:kern w:val="0"/>
                <w:sz w:val="21"/>
                <w:szCs w:val="21"/>
                <w:highlight w:val="none"/>
                <w:u w:val="none"/>
                <w:lang w:val="en-US" w:eastAsia="zh-CN"/>
              </w:rPr>
              <w:t>表四  考核支付表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9" w:hRule="atLeast"/>
          <w:jc w:val="center"/>
        </w:trPr>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rPr>
              <w:t>考评等级</w:t>
            </w:r>
          </w:p>
        </w:tc>
        <w:tc>
          <w:tcPr>
            <w:tcW w:w="4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rPr>
              <w:t>考评标准（基础分100分）</w:t>
            </w:r>
          </w:p>
        </w:tc>
        <w:tc>
          <w:tcPr>
            <w:tcW w:w="4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rPr>
              <w:t>备注（对应扣款）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jc w:val="center"/>
        </w:trPr>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rPr>
              <w:t>A级</w:t>
            </w:r>
          </w:p>
        </w:tc>
        <w:tc>
          <w:tcPr>
            <w:tcW w:w="4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rPr>
              <w:t>综合考评分≥90分,支付比例100%。</w:t>
            </w:r>
          </w:p>
        </w:tc>
        <w:tc>
          <w:tcPr>
            <w:tcW w:w="4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rPr>
              <w:t>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jc w:val="center"/>
        </w:trPr>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rPr>
              <w:t>B级</w:t>
            </w:r>
          </w:p>
        </w:tc>
        <w:tc>
          <w:tcPr>
            <w:tcW w:w="4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rPr>
              <w:t>80分≤综合考评分&lt;90分，支付比例90%。</w:t>
            </w:r>
          </w:p>
        </w:tc>
        <w:tc>
          <w:tcPr>
            <w:tcW w:w="4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rPr>
              <w:t>10%合同价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jc w:val="center"/>
        </w:trPr>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rPr>
              <w:t>C级</w:t>
            </w:r>
          </w:p>
        </w:tc>
        <w:tc>
          <w:tcPr>
            <w:tcW w:w="4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rPr>
              <w:t>70分≤综合考评分&lt;80分，支付比例80%。</w:t>
            </w:r>
          </w:p>
        </w:tc>
        <w:tc>
          <w:tcPr>
            <w:tcW w:w="4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rPr>
              <w:t>20%合同价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jc w:val="center"/>
        </w:trPr>
        <w:tc>
          <w:tcPr>
            <w:tcW w:w="1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D级</w:t>
            </w:r>
          </w:p>
        </w:tc>
        <w:tc>
          <w:tcPr>
            <w:tcW w:w="4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综合考评分&lt;70分，支付比例70%。</w:t>
            </w:r>
          </w:p>
        </w:tc>
        <w:tc>
          <w:tcPr>
            <w:tcW w:w="4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center"/>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i w:val="0"/>
                <w:color w:val="000000"/>
                <w:kern w:val="0"/>
                <w:sz w:val="21"/>
                <w:szCs w:val="21"/>
                <w:highlight w:val="none"/>
                <w:u w:val="none"/>
                <w:lang w:val="en-US" w:eastAsia="zh-CN"/>
              </w:rPr>
              <w:t>30%合同价，赔偿相关损失，招标人有权解除合同。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9" w:hRule="atLeast"/>
          <w:jc w:val="center"/>
        </w:trPr>
        <w:tc>
          <w:tcPr>
            <w:tcW w:w="97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rPr>
                <w:rFonts w:hint="eastAsia" w:ascii="宋体" w:hAnsi="宋体" w:eastAsia="宋体" w:cs="宋体"/>
                <w:i w:val="0"/>
                <w:color w:val="000000"/>
                <w:kern w:val="0"/>
                <w:sz w:val="21"/>
                <w:szCs w:val="21"/>
                <w:highlight w:val="none"/>
                <w:u w:val="none"/>
                <w:lang w:val="en-US" w:eastAsia="zh-CN"/>
              </w:rPr>
            </w:pPr>
            <w:r>
              <w:rPr>
                <w:rFonts w:hint="eastAsia" w:ascii="宋体" w:hAnsi="宋体" w:eastAsia="宋体" w:cs="宋体"/>
                <w:bCs/>
                <w:sz w:val="21"/>
                <w:szCs w:val="21"/>
                <w:highlight w:val="none"/>
              </w:rPr>
              <w:t>当</w:t>
            </w:r>
            <w:r>
              <w:rPr>
                <w:rFonts w:hint="eastAsia" w:ascii="宋体" w:hAnsi="宋体" w:cs="宋体"/>
                <w:bCs/>
                <w:sz w:val="21"/>
                <w:szCs w:val="21"/>
                <w:highlight w:val="none"/>
                <w:lang w:val="en-US" w:eastAsia="zh-CN"/>
              </w:rPr>
              <w:t>综合考评分在</w:t>
            </w:r>
            <w:r>
              <w:rPr>
                <w:rFonts w:hint="eastAsia" w:ascii="宋体" w:hAnsi="宋体" w:eastAsia="宋体" w:cs="宋体"/>
                <w:bCs/>
                <w:sz w:val="21"/>
                <w:szCs w:val="21"/>
                <w:highlight w:val="none"/>
              </w:rPr>
              <w:t>90分以上（含90分）时，</w:t>
            </w:r>
            <w:r>
              <w:rPr>
                <w:rFonts w:hint="eastAsia" w:ascii="宋体" w:hAnsi="宋体" w:eastAsia="宋体" w:cs="宋体"/>
                <w:bCs/>
                <w:sz w:val="21"/>
                <w:szCs w:val="21"/>
                <w:highlight w:val="none"/>
                <w:lang w:val="en-US" w:eastAsia="zh-CN"/>
              </w:rPr>
              <w:t>不予扣款</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rPr>
              <w:t>当</w:t>
            </w:r>
            <w:r>
              <w:rPr>
                <w:rFonts w:hint="eastAsia" w:ascii="宋体" w:hAnsi="宋体" w:cs="宋体"/>
                <w:bCs/>
                <w:sz w:val="21"/>
                <w:szCs w:val="21"/>
                <w:highlight w:val="none"/>
                <w:lang w:val="en-US" w:eastAsia="zh-CN"/>
              </w:rPr>
              <w:t>综合考评</w:t>
            </w:r>
            <w:r>
              <w:rPr>
                <w:rFonts w:hint="eastAsia" w:ascii="宋体" w:hAnsi="宋体" w:eastAsia="宋体" w:cs="宋体"/>
                <w:bCs/>
                <w:sz w:val="21"/>
                <w:szCs w:val="21"/>
                <w:highlight w:val="none"/>
              </w:rPr>
              <w:t>分数在90分以下时，</w:t>
            </w:r>
            <w:r>
              <w:rPr>
                <w:rFonts w:hint="eastAsia" w:ascii="宋体" w:hAnsi="宋体" w:cs="宋体"/>
                <w:bCs/>
                <w:sz w:val="21"/>
                <w:szCs w:val="21"/>
                <w:highlight w:val="none"/>
                <w:lang w:val="en-US" w:eastAsia="zh-CN"/>
              </w:rPr>
              <w:t>按照此表扣款比例</w:t>
            </w:r>
            <w:r>
              <w:rPr>
                <w:rFonts w:hint="eastAsia" w:ascii="宋体" w:hAnsi="宋体" w:eastAsia="宋体" w:cs="宋体"/>
                <w:bCs/>
                <w:sz w:val="21"/>
                <w:szCs w:val="21"/>
                <w:highlight w:val="none"/>
              </w:rPr>
              <w:t>扣</w:t>
            </w:r>
            <w:r>
              <w:rPr>
                <w:rFonts w:hint="eastAsia" w:ascii="宋体" w:hAnsi="宋体" w:cs="宋体"/>
                <w:bCs/>
                <w:sz w:val="21"/>
                <w:szCs w:val="21"/>
                <w:highlight w:val="none"/>
                <w:lang w:val="en-US" w:eastAsia="zh-CN"/>
              </w:rPr>
              <w:t>除</w:t>
            </w:r>
            <w:r>
              <w:rPr>
                <w:rFonts w:hint="eastAsia" w:ascii="宋体" w:hAnsi="宋体" w:eastAsia="宋体" w:cs="宋体"/>
                <w:bCs/>
                <w:sz w:val="21"/>
                <w:szCs w:val="21"/>
                <w:highlight w:val="none"/>
              </w:rPr>
              <w:t>相对应的服务费。</w:t>
            </w:r>
          </w:p>
        </w:tc>
      </w:tr>
    </w:tbl>
    <w:p>
      <w:pPr>
        <w:pStyle w:val="3"/>
        <w:keepNext w:val="0"/>
        <w:keepLines w:val="0"/>
        <w:pageBreakBefore w:val="0"/>
        <w:widowControl w:val="0"/>
        <w:kinsoku/>
        <w:wordWrap/>
        <w:overflowPunct/>
        <w:topLinePunct w:val="0"/>
        <w:bidi w:val="0"/>
        <w:spacing w:line="360" w:lineRule="auto"/>
        <w:ind w:left="0" w:leftChars="0" w:right="0" w:rightChars="0" w:firstLine="643" w:firstLineChars="200"/>
        <w:jc w:val="center"/>
        <w:rPr>
          <w:rFonts w:hint="eastAsia" w:ascii="黑体" w:hAnsi="黑体" w:eastAsia="黑体"/>
          <w:bCs w:val="0"/>
          <w:sz w:val="32"/>
          <w:szCs w:val="32"/>
        </w:rPr>
        <w:sectPr>
          <w:footerReference r:id="rId10" w:type="first"/>
          <w:headerReference r:id="rId8" w:type="default"/>
          <w:footerReference r:id="rId9" w:type="default"/>
          <w:pgSz w:w="12240" w:h="15840"/>
          <w:pgMar w:top="1440" w:right="1800" w:bottom="1440" w:left="1800" w:header="720" w:footer="720" w:gutter="0"/>
          <w:pgNumType w:fmt="decimal"/>
          <w:cols w:space="720" w:num="1"/>
          <w:titlePg/>
          <w:rtlGutter w:val="0"/>
          <w:docGrid w:type="lines" w:linePitch="323" w:charSpace="0"/>
        </w:sect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jc w:val="center"/>
        <w:rPr>
          <w:rFonts w:hint="eastAsia" w:ascii="宋体" w:hAnsi="宋体" w:eastAsia="宋体" w:cs="宋体"/>
          <w:bCs w:val="0"/>
          <w:sz w:val="32"/>
          <w:szCs w:val="32"/>
        </w:rPr>
      </w:pPr>
      <w:bookmarkStart w:id="15" w:name="_Toc19957"/>
      <w:r>
        <w:rPr>
          <w:rFonts w:hint="eastAsia" w:ascii="宋体" w:hAnsi="宋体" w:eastAsia="宋体" w:cs="宋体"/>
          <w:bCs w:val="0"/>
          <w:sz w:val="32"/>
          <w:szCs w:val="32"/>
        </w:rPr>
        <w:t xml:space="preserve">第五章 </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合同格式条款</w:t>
      </w:r>
      <w:bookmarkEnd w:id="15"/>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right"/>
        <w:rPr>
          <w:rFonts w:ascii="仿宋" w:hAnsi="仿宋" w:eastAsia="仿宋"/>
          <w:snapToGrid w:val="0"/>
          <w:sz w:val="22"/>
          <w:szCs w:val="18"/>
        </w:rPr>
      </w:pPr>
      <w:r>
        <w:rPr>
          <w:rFonts w:hint="eastAsia" w:ascii="仿宋_GB2312" w:hAnsi="仿宋_GB2312" w:eastAsia="仿宋_GB2312" w:cs="仿宋_GB2312"/>
          <w:snapToGrid w:val="0"/>
          <w:sz w:val="24"/>
        </w:rPr>
        <w:t>合同编号:长轨运</w:t>
      </w:r>
      <w:r>
        <w:rPr>
          <w:rFonts w:hint="eastAsia" w:ascii="仿宋_GB2312" w:hAnsi="仿宋_GB2312" w:eastAsia="仿宋_GB2312" w:cs="仿宋_GB2312"/>
          <w:snapToGrid w:val="0"/>
          <w:sz w:val="24"/>
          <w:u w:val="single"/>
          <w:lang w:val="en-US" w:eastAsia="zh-CN"/>
        </w:rPr>
        <w:t xml:space="preserve">   </w:t>
      </w:r>
      <w:r>
        <w:rPr>
          <w:rFonts w:hint="eastAsia" w:ascii="仿宋_GB2312" w:hAnsi="仿宋_GB2312" w:eastAsia="仿宋_GB2312" w:cs="仿宋_GB2312"/>
          <w:snapToGrid w:val="0"/>
          <w:sz w:val="24"/>
          <w:lang w:eastAsia="zh-CN"/>
        </w:rPr>
        <w:t>服</w:t>
      </w:r>
      <w:r>
        <w:rPr>
          <w:rFonts w:hint="eastAsia" w:ascii="仿宋_GB2312" w:hAnsi="仿宋_GB2312" w:eastAsia="仿宋_GB2312" w:cs="仿宋_GB2312"/>
          <w:snapToGrid w:val="0"/>
          <w:sz w:val="24"/>
        </w:rPr>
        <w:t>合[201</w:t>
      </w:r>
      <w:r>
        <w:rPr>
          <w:rFonts w:hint="eastAsia" w:ascii="仿宋_GB2312" w:hAnsi="仿宋_GB2312" w:eastAsia="仿宋_GB2312" w:cs="仿宋_GB2312"/>
          <w:snapToGrid w:val="0"/>
          <w:sz w:val="24"/>
          <w:lang w:val="en-US" w:eastAsia="zh-CN"/>
        </w:rPr>
        <w:t>9</w:t>
      </w:r>
      <w:r>
        <w:rPr>
          <w:rFonts w:hint="eastAsia" w:ascii="仿宋_GB2312" w:hAnsi="仿宋_GB2312" w:eastAsia="仿宋_GB2312" w:cs="仿宋_GB2312"/>
          <w:snapToGrid w:val="0"/>
          <w:sz w:val="24"/>
        </w:rPr>
        <w:t>]</w:t>
      </w:r>
      <w:r>
        <w:rPr>
          <w:rFonts w:hint="eastAsia" w:ascii="仿宋_GB2312" w:hAnsi="仿宋_GB2312" w:eastAsia="仿宋_GB2312" w:cs="仿宋_GB2312"/>
          <w:snapToGrid w:val="0"/>
          <w:sz w:val="24"/>
          <w:u w:val="single"/>
          <w:lang w:val="en-US" w:eastAsia="zh-CN"/>
        </w:rPr>
        <w:t xml:space="preserve">    </w:t>
      </w:r>
      <w:r>
        <w:rPr>
          <w:rFonts w:hint="eastAsia" w:ascii="仿宋_GB2312" w:hAnsi="仿宋_GB2312" w:eastAsia="仿宋_GB2312" w:cs="仿宋_GB2312"/>
          <w:snapToGrid w:val="0"/>
          <w:sz w:val="24"/>
        </w:rPr>
        <w:t>号</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361" w:firstLineChars="200"/>
        <w:rPr>
          <w:rFonts w:hint="eastAsia" w:ascii="仿宋_GB2312" w:hAnsi="仿宋_GB2312" w:eastAsia="仿宋_GB2312" w:cs="仿宋_GB2312"/>
          <w:b/>
          <w:snapToGrid w:val="0"/>
          <w:sz w:val="18"/>
          <w:szCs w:val="1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361" w:firstLineChars="200"/>
        <w:rPr>
          <w:rFonts w:hint="eastAsia" w:ascii="仿宋_GB2312" w:hAnsi="仿宋_GB2312" w:eastAsia="仿宋_GB2312" w:cs="仿宋_GB2312"/>
          <w:b/>
          <w:snapToGrid w:val="0"/>
          <w:sz w:val="18"/>
          <w:szCs w:val="1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361" w:firstLineChars="200"/>
        <w:rPr>
          <w:rFonts w:hint="eastAsia" w:ascii="仿宋_GB2312" w:hAnsi="仿宋_GB2312" w:eastAsia="仿宋_GB2312" w:cs="仿宋_GB2312"/>
          <w:b/>
          <w:snapToGrid w:val="0"/>
          <w:sz w:val="18"/>
          <w:szCs w:val="1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361" w:firstLineChars="200"/>
        <w:rPr>
          <w:rFonts w:hint="eastAsia" w:ascii="仿宋_GB2312" w:hAnsi="仿宋_GB2312" w:eastAsia="仿宋_GB2312" w:cs="仿宋_GB2312"/>
          <w:b/>
          <w:snapToGrid w:val="0"/>
          <w:sz w:val="18"/>
          <w:szCs w:val="1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361" w:firstLineChars="200"/>
        <w:rPr>
          <w:rFonts w:hint="eastAsia" w:ascii="仿宋_GB2312" w:hAnsi="仿宋_GB2312" w:eastAsia="仿宋_GB2312" w:cs="仿宋_GB2312"/>
          <w:b/>
          <w:snapToGrid w:val="0"/>
          <w:sz w:val="18"/>
          <w:szCs w:val="1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1124" w:firstLineChars="200"/>
        <w:jc w:val="center"/>
        <w:rPr>
          <w:rFonts w:hint="eastAsia" w:ascii="仿宋_GB2312" w:hAnsi="仿宋_GB2312" w:eastAsia="仿宋_GB2312" w:cs="仿宋_GB2312"/>
          <w:b/>
          <w:snapToGrid w:val="0"/>
          <w:sz w:val="48"/>
          <w:szCs w:val="48"/>
        </w:rPr>
      </w:pPr>
      <w:r>
        <w:rPr>
          <w:rFonts w:hint="eastAsia" w:ascii="仿宋_GB2312" w:hAnsi="仿宋_GB2312" w:eastAsia="仿宋_GB2312" w:cs="仿宋_GB2312"/>
          <w:b/>
          <w:snapToGrid w:val="0"/>
          <w:spacing w:val="20"/>
          <w:sz w:val="52"/>
          <w:szCs w:val="52"/>
          <w:lang w:eastAsia="zh-CN"/>
        </w:rPr>
        <w:t>服务项目</w:t>
      </w:r>
      <w:r>
        <w:rPr>
          <w:rFonts w:hint="eastAsia" w:ascii="仿宋_GB2312" w:hAnsi="仿宋_GB2312" w:eastAsia="仿宋_GB2312" w:cs="仿宋_GB2312"/>
          <w:b/>
          <w:snapToGrid w:val="0"/>
          <w:spacing w:val="20"/>
          <w:sz w:val="52"/>
          <w:szCs w:val="52"/>
        </w:rPr>
        <w:t>合同</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361" w:firstLineChars="200"/>
        <w:rPr>
          <w:rFonts w:hint="eastAsia" w:ascii="仿宋_GB2312" w:hAnsi="仿宋_GB2312" w:eastAsia="仿宋_GB2312" w:cs="仿宋_GB2312"/>
          <w:b/>
          <w:snapToGrid w:val="0"/>
          <w:sz w:val="18"/>
          <w:szCs w:val="1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361" w:firstLineChars="200"/>
        <w:rPr>
          <w:rFonts w:hint="eastAsia" w:ascii="仿宋_GB2312" w:hAnsi="仿宋_GB2312" w:eastAsia="仿宋_GB2312" w:cs="仿宋_GB2312"/>
          <w:b/>
          <w:snapToGrid w:val="0"/>
          <w:sz w:val="18"/>
          <w:szCs w:val="1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361" w:firstLineChars="200"/>
        <w:rPr>
          <w:rFonts w:hint="eastAsia" w:ascii="仿宋_GB2312" w:hAnsi="仿宋_GB2312" w:eastAsia="仿宋_GB2312" w:cs="仿宋_GB2312"/>
          <w:b/>
          <w:snapToGrid w:val="0"/>
          <w:sz w:val="18"/>
          <w:szCs w:val="1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361" w:firstLineChars="200"/>
        <w:rPr>
          <w:rFonts w:hint="eastAsia" w:ascii="仿宋_GB2312" w:hAnsi="仿宋_GB2312" w:eastAsia="仿宋_GB2312" w:cs="仿宋_GB2312"/>
          <w:b/>
          <w:snapToGrid w:val="0"/>
          <w:sz w:val="18"/>
          <w:szCs w:val="1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361" w:firstLineChars="200"/>
        <w:rPr>
          <w:rFonts w:hint="eastAsia" w:ascii="仿宋_GB2312" w:hAnsi="仿宋_GB2312" w:eastAsia="仿宋_GB2312" w:cs="仿宋_GB2312"/>
          <w:b/>
          <w:snapToGrid w:val="0"/>
          <w:sz w:val="18"/>
          <w:szCs w:val="18"/>
        </w:rPr>
      </w:pPr>
    </w:p>
    <w:p>
      <w:pPr>
        <w:keepNext w:val="0"/>
        <w:keepLines w:val="0"/>
        <w:pageBreakBefore w:val="0"/>
        <w:widowControl w:val="0"/>
        <w:kinsoku/>
        <w:wordWrap/>
        <w:overflowPunct/>
        <w:topLinePunct w:val="0"/>
        <w:bidi w:val="0"/>
        <w:adjustRightInd w:val="0"/>
        <w:snapToGrid w:val="0"/>
        <w:spacing w:afterLines="0" w:line="360" w:lineRule="auto"/>
        <w:ind w:left="0" w:leftChars="0" w:right="0" w:rightChars="0" w:firstLine="562" w:firstLineChars="200"/>
        <w:jc w:val="left"/>
        <w:rPr>
          <w:rFonts w:hint="eastAsia" w:ascii="仿宋_GB2312" w:hAnsi="仿宋_GB2312" w:eastAsia="仿宋_GB2312" w:cs="仿宋_GB2312"/>
          <w:b/>
          <w:snapToGrid w:val="0"/>
          <w:sz w:val="28"/>
          <w:szCs w:val="28"/>
          <w:highlight w:val="none"/>
          <w:u w:val="dotted"/>
          <w:lang w:val="en-US" w:eastAsia="zh-CN"/>
        </w:rPr>
      </w:pPr>
      <w:r>
        <w:rPr>
          <w:rFonts w:hint="eastAsia" w:ascii="仿宋_GB2312" w:hAnsi="仿宋_GB2312" w:eastAsia="仿宋_GB2312" w:cs="仿宋_GB2312"/>
          <w:b/>
          <w:snapToGrid w:val="0"/>
          <w:sz w:val="28"/>
          <w:szCs w:val="28"/>
          <w:lang w:eastAsia="zh-CN"/>
        </w:rPr>
        <w:t>项目</w:t>
      </w:r>
      <w:r>
        <w:rPr>
          <w:rFonts w:hint="eastAsia" w:ascii="仿宋_GB2312" w:hAnsi="仿宋_GB2312" w:eastAsia="仿宋_GB2312" w:cs="仿宋_GB2312"/>
          <w:b/>
          <w:snapToGrid w:val="0"/>
          <w:sz w:val="28"/>
          <w:szCs w:val="28"/>
        </w:rPr>
        <w:t>名称：</w:t>
      </w:r>
      <w:r>
        <w:rPr>
          <w:rFonts w:hint="eastAsia" w:ascii="仿宋_GB2312" w:hAnsi="仿宋_GB2312" w:eastAsia="仿宋_GB2312" w:cs="仿宋_GB2312"/>
          <w:b/>
          <w:snapToGrid w:val="0"/>
          <w:sz w:val="28"/>
          <w:szCs w:val="28"/>
          <w:u w:val="dotted"/>
        </w:rPr>
        <w:t>长沙市轨道交通5号线一期工程筹备期职业病防护设施竣工验收服务项目</w:t>
      </w:r>
      <w:r>
        <w:rPr>
          <w:rFonts w:hint="eastAsia" w:ascii="仿宋_GB2312" w:hAnsi="仿宋_GB2312" w:eastAsia="仿宋_GB2312" w:cs="仿宋_GB2312"/>
          <w:b/>
          <w:snapToGrid w:val="0"/>
          <w:sz w:val="28"/>
          <w:szCs w:val="28"/>
          <w:u w:val="dotted"/>
          <w:lang w:eastAsia="zh-CN"/>
        </w:rPr>
        <w:t>（</w:t>
      </w:r>
      <w:r>
        <w:rPr>
          <w:rFonts w:hint="eastAsia" w:ascii="仿宋_GB2312" w:hAnsi="仿宋_GB2312" w:eastAsia="仿宋_GB2312" w:cs="仿宋_GB2312"/>
          <w:b/>
          <w:snapToGrid w:val="0"/>
          <w:sz w:val="28"/>
          <w:szCs w:val="28"/>
          <w:u w:val="dotted"/>
        </w:rPr>
        <w:t>2019-2020年度</w:t>
      </w:r>
      <w:r>
        <w:rPr>
          <w:rFonts w:hint="eastAsia" w:ascii="仿宋_GB2312" w:hAnsi="仿宋_GB2312" w:eastAsia="仿宋_GB2312" w:cs="仿宋_GB2312"/>
          <w:b/>
          <w:snapToGrid w:val="0"/>
          <w:sz w:val="28"/>
          <w:szCs w:val="28"/>
          <w:u w:val="dotted"/>
          <w:lang w:eastAsia="zh-CN"/>
        </w:rPr>
        <w:t>）</w:t>
      </w:r>
    </w:p>
    <w:p>
      <w:pPr>
        <w:keepNext w:val="0"/>
        <w:keepLines w:val="0"/>
        <w:pageBreakBefore w:val="0"/>
        <w:widowControl w:val="0"/>
        <w:kinsoku/>
        <w:wordWrap/>
        <w:overflowPunct/>
        <w:topLinePunct w:val="0"/>
        <w:bidi w:val="0"/>
        <w:adjustRightInd w:val="0"/>
        <w:snapToGrid w:val="0"/>
        <w:spacing w:afterLines="0" w:line="360" w:lineRule="auto"/>
        <w:ind w:left="0" w:leftChars="0" w:right="0" w:rightChars="0" w:firstLine="562" w:firstLineChars="200"/>
        <w:jc w:val="left"/>
        <w:rPr>
          <w:rFonts w:hint="eastAsia" w:ascii="仿宋_GB2312" w:hAnsi="仿宋_GB2312" w:eastAsia="仿宋_GB2312" w:cs="仿宋_GB2312"/>
          <w:b/>
          <w:snapToGrid w:val="0"/>
          <w:sz w:val="28"/>
          <w:szCs w:val="28"/>
          <w:lang w:eastAsia="zh-CN"/>
        </w:rPr>
      </w:pPr>
    </w:p>
    <w:p>
      <w:pPr>
        <w:keepNext w:val="0"/>
        <w:keepLines w:val="0"/>
        <w:pageBreakBefore w:val="0"/>
        <w:widowControl w:val="0"/>
        <w:kinsoku/>
        <w:wordWrap/>
        <w:overflowPunct/>
        <w:topLinePunct w:val="0"/>
        <w:bidi w:val="0"/>
        <w:adjustRightInd w:val="0"/>
        <w:snapToGrid w:val="0"/>
        <w:spacing w:afterLines="0" w:line="360" w:lineRule="auto"/>
        <w:ind w:left="0" w:leftChars="0" w:right="0" w:rightChars="0" w:firstLine="562" w:firstLineChars="200"/>
        <w:jc w:val="left"/>
        <w:rPr>
          <w:rFonts w:hint="eastAsia" w:ascii="仿宋_GB2312" w:hAnsi="仿宋_GB2312" w:eastAsia="仿宋_GB2312" w:cs="仿宋_GB2312"/>
          <w:b/>
          <w:snapToGrid w:val="0"/>
          <w:sz w:val="28"/>
          <w:szCs w:val="28"/>
          <w:lang w:eastAsia="zh-CN"/>
        </w:rPr>
      </w:pPr>
    </w:p>
    <w:p>
      <w:pPr>
        <w:keepNext w:val="0"/>
        <w:keepLines w:val="0"/>
        <w:pageBreakBefore w:val="0"/>
        <w:widowControl w:val="0"/>
        <w:kinsoku/>
        <w:wordWrap/>
        <w:overflowPunct/>
        <w:topLinePunct w:val="0"/>
        <w:bidi w:val="0"/>
        <w:adjustRightInd w:val="0"/>
        <w:snapToGrid w:val="0"/>
        <w:spacing w:afterLines="0" w:line="360" w:lineRule="auto"/>
        <w:ind w:left="0" w:leftChars="0" w:right="0" w:rightChars="0" w:firstLine="562" w:firstLineChars="200"/>
        <w:jc w:val="left"/>
        <w:rPr>
          <w:rFonts w:hint="eastAsia" w:ascii="仿宋_GB2312" w:hAnsi="仿宋_GB2312" w:eastAsia="仿宋_GB2312" w:cs="仿宋_GB2312"/>
          <w:b/>
          <w:snapToGrid w:val="0"/>
          <w:sz w:val="28"/>
          <w:szCs w:val="28"/>
        </w:rPr>
      </w:pPr>
      <w:r>
        <w:rPr>
          <w:rFonts w:hint="eastAsia" w:ascii="仿宋_GB2312" w:hAnsi="仿宋_GB2312" w:eastAsia="仿宋_GB2312" w:cs="仿宋_GB2312"/>
          <w:b/>
          <w:snapToGrid w:val="0"/>
          <w:sz w:val="28"/>
          <w:szCs w:val="28"/>
          <w:lang w:eastAsia="zh-CN"/>
        </w:rPr>
        <w:t>项目</w:t>
      </w:r>
      <w:r>
        <w:rPr>
          <w:rFonts w:hint="eastAsia" w:ascii="仿宋_GB2312" w:hAnsi="仿宋_GB2312" w:eastAsia="仿宋_GB2312" w:cs="仿宋_GB2312"/>
          <w:b/>
          <w:snapToGrid w:val="0"/>
          <w:sz w:val="28"/>
          <w:szCs w:val="28"/>
        </w:rPr>
        <w:t>地点：</w:t>
      </w:r>
      <w:r>
        <w:rPr>
          <w:rFonts w:hint="eastAsia" w:ascii="仿宋_GB2312" w:hAnsi="仿宋_GB2312" w:eastAsia="仿宋_GB2312" w:cs="仿宋_GB2312"/>
          <w:b/>
          <w:snapToGrid w:val="0"/>
          <w:sz w:val="28"/>
          <w:szCs w:val="28"/>
          <w:u w:val="dotted"/>
        </w:rPr>
        <w:t>湖南省长沙市</w:t>
      </w:r>
      <w:r>
        <w:rPr>
          <w:rFonts w:hint="eastAsia" w:ascii="仿宋_GB2312" w:hAnsi="仿宋_GB2312" w:eastAsia="仿宋_GB2312" w:cs="仿宋_GB2312"/>
          <w:b/>
          <w:snapToGrid w:val="0"/>
          <w:sz w:val="28"/>
          <w:szCs w:val="28"/>
        </w:rPr>
        <w:t xml:space="preserve">    </w:t>
      </w:r>
    </w:p>
    <w:p>
      <w:pPr>
        <w:keepNext w:val="0"/>
        <w:keepLines w:val="0"/>
        <w:pageBreakBefore w:val="0"/>
        <w:widowControl w:val="0"/>
        <w:kinsoku/>
        <w:wordWrap/>
        <w:overflowPunct/>
        <w:topLinePunct w:val="0"/>
        <w:bidi w:val="0"/>
        <w:adjustRightInd w:val="0"/>
        <w:snapToGrid w:val="0"/>
        <w:spacing w:afterLines="0" w:line="360" w:lineRule="auto"/>
        <w:ind w:left="0" w:leftChars="0" w:right="0" w:rightChars="0" w:firstLine="562" w:firstLineChars="200"/>
        <w:jc w:val="left"/>
        <w:rPr>
          <w:rFonts w:hint="eastAsia" w:ascii="仿宋_GB2312" w:hAnsi="仿宋_GB2312" w:eastAsia="仿宋_GB2312" w:cs="仿宋_GB2312"/>
          <w:b/>
          <w:snapToGrid w:val="0"/>
          <w:sz w:val="28"/>
          <w:szCs w:val="28"/>
        </w:rPr>
      </w:pPr>
    </w:p>
    <w:p>
      <w:pPr>
        <w:keepNext w:val="0"/>
        <w:keepLines w:val="0"/>
        <w:pageBreakBefore w:val="0"/>
        <w:widowControl w:val="0"/>
        <w:kinsoku/>
        <w:wordWrap/>
        <w:overflowPunct/>
        <w:topLinePunct w:val="0"/>
        <w:bidi w:val="0"/>
        <w:adjustRightInd w:val="0"/>
        <w:snapToGrid w:val="0"/>
        <w:spacing w:afterLines="0" w:line="360" w:lineRule="auto"/>
        <w:ind w:left="0" w:leftChars="0" w:right="0" w:rightChars="0" w:firstLine="562" w:firstLineChars="200"/>
        <w:jc w:val="left"/>
        <w:rPr>
          <w:rFonts w:hint="eastAsia" w:ascii="仿宋_GB2312" w:hAnsi="仿宋_GB2312" w:eastAsia="仿宋_GB2312" w:cs="仿宋_GB2312"/>
          <w:b/>
          <w:snapToGrid w:val="0"/>
          <w:sz w:val="28"/>
          <w:szCs w:val="28"/>
        </w:rPr>
      </w:pPr>
    </w:p>
    <w:p>
      <w:pPr>
        <w:keepNext w:val="0"/>
        <w:keepLines w:val="0"/>
        <w:pageBreakBefore w:val="0"/>
        <w:widowControl w:val="0"/>
        <w:kinsoku/>
        <w:wordWrap/>
        <w:overflowPunct/>
        <w:topLinePunct w:val="0"/>
        <w:bidi w:val="0"/>
        <w:adjustRightInd w:val="0"/>
        <w:snapToGrid w:val="0"/>
        <w:spacing w:afterLines="0" w:line="360" w:lineRule="auto"/>
        <w:ind w:left="0" w:leftChars="0" w:right="0" w:rightChars="0" w:firstLine="562" w:firstLineChars="200"/>
        <w:jc w:val="left"/>
        <w:rPr>
          <w:rFonts w:hint="eastAsia" w:ascii="仿宋_GB2312" w:hAnsi="仿宋_GB2312" w:eastAsia="仿宋_GB2312" w:cs="仿宋_GB2312"/>
          <w:b/>
          <w:snapToGrid w:val="0"/>
          <w:sz w:val="28"/>
          <w:szCs w:val="28"/>
        </w:rPr>
      </w:pPr>
      <w:r>
        <w:rPr>
          <w:rFonts w:hint="eastAsia" w:ascii="仿宋_GB2312" w:hAnsi="仿宋_GB2312" w:eastAsia="仿宋_GB2312" w:cs="仿宋_GB2312"/>
          <w:b/>
          <w:snapToGrid w:val="0"/>
          <w:sz w:val="28"/>
          <w:szCs w:val="28"/>
        </w:rPr>
        <w:t>甲</w:t>
      </w:r>
      <w:r>
        <w:rPr>
          <w:rFonts w:hint="eastAsia" w:ascii="仿宋_GB2312" w:hAnsi="仿宋_GB2312" w:eastAsia="仿宋_GB2312" w:cs="仿宋_GB2312"/>
          <w:b/>
          <w:snapToGrid w:val="0"/>
          <w:sz w:val="28"/>
          <w:szCs w:val="28"/>
          <w:lang w:val="en-US" w:eastAsia="zh-CN"/>
        </w:rPr>
        <w:t xml:space="preserve">    </w:t>
      </w:r>
      <w:r>
        <w:rPr>
          <w:rFonts w:hint="eastAsia" w:ascii="仿宋_GB2312" w:hAnsi="仿宋_GB2312" w:eastAsia="仿宋_GB2312" w:cs="仿宋_GB2312"/>
          <w:b/>
          <w:snapToGrid w:val="0"/>
          <w:sz w:val="28"/>
          <w:szCs w:val="28"/>
        </w:rPr>
        <w:t>方：</w:t>
      </w:r>
      <w:r>
        <w:rPr>
          <w:rFonts w:hint="eastAsia" w:ascii="仿宋_GB2312" w:hAnsi="仿宋_GB2312" w:eastAsia="仿宋_GB2312" w:cs="仿宋_GB2312"/>
          <w:b/>
          <w:snapToGrid w:val="0"/>
          <w:sz w:val="28"/>
          <w:szCs w:val="28"/>
          <w:u w:val="dotted"/>
          <w:lang w:val="en-US" w:eastAsia="zh-CN"/>
        </w:rPr>
        <w:t xml:space="preserve">                 </w:t>
      </w:r>
      <w:r>
        <w:rPr>
          <w:rFonts w:hint="eastAsia" w:ascii="仿宋_GB2312" w:hAnsi="仿宋_GB2312" w:eastAsia="仿宋_GB2312" w:cs="仿宋_GB2312"/>
          <w:b/>
          <w:snapToGrid w:val="0"/>
          <w:sz w:val="28"/>
          <w:szCs w:val="28"/>
        </w:rPr>
        <w:t xml:space="preserve">    </w:t>
      </w:r>
    </w:p>
    <w:p>
      <w:pPr>
        <w:keepNext w:val="0"/>
        <w:keepLines w:val="0"/>
        <w:pageBreakBefore w:val="0"/>
        <w:widowControl w:val="0"/>
        <w:kinsoku/>
        <w:wordWrap/>
        <w:overflowPunct/>
        <w:topLinePunct w:val="0"/>
        <w:bidi w:val="0"/>
        <w:adjustRightInd w:val="0"/>
        <w:snapToGrid w:val="0"/>
        <w:spacing w:afterLines="0" w:line="360" w:lineRule="auto"/>
        <w:ind w:left="0" w:leftChars="0" w:right="0" w:rightChars="0" w:firstLine="562" w:firstLineChars="200"/>
        <w:jc w:val="left"/>
        <w:rPr>
          <w:rFonts w:hint="eastAsia" w:ascii="仿宋_GB2312" w:hAnsi="仿宋_GB2312" w:eastAsia="仿宋_GB2312" w:cs="仿宋_GB2312"/>
          <w:b/>
          <w:snapToGrid w:val="0"/>
          <w:sz w:val="28"/>
          <w:szCs w:val="28"/>
        </w:rPr>
      </w:pPr>
      <w:r>
        <w:rPr>
          <w:rFonts w:hint="eastAsia" w:ascii="仿宋_GB2312" w:hAnsi="仿宋_GB2312" w:eastAsia="仿宋_GB2312" w:cs="仿宋_GB2312"/>
          <w:b/>
          <w:snapToGrid w:val="0"/>
          <w:sz w:val="28"/>
          <w:szCs w:val="28"/>
        </w:rPr>
        <w:t xml:space="preserve">         </w:t>
      </w:r>
    </w:p>
    <w:p>
      <w:pPr>
        <w:keepNext w:val="0"/>
        <w:keepLines w:val="0"/>
        <w:pageBreakBefore w:val="0"/>
        <w:widowControl w:val="0"/>
        <w:kinsoku/>
        <w:wordWrap/>
        <w:overflowPunct/>
        <w:topLinePunct w:val="0"/>
        <w:bidi w:val="0"/>
        <w:adjustRightInd w:val="0"/>
        <w:snapToGrid w:val="0"/>
        <w:spacing w:before="157" w:beforeLines="50" w:afterLines="0" w:line="360" w:lineRule="auto"/>
        <w:ind w:left="0" w:leftChars="0" w:right="0" w:rightChars="0" w:firstLine="562" w:firstLineChars="200"/>
        <w:jc w:val="left"/>
        <w:textAlignment w:val="auto"/>
        <w:outlineLvl w:val="9"/>
        <w:rPr>
          <w:rFonts w:hint="eastAsia" w:ascii="仿宋_GB2312" w:hAnsi="仿宋_GB2312" w:eastAsia="仿宋_GB2312" w:cs="仿宋_GB2312"/>
          <w:b/>
          <w:snapToGrid w:val="0"/>
          <w:sz w:val="28"/>
          <w:szCs w:val="28"/>
        </w:rPr>
      </w:pPr>
      <w:r>
        <w:rPr>
          <w:rFonts w:hint="eastAsia" w:ascii="仿宋_GB2312" w:hAnsi="仿宋_GB2312" w:eastAsia="仿宋_GB2312" w:cs="仿宋_GB2312"/>
          <w:b/>
          <w:snapToGrid w:val="0"/>
          <w:sz w:val="28"/>
          <w:szCs w:val="28"/>
        </w:rPr>
        <w:t>乙</w:t>
      </w:r>
      <w:r>
        <w:rPr>
          <w:rFonts w:hint="eastAsia" w:ascii="仿宋_GB2312" w:hAnsi="仿宋_GB2312" w:eastAsia="仿宋_GB2312" w:cs="仿宋_GB2312"/>
          <w:b/>
          <w:snapToGrid w:val="0"/>
          <w:sz w:val="28"/>
          <w:szCs w:val="28"/>
          <w:lang w:val="en-US" w:eastAsia="zh-CN"/>
        </w:rPr>
        <w:t xml:space="preserve">    </w:t>
      </w:r>
      <w:r>
        <w:rPr>
          <w:rFonts w:hint="eastAsia" w:ascii="仿宋_GB2312" w:hAnsi="仿宋_GB2312" w:eastAsia="仿宋_GB2312" w:cs="仿宋_GB2312"/>
          <w:b/>
          <w:snapToGrid w:val="0"/>
          <w:sz w:val="28"/>
          <w:szCs w:val="28"/>
        </w:rPr>
        <w:t>方：</w:t>
      </w:r>
      <w:r>
        <w:rPr>
          <w:rFonts w:hint="eastAsia" w:ascii="仿宋_GB2312" w:hAnsi="仿宋_GB2312" w:eastAsia="仿宋_GB2312" w:cs="仿宋_GB2312"/>
          <w:b/>
          <w:snapToGrid w:val="0"/>
          <w:sz w:val="28"/>
          <w:szCs w:val="28"/>
          <w:u w:val="dotted"/>
          <w:lang w:val="en-US" w:eastAsia="zh-CN"/>
        </w:rPr>
        <w:t xml:space="preserve">                  </w:t>
      </w:r>
      <w:r>
        <w:rPr>
          <w:rFonts w:hint="eastAsia" w:ascii="仿宋_GB2312" w:hAnsi="仿宋_GB2312" w:eastAsia="仿宋_GB2312" w:cs="仿宋_GB2312"/>
          <w:b/>
          <w:snapToGrid w:val="0"/>
          <w:sz w:val="28"/>
          <w:szCs w:val="28"/>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center"/>
        <w:textAlignment w:val="auto"/>
        <w:rPr>
          <w:rFonts w:hint="eastAsia" w:ascii="宋体" w:hAnsi="宋体" w:eastAsia="宋体" w:cs="宋体"/>
          <w:b/>
          <w:bCs/>
          <w:snapToGrid w:val="0"/>
          <w:sz w:val="24"/>
          <w:lang w:eastAsia="zh-CN"/>
        </w:rPr>
      </w:pPr>
      <w:r>
        <w:rPr>
          <w:rFonts w:hint="eastAsia" w:ascii="仿宋_GB2312" w:hAnsi="宋体" w:eastAsia="仿宋_GB2312" w:cs="仿宋_GB2312"/>
          <w:b/>
          <w:bCs/>
          <w:snapToGrid w:val="0"/>
          <w:sz w:val="24"/>
          <w:lang w:eastAsia="zh-CN"/>
        </w:rPr>
        <w:br w:type="page"/>
      </w:r>
      <w:r>
        <w:rPr>
          <w:rFonts w:hint="eastAsia" w:ascii="宋体" w:hAnsi="宋体" w:eastAsia="宋体" w:cs="宋体"/>
          <w:b/>
          <w:snapToGrid w:val="0"/>
          <w:sz w:val="24"/>
          <w:lang w:val="en-US" w:eastAsia="zh-CN"/>
        </w:rPr>
        <w:t>第一部分  合同协议书</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u w:val="single"/>
          <w:lang w:val="en-US" w:eastAsia="zh-CN"/>
        </w:rPr>
      </w:pPr>
      <w:r>
        <w:rPr>
          <w:rFonts w:hint="eastAsia" w:ascii="宋体" w:hAnsi="宋体" w:eastAsia="宋体" w:cs="宋体"/>
          <w:snapToGrid w:val="0"/>
          <w:sz w:val="21"/>
          <w:szCs w:val="21"/>
        </w:rPr>
        <w:t>甲方（委托方）：</w:t>
      </w:r>
      <w:r>
        <w:rPr>
          <w:rFonts w:hint="eastAsia" w:ascii="宋体" w:hAnsi="宋体" w:eastAsia="宋体" w:cs="宋体"/>
          <w:snapToGrid w:val="0"/>
          <w:sz w:val="21"/>
          <w:szCs w:val="21"/>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u w:val="single"/>
          <w:lang w:val="en-US" w:eastAsia="zh-CN"/>
        </w:rPr>
      </w:pPr>
      <w:r>
        <w:rPr>
          <w:rFonts w:hint="eastAsia" w:ascii="宋体" w:hAnsi="宋体" w:eastAsia="宋体" w:cs="宋体"/>
          <w:snapToGrid w:val="0"/>
          <w:sz w:val="21"/>
          <w:szCs w:val="21"/>
        </w:rPr>
        <w:t>乙方（受托方）：</w:t>
      </w:r>
      <w:r>
        <w:rPr>
          <w:rFonts w:hint="eastAsia" w:ascii="宋体" w:hAnsi="宋体" w:eastAsia="宋体" w:cs="宋体"/>
          <w:snapToGrid w:val="0"/>
          <w:sz w:val="21"/>
          <w:szCs w:val="21"/>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本合同于</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rPr>
        <w:t>年</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月</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日由</w:t>
      </w:r>
      <w:r>
        <w:rPr>
          <w:rFonts w:hint="eastAsia" w:ascii="宋体" w:hAnsi="宋体" w:eastAsia="宋体" w:cs="宋体"/>
          <w:snapToGrid w:val="0"/>
          <w:sz w:val="21"/>
          <w:szCs w:val="21"/>
          <w:lang w:eastAsia="zh-CN"/>
        </w:rPr>
        <w:t>甲乙双方</w:t>
      </w:r>
      <w:r>
        <w:rPr>
          <w:rFonts w:hint="eastAsia" w:ascii="宋体" w:hAnsi="宋体" w:eastAsia="宋体" w:cs="宋体"/>
          <w:snapToGrid w:val="0"/>
          <w:sz w:val="21"/>
          <w:szCs w:val="21"/>
        </w:rPr>
        <w:t>根据《中华人民共和国合同法》及有关法律、法规，遵循平等、自愿、公平和诚实信用原则</w:t>
      </w:r>
      <w:r>
        <w:rPr>
          <w:rFonts w:hint="eastAsia" w:ascii="宋体" w:hAnsi="宋体" w:eastAsia="宋体" w:cs="宋体"/>
          <w:snapToGrid w:val="0"/>
          <w:sz w:val="21"/>
          <w:szCs w:val="21"/>
          <w:u w:val="none"/>
          <w:lang w:val="en-US" w:eastAsia="zh-CN"/>
        </w:rPr>
        <w:t>，</w:t>
      </w:r>
      <w:r>
        <w:rPr>
          <w:rFonts w:hint="eastAsia" w:ascii="宋体" w:hAnsi="宋体" w:eastAsia="宋体" w:cs="宋体"/>
          <w:snapToGrid w:val="0"/>
          <w:sz w:val="21"/>
          <w:szCs w:val="21"/>
        </w:rPr>
        <w:t>经双方协商一致，按下述条款和条件在</w:t>
      </w:r>
      <w:r>
        <w:rPr>
          <w:rFonts w:hint="eastAsia" w:ascii="宋体" w:hAnsi="宋体" w:eastAsia="宋体" w:cs="宋体"/>
          <w:snapToGrid w:val="0"/>
          <w:sz w:val="21"/>
          <w:szCs w:val="21"/>
          <w:u w:val="single"/>
        </w:rPr>
        <w:t>湖南省长沙市</w:t>
      </w:r>
      <w:r>
        <w:rPr>
          <w:rFonts w:hint="eastAsia" w:ascii="宋体" w:hAnsi="宋体" w:eastAsia="宋体" w:cs="宋体"/>
          <w:snapToGrid w:val="0"/>
          <w:sz w:val="21"/>
          <w:szCs w:val="21"/>
          <w:u w:val="single"/>
          <w:lang w:eastAsia="zh-CN"/>
        </w:rPr>
        <w:t>雨花区</w:t>
      </w:r>
      <w:r>
        <w:rPr>
          <w:rFonts w:hint="eastAsia" w:ascii="宋体" w:hAnsi="宋体" w:eastAsia="宋体" w:cs="宋体"/>
          <w:snapToGrid w:val="0"/>
          <w:sz w:val="21"/>
          <w:szCs w:val="21"/>
        </w:rPr>
        <w:t>签署。</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snapToGrid w:val="0"/>
          <w:sz w:val="21"/>
          <w:szCs w:val="21"/>
          <w:lang w:val="en-US" w:eastAsia="zh-CN"/>
        </w:rPr>
      </w:pPr>
      <w:r>
        <w:rPr>
          <w:rFonts w:hint="eastAsia" w:ascii="宋体" w:hAnsi="宋体" w:eastAsia="宋体" w:cs="宋体"/>
          <w:b/>
          <w:snapToGrid w:val="0"/>
          <w:sz w:val="21"/>
          <w:szCs w:val="21"/>
          <w:lang w:val="en-US" w:eastAsia="zh-CN"/>
        </w:rPr>
        <w:t>1.项目概况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val="0"/>
          <w:snapToGrid w:val="0"/>
          <w:sz w:val="21"/>
          <w:szCs w:val="21"/>
          <w:u w:val="none"/>
          <w:lang w:val="en-US" w:eastAsia="zh-CN"/>
        </w:rPr>
      </w:pPr>
      <w:r>
        <w:rPr>
          <w:rFonts w:hint="eastAsia" w:ascii="宋体" w:hAnsi="宋体" w:eastAsia="宋体" w:cs="宋体"/>
          <w:snapToGrid w:val="0"/>
          <w:sz w:val="21"/>
          <w:szCs w:val="21"/>
          <w:u w:val="single"/>
          <w:lang w:val="en-US" w:eastAsia="zh-CN"/>
        </w:rPr>
        <w:t>详见用户需求书/技术规格书</w:t>
      </w:r>
      <w:r>
        <w:rPr>
          <w:rFonts w:hint="eastAsia" w:ascii="宋体" w:hAnsi="宋体" w:eastAsia="宋体" w:cs="宋体"/>
          <w:snapToGrid w:val="0"/>
          <w:sz w:val="21"/>
          <w:szCs w:val="21"/>
          <w:u w:val="none"/>
          <w:lang w:val="en-US"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snapToGrid w:val="0"/>
          <w:sz w:val="21"/>
          <w:szCs w:val="21"/>
          <w:u w:val="single"/>
          <w:lang w:val="en-US" w:eastAsia="zh-CN"/>
        </w:rPr>
      </w:pPr>
      <w:r>
        <w:rPr>
          <w:rFonts w:hint="eastAsia" w:ascii="宋体" w:hAnsi="宋体" w:eastAsia="宋体" w:cs="宋体"/>
          <w:b/>
          <w:bCs/>
          <w:snapToGrid w:val="0"/>
          <w:sz w:val="21"/>
          <w:szCs w:val="21"/>
          <w:lang w:val="en-US" w:eastAsia="zh-CN"/>
        </w:rPr>
        <w:t>2.</w:t>
      </w:r>
      <w:r>
        <w:rPr>
          <w:rFonts w:hint="eastAsia" w:ascii="宋体" w:hAnsi="宋体" w:eastAsia="宋体" w:cs="宋体"/>
          <w:b/>
          <w:bCs/>
          <w:snapToGrid w:val="0"/>
          <w:sz w:val="21"/>
          <w:szCs w:val="21"/>
          <w:lang w:eastAsia="zh-CN"/>
        </w:rPr>
        <w:t>项目范围：</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val="0"/>
          <w:snapToGrid w:val="0"/>
          <w:sz w:val="21"/>
          <w:szCs w:val="21"/>
          <w:u w:val="none"/>
          <w:lang w:val="en-US" w:eastAsia="zh-CN"/>
        </w:rPr>
      </w:pPr>
      <w:r>
        <w:rPr>
          <w:rFonts w:hint="eastAsia" w:ascii="宋体" w:hAnsi="宋体" w:eastAsia="宋体" w:cs="宋体"/>
          <w:snapToGrid w:val="0"/>
          <w:sz w:val="21"/>
          <w:szCs w:val="21"/>
          <w:u w:val="single"/>
          <w:lang w:val="en-US" w:eastAsia="zh-CN"/>
        </w:rPr>
        <w:t>详见用户需求书/技术规格书</w:t>
      </w:r>
      <w:r>
        <w:rPr>
          <w:rFonts w:hint="eastAsia" w:ascii="宋体" w:hAnsi="宋体" w:eastAsia="宋体" w:cs="宋体"/>
          <w:snapToGrid w:val="0"/>
          <w:sz w:val="21"/>
          <w:szCs w:val="21"/>
          <w:u w:val="none"/>
          <w:lang w:val="en-US"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snapToGrid w:val="0"/>
          <w:sz w:val="21"/>
          <w:szCs w:val="21"/>
          <w:lang w:val="en-US" w:eastAsia="zh-CN"/>
        </w:rPr>
      </w:pPr>
      <w:r>
        <w:rPr>
          <w:rFonts w:hint="eastAsia" w:ascii="宋体" w:hAnsi="宋体" w:eastAsia="宋体" w:cs="宋体"/>
          <w:b/>
          <w:snapToGrid w:val="0"/>
          <w:sz w:val="21"/>
          <w:szCs w:val="21"/>
          <w:lang w:val="en-US" w:eastAsia="zh-CN"/>
        </w:rPr>
        <w:t>3.服务期限</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u w:val="none"/>
          <w:lang w:val="en-US" w:eastAsia="zh-CN"/>
        </w:rPr>
      </w:pPr>
      <w:r>
        <w:rPr>
          <w:rFonts w:hint="eastAsia" w:ascii="宋体" w:hAnsi="宋体" w:eastAsia="宋体" w:cs="宋体"/>
          <w:snapToGrid w:val="0"/>
          <w:sz w:val="21"/>
          <w:szCs w:val="21"/>
          <w:u w:val="single"/>
          <w:lang w:val="en-US" w:eastAsia="zh-CN"/>
        </w:rPr>
        <w:t>详见用户需求书/技术规格书</w:t>
      </w:r>
      <w:r>
        <w:rPr>
          <w:rFonts w:hint="eastAsia" w:ascii="宋体" w:hAnsi="宋体" w:eastAsia="宋体" w:cs="宋体"/>
          <w:b w:val="0"/>
          <w:bCs/>
          <w:snapToGrid w:val="0"/>
          <w:sz w:val="21"/>
          <w:szCs w:val="21"/>
          <w:u w:val="none"/>
          <w:lang w:val="en-US"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val="0"/>
          <w:snapToGrid w:val="0"/>
          <w:sz w:val="21"/>
          <w:szCs w:val="21"/>
          <w:lang w:eastAsia="zh-CN"/>
        </w:rPr>
      </w:pPr>
      <w:r>
        <w:rPr>
          <w:rFonts w:hint="eastAsia" w:ascii="宋体" w:hAnsi="宋体" w:eastAsia="宋体" w:cs="宋体"/>
          <w:b/>
          <w:bCs w:val="0"/>
          <w:snapToGrid w:val="0"/>
          <w:sz w:val="21"/>
          <w:szCs w:val="21"/>
          <w:lang w:val="en-US" w:eastAsia="zh-CN"/>
        </w:rPr>
        <w:t>4.</w:t>
      </w:r>
      <w:r>
        <w:rPr>
          <w:rFonts w:hint="eastAsia" w:ascii="宋体" w:hAnsi="宋体" w:eastAsia="宋体" w:cs="宋体"/>
          <w:b/>
          <w:bCs w:val="0"/>
          <w:snapToGrid w:val="0"/>
          <w:sz w:val="21"/>
          <w:szCs w:val="21"/>
          <w:lang w:eastAsia="zh-CN"/>
        </w:rPr>
        <w:t>合同文件构成及解释顺序</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eastAsia="zh-CN"/>
        </w:rPr>
      </w:pPr>
      <w:r>
        <w:rPr>
          <w:rFonts w:hint="eastAsia" w:ascii="宋体" w:hAnsi="宋体" w:eastAsia="宋体" w:cs="宋体"/>
          <w:b w:val="0"/>
          <w:bCs/>
          <w:snapToGrid w:val="0"/>
          <w:sz w:val="21"/>
          <w:szCs w:val="21"/>
          <w:lang w:eastAsia="zh-CN"/>
        </w:rPr>
        <w:t>（1）补充协议（如果有）；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eastAsia="zh-CN"/>
        </w:rPr>
      </w:pPr>
      <w:r>
        <w:rPr>
          <w:rFonts w:hint="eastAsia" w:ascii="宋体" w:hAnsi="宋体" w:eastAsia="宋体" w:cs="宋体"/>
          <w:b w:val="0"/>
          <w:bCs/>
          <w:snapToGrid w:val="0"/>
          <w:sz w:val="21"/>
          <w:szCs w:val="21"/>
          <w:lang w:eastAsia="zh-CN"/>
        </w:rPr>
        <w:t>（2）合同协议书；</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eastAsia="zh-CN"/>
        </w:rPr>
      </w:pPr>
      <w:r>
        <w:rPr>
          <w:rFonts w:hint="eastAsia" w:ascii="宋体" w:hAnsi="宋体" w:eastAsia="宋体" w:cs="宋体"/>
          <w:b w:val="0"/>
          <w:bCs/>
          <w:snapToGrid w:val="0"/>
          <w:sz w:val="21"/>
          <w:szCs w:val="21"/>
          <w:lang w:eastAsia="zh-CN"/>
        </w:rPr>
        <w:t>（</w:t>
      </w:r>
      <w:r>
        <w:rPr>
          <w:rFonts w:hint="eastAsia" w:ascii="宋体" w:hAnsi="宋体" w:eastAsia="宋体" w:cs="宋体"/>
          <w:b w:val="0"/>
          <w:bCs/>
          <w:snapToGrid w:val="0"/>
          <w:sz w:val="21"/>
          <w:szCs w:val="21"/>
          <w:lang w:val="en-US" w:eastAsia="zh-CN"/>
        </w:rPr>
        <w:t>3</w:t>
      </w:r>
      <w:r>
        <w:rPr>
          <w:rFonts w:hint="eastAsia" w:ascii="宋体" w:hAnsi="宋体" w:eastAsia="宋体" w:cs="宋体"/>
          <w:b w:val="0"/>
          <w:bCs/>
          <w:snapToGrid w:val="0"/>
          <w:sz w:val="21"/>
          <w:szCs w:val="21"/>
          <w:lang w:eastAsia="zh-CN"/>
        </w:rPr>
        <w:t>）合同条款；</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eastAsia="zh-CN"/>
        </w:rPr>
      </w:pPr>
      <w:r>
        <w:rPr>
          <w:rFonts w:hint="eastAsia" w:ascii="宋体" w:hAnsi="宋体" w:eastAsia="宋体" w:cs="宋体"/>
          <w:b w:val="0"/>
          <w:bCs/>
          <w:snapToGrid w:val="0"/>
          <w:sz w:val="21"/>
          <w:szCs w:val="21"/>
          <w:lang w:eastAsia="zh-CN"/>
        </w:rPr>
        <w:t>（</w:t>
      </w:r>
      <w:r>
        <w:rPr>
          <w:rFonts w:hint="eastAsia" w:ascii="宋体" w:hAnsi="宋体" w:eastAsia="宋体" w:cs="宋体"/>
          <w:b w:val="0"/>
          <w:bCs/>
          <w:snapToGrid w:val="0"/>
          <w:sz w:val="21"/>
          <w:szCs w:val="21"/>
          <w:lang w:val="en-US" w:eastAsia="zh-CN"/>
        </w:rPr>
        <w:t>4</w:t>
      </w:r>
      <w:r>
        <w:rPr>
          <w:rFonts w:hint="eastAsia" w:ascii="宋体" w:hAnsi="宋体" w:eastAsia="宋体" w:cs="宋体"/>
          <w:b w:val="0"/>
          <w:bCs/>
          <w:snapToGrid w:val="0"/>
          <w:sz w:val="21"/>
          <w:szCs w:val="21"/>
          <w:lang w:eastAsia="zh-CN"/>
        </w:rPr>
        <w:t>）</w:t>
      </w:r>
      <w:r>
        <w:rPr>
          <w:rFonts w:hint="eastAsia" w:ascii="宋体" w:hAnsi="宋体" w:eastAsia="宋体" w:cs="宋体"/>
          <w:snapToGrid w:val="0"/>
          <w:sz w:val="21"/>
          <w:szCs w:val="21"/>
          <w:u w:val="single"/>
          <w:lang w:val="en-US" w:eastAsia="zh-CN"/>
        </w:rPr>
        <w:t>用户需求书/技术规格书</w:t>
      </w:r>
      <w:r>
        <w:rPr>
          <w:rFonts w:hint="eastAsia" w:ascii="宋体" w:hAnsi="宋体" w:eastAsia="宋体" w:cs="宋体"/>
          <w:b w:val="0"/>
          <w:bCs/>
          <w:snapToGrid w:val="0"/>
          <w:sz w:val="21"/>
          <w:szCs w:val="21"/>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eastAsia="zh-CN"/>
        </w:rPr>
      </w:pPr>
      <w:r>
        <w:rPr>
          <w:rFonts w:hint="eastAsia" w:ascii="宋体" w:hAnsi="宋体" w:eastAsia="宋体" w:cs="宋体"/>
          <w:b w:val="0"/>
          <w:bCs/>
          <w:snapToGrid w:val="0"/>
          <w:sz w:val="21"/>
          <w:szCs w:val="21"/>
          <w:lang w:eastAsia="zh-CN"/>
        </w:rPr>
        <w:t>（</w:t>
      </w:r>
      <w:r>
        <w:rPr>
          <w:rFonts w:hint="eastAsia" w:ascii="宋体" w:hAnsi="宋体" w:eastAsia="宋体" w:cs="宋体"/>
          <w:b w:val="0"/>
          <w:bCs/>
          <w:snapToGrid w:val="0"/>
          <w:sz w:val="21"/>
          <w:szCs w:val="21"/>
          <w:lang w:val="en-US" w:eastAsia="zh-CN"/>
        </w:rPr>
        <w:t>5</w:t>
      </w:r>
      <w:r>
        <w:rPr>
          <w:rFonts w:hint="eastAsia" w:ascii="宋体" w:hAnsi="宋体" w:eastAsia="宋体" w:cs="宋体"/>
          <w:b w:val="0"/>
          <w:bCs/>
          <w:snapToGrid w:val="0"/>
          <w:sz w:val="21"/>
          <w:szCs w:val="21"/>
          <w:lang w:eastAsia="zh-CN"/>
        </w:rPr>
        <w:t>）价格清单；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eastAsia="zh-CN"/>
        </w:rPr>
      </w:pPr>
      <w:r>
        <w:rPr>
          <w:rFonts w:hint="eastAsia" w:ascii="宋体" w:hAnsi="宋体" w:eastAsia="宋体" w:cs="宋体"/>
          <w:b w:val="0"/>
          <w:bCs/>
          <w:snapToGrid w:val="0"/>
          <w:sz w:val="21"/>
          <w:szCs w:val="21"/>
          <w:lang w:eastAsia="zh-CN"/>
        </w:rPr>
        <w:t>（</w:t>
      </w:r>
      <w:r>
        <w:rPr>
          <w:rFonts w:hint="eastAsia" w:ascii="宋体" w:hAnsi="宋体" w:eastAsia="宋体" w:cs="宋体"/>
          <w:b w:val="0"/>
          <w:bCs/>
          <w:snapToGrid w:val="0"/>
          <w:sz w:val="21"/>
          <w:szCs w:val="21"/>
          <w:lang w:val="en-US" w:eastAsia="zh-CN"/>
        </w:rPr>
        <w:t>6</w:t>
      </w:r>
      <w:r>
        <w:rPr>
          <w:rFonts w:hint="eastAsia" w:ascii="宋体" w:hAnsi="宋体" w:eastAsia="宋体" w:cs="宋体"/>
          <w:b w:val="0"/>
          <w:bCs/>
          <w:snapToGrid w:val="0"/>
          <w:sz w:val="21"/>
          <w:szCs w:val="21"/>
          <w:lang w:eastAsia="zh-CN"/>
        </w:rPr>
        <w:t>）合同其他附件及乙方按合同附录格式及要求出具的文件；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eastAsia="zh-CN"/>
        </w:rPr>
      </w:pPr>
      <w:r>
        <w:rPr>
          <w:rFonts w:hint="eastAsia" w:ascii="宋体" w:hAnsi="宋体" w:eastAsia="宋体" w:cs="宋体"/>
          <w:b w:val="0"/>
          <w:bCs/>
          <w:snapToGrid w:val="0"/>
          <w:sz w:val="21"/>
          <w:szCs w:val="21"/>
          <w:lang w:eastAsia="zh-CN"/>
        </w:rPr>
        <w:t>（</w:t>
      </w:r>
      <w:r>
        <w:rPr>
          <w:rFonts w:hint="eastAsia" w:ascii="宋体" w:hAnsi="宋体" w:eastAsia="宋体" w:cs="宋体"/>
          <w:b w:val="0"/>
          <w:bCs/>
          <w:snapToGrid w:val="0"/>
          <w:sz w:val="21"/>
          <w:szCs w:val="21"/>
          <w:lang w:val="en-US" w:eastAsia="zh-CN"/>
        </w:rPr>
        <w:t>7</w:t>
      </w:r>
      <w:r>
        <w:rPr>
          <w:rFonts w:hint="eastAsia" w:ascii="宋体" w:hAnsi="宋体" w:eastAsia="宋体" w:cs="宋体"/>
          <w:b w:val="0"/>
          <w:bCs/>
          <w:snapToGrid w:val="0"/>
          <w:sz w:val="21"/>
          <w:szCs w:val="21"/>
          <w:lang w:eastAsia="zh-CN"/>
        </w:rPr>
        <w:t>）内部竞争性谈判文件、澄清与答疑文件及其它补充资料；</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eastAsia="zh-CN"/>
        </w:rPr>
      </w:pPr>
      <w:r>
        <w:rPr>
          <w:rFonts w:hint="eastAsia" w:ascii="宋体" w:hAnsi="宋体" w:eastAsia="宋体" w:cs="宋体"/>
          <w:b w:val="0"/>
          <w:bCs/>
          <w:snapToGrid w:val="0"/>
          <w:sz w:val="21"/>
          <w:szCs w:val="21"/>
          <w:lang w:eastAsia="zh-CN"/>
        </w:rPr>
        <w:t>（</w:t>
      </w:r>
      <w:r>
        <w:rPr>
          <w:rFonts w:hint="eastAsia" w:ascii="宋体" w:hAnsi="宋体" w:eastAsia="宋体" w:cs="宋体"/>
          <w:b w:val="0"/>
          <w:bCs/>
          <w:snapToGrid w:val="0"/>
          <w:sz w:val="21"/>
          <w:szCs w:val="21"/>
          <w:lang w:val="en-US" w:eastAsia="zh-CN"/>
        </w:rPr>
        <w:t>8</w:t>
      </w:r>
      <w:r>
        <w:rPr>
          <w:rFonts w:hint="eastAsia" w:ascii="宋体" w:hAnsi="宋体" w:eastAsia="宋体" w:cs="宋体"/>
          <w:b w:val="0"/>
          <w:bCs/>
          <w:snapToGrid w:val="0"/>
          <w:sz w:val="21"/>
          <w:szCs w:val="21"/>
          <w:lang w:eastAsia="zh-CN"/>
        </w:rPr>
        <w:t>）响应文件、澄清文件及其它补充资料；</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eastAsia="zh-CN"/>
        </w:rPr>
      </w:pPr>
      <w:r>
        <w:rPr>
          <w:rFonts w:hint="eastAsia" w:ascii="宋体" w:hAnsi="宋体" w:eastAsia="宋体" w:cs="宋体"/>
          <w:b w:val="0"/>
          <w:bCs/>
          <w:snapToGrid w:val="0"/>
          <w:sz w:val="21"/>
          <w:szCs w:val="21"/>
          <w:lang w:eastAsia="zh-CN"/>
        </w:rPr>
        <w:t>（</w:t>
      </w:r>
      <w:r>
        <w:rPr>
          <w:rFonts w:hint="eastAsia" w:ascii="宋体" w:hAnsi="宋体" w:eastAsia="宋体" w:cs="宋体"/>
          <w:b w:val="0"/>
          <w:bCs/>
          <w:snapToGrid w:val="0"/>
          <w:sz w:val="21"/>
          <w:szCs w:val="21"/>
          <w:lang w:val="en-US" w:eastAsia="zh-CN"/>
        </w:rPr>
        <w:t>9</w:t>
      </w:r>
      <w:r>
        <w:rPr>
          <w:rFonts w:hint="eastAsia" w:ascii="宋体" w:hAnsi="宋体" w:eastAsia="宋体" w:cs="宋体"/>
          <w:b w:val="0"/>
          <w:bCs/>
          <w:snapToGrid w:val="0"/>
          <w:sz w:val="21"/>
          <w:szCs w:val="21"/>
          <w:lang w:eastAsia="zh-CN"/>
        </w:rPr>
        <w:t>）其他构成本合同的文件。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eastAsia="zh-CN"/>
        </w:rPr>
      </w:pPr>
      <w:r>
        <w:rPr>
          <w:rFonts w:hint="eastAsia" w:ascii="宋体" w:hAnsi="宋体" w:eastAsia="宋体" w:cs="宋体"/>
          <w:b w:val="0"/>
          <w:bCs/>
          <w:snapToGrid w:val="0"/>
          <w:sz w:val="21"/>
          <w:szCs w:val="21"/>
          <w:lang w:eastAsia="zh-CN"/>
        </w:rPr>
        <w:t>上述各项合同文件包括合同当事人就该项合同文件所作出的补充和修改，属于同一类内容的文件，应以最新签署的为准。</w:t>
      </w:r>
    </w:p>
    <w:p>
      <w:pPr>
        <w:pStyle w:val="120"/>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val="en-US" w:eastAsia="zh-CN"/>
        </w:rPr>
        <w:t>5.</w:t>
      </w:r>
      <w:r>
        <w:rPr>
          <w:rFonts w:hint="eastAsia" w:ascii="宋体" w:hAnsi="宋体" w:eastAsia="宋体" w:cs="宋体"/>
          <w:snapToGrid w:val="0"/>
          <w:sz w:val="21"/>
          <w:szCs w:val="21"/>
          <w:highlight w:val="none"/>
        </w:rPr>
        <w:t>考虑到甲方将按照本合同向乙方支付，乙方在此保证全部按照合同向甲方提供服务。</w:t>
      </w:r>
    </w:p>
    <w:p>
      <w:pPr>
        <w:pStyle w:val="120"/>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val="en-US" w:eastAsia="zh-CN"/>
        </w:rPr>
        <w:t>6.</w:t>
      </w:r>
      <w:r>
        <w:rPr>
          <w:rFonts w:hint="eastAsia" w:ascii="宋体" w:hAnsi="宋体" w:eastAsia="宋体" w:cs="宋体"/>
          <w:snapToGrid w:val="0"/>
          <w:sz w:val="21"/>
          <w:szCs w:val="21"/>
          <w:highlight w:val="none"/>
        </w:rPr>
        <w:t>考虑到由于乙方将按照合同规定履行全部合同义务，甲方在此立约，保证按合同规定的方式和时间向乙方支付合同价款。</w:t>
      </w:r>
    </w:p>
    <w:p>
      <w:pPr>
        <w:pStyle w:val="120"/>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val="en-US" w:eastAsia="zh-CN"/>
        </w:rPr>
        <w:t>7.</w:t>
      </w:r>
      <w:r>
        <w:rPr>
          <w:rFonts w:hint="eastAsia" w:ascii="宋体" w:hAnsi="宋体" w:eastAsia="宋体" w:cs="宋体"/>
          <w:snapToGrid w:val="0"/>
          <w:sz w:val="21"/>
          <w:szCs w:val="21"/>
          <w:highlight w:val="none"/>
        </w:rPr>
        <w:t>本合同自双方法定代表人或授权代表签字并</w:t>
      </w:r>
      <w:r>
        <w:rPr>
          <w:rFonts w:hint="eastAsia" w:ascii="宋体" w:hAnsi="宋体" w:eastAsia="宋体" w:cs="宋体"/>
          <w:snapToGrid w:val="0"/>
          <w:sz w:val="21"/>
          <w:szCs w:val="21"/>
          <w:highlight w:val="none"/>
          <w:lang w:eastAsia="zh-CN"/>
        </w:rPr>
        <w:t>加盖公章或合同专用章</w:t>
      </w:r>
      <w:r>
        <w:rPr>
          <w:rFonts w:hint="eastAsia" w:ascii="宋体" w:hAnsi="宋体" w:eastAsia="宋体" w:cs="宋体"/>
          <w:snapToGrid w:val="0"/>
          <w:sz w:val="21"/>
          <w:szCs w:val="21"/>
          <w:highlight w:val="none"/>
        </w:rPr>
        <w:t>后生效。本合同未尽事宜，双方可另行协商或签订补充协议，所达成的补充协议与本合同具有同等效力。</w:t>
      </w:r>
    </w:p>
    <w:p>
      <w:pPr>
        <w:pStyle w:val="120"/>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val="en-US" w:eastAsia="zh-CN"/>
        </w:rPr>
        <w:t>8.</w:t>
      </w:r>
      <w:r>
        <w:rPr>
          <w:rFonts w:hint="eastAsia" w:ascii="宋体" w:hAnsi="宋体" w:eastAsia="宋体" w:cs="宋体"/>
          <w:snapToGrid w:val="0"/>
          <w:sz w:val="21"/>
          <w:szCs w:val="21"/>
          <w:highlight w:val="none"/>
        </w:rPr>
        <w:t>本合同一式八份，正本二份、副本六份，甲方持正本一份、副本五份，乙方持正本一份、副本一份。合同正本与副本具有同等效力，当合同副本与正本之间存有差异时，以合同正本为准。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val="en-US" w:eastAsia="zh-CN"/>
        </w:rPr>
      </w:pPr>
    </w:p>
    <w:tbl>
      <w:tblPr>
        <w:tblStyle w:val="46"/>
        <w:tblW w:w="80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0"/>
        <w:gridCol w:w="3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jc w:val="center"/>
        </w:trPr>
        <w:tc>
          <w:tcPr>
            <w:tcW w:w="41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甲方：(盖章)</w:t>
            </w:r>
          </w:p>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 </w:t>
            </w:r>
          </w:p>
        </w:tc>
        <w:tc>
          <w:tcPr>
            <w:tcW w:w="39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乙</w:t>
            </w:r>
            <w:r>
              <w:rPr>
                <w:rFonts w:hint="eastAsia" w:ascii="宋体" w:hAnsi="宋体" w:eastAsia="宋体" w:cs="宋体"/>
                <w:snapToGrid w:val="0"/>
                <w:sz w:val="21"/>
                <w:szCs w:val="21"/>
              </w:rPr>
              <w:t>方：（盖章）</w:t>
            </w:r>
          </w:p>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9" w:hRule="atLeast"/>
          <w:jc w:val="center"/>
        </w:trPr>
        <w:tc>
          <w:tcPr>
            <w:tcW w:w="41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法定代表人或其授权代表：</w:t>
            </w:r>
          </w:p>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p>
        </w:tc>
        <w:tc>
          <w:tcPr>
            <w:tcW w:w="39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法定代表人或其授权代表：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地址：  </w:t>
            </w:r>
          </w:p>
        </w:tc>
        <w:tc>
          <w:tcPr>
            <w:tcW w:w="39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邮编： </w:t>
            </w:r>
          </w:p>
        </w:tc>
        <w:tc>
          <w:tcPr>
            <w:tcW w:w="39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电子邮箱：</w:t>
            </w:r>
          </w:p>
        </w:tc>
        <w:tc>
          <w:tcPr>
            <w:tcW w:w="39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电话：</w:t>
            </w:r>
          </w:p>
        </w:tc>
        <w:tc>
          <w:tcPr>
            <w:tcW w:w="39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rPr>
              <w:t xml:space="preserve">传真： </w:t>
            </w:r>
          </w:p>
        </w:tc>
        <w:tc>
          <w:tcPr>
            <w:tcW w:w="39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开户银行：</w:t>
            </w:r>
          </w:p>
        </w:tc>
        <w:tc>
          <w:tcPr>
            <w:tcW w:w="39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rPr>
            </w:pPr>
            <w:r>
              <w:rPr>
                <w:rFonts w:hint="eastAsia" w:ascii="宋体" w:hAnsi="宋体" w:eastAsia="宋体" w:cs="宋体"/>
                <w:snapToGrid w:val="0"/>
                <w:sz w:val="21"/>
                <w:szCs w:val="21"/>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rPr>
              <w:t>账号：</w:t>
            </w:r>
          </w:p>
        </w:tc>
        <w:tc>
          <w:tcPr>
            <w:tcW w:w="39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税号：</w:t>
            </w:r>
          </w:p>
        </w:tc>
        <w:tc>
          <w:tcPr>
            <w:tcW w:w="3940" w:type="dxa"/>
            <w:tcBorders>
              <w:top w:val="nil"/>
              <w:left w:val="nil"/>
              <w:bottom w:val="nil"/>
              <w:right w:val="nil"/>
            </w:tcBorders>
            <w:vAlign w:val="top"/>
          </w:tcPr>
          <w:p>
            <w:pPr>
              <w:pStyle w:val="25"/>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税号：</w:t>
            </w:r>
          </w:p>
        </w:tc>
      </w:tr>
    </w:tbl>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snapToGrid w:val="0"/>
          <w:sz w:val="21"/>
          <w:szCs w:val="21"/>
          <w:lang w:val="en-US" w:eastAsia="zh-CN"/>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center"/>
        <w:textAlignment w:val="auto"/>
        <w:rPr>
          <w:rFonts w:hint="eastAsia" w:ascii="宋体" w:hAnsi="宋体" w:eastAsia="宋体" w:cs="宋体"/>
          <w:b/>
          <w:snapToGrid w:val="0"/>
          <w:sz w:val="21"/>
          <w:szCs w:val="21"/>
          <w:lang w:eastAsia="zh-CN"/>
        </w:rPr>
      </w:pPr>
      <w:r>
        <w:rPr>
          <w:rFonts w:hint="eastAsia" w:ascii="宋体" w:hAnsi="宋体" w:eastAsia="宋体" w:cs="宋体"/>
          <w:b/>
          <w:snapToGrid w:val="0"/>
          <w:sz w:val="21"/>
          <w:szCs w:val="21"/>
          <w:lang w:eastAsia="zh-CN"/>
        </w:rPr>
        <w:br w:type="page"/>
      </w:r>
      <w:r>
        <w:rPr>
          <w:rFonts w:hint="eastAsia" w:ascii="宋体" w:hAnsi="宋体" w:eastAsia="宋体" w:cs="宋体"/>
          <w:b/>
          <w:snapToGrid w:val="0"/>
          <w:sz w:val="24"/>
          <w:lang w:val="en-US" w:eastAsia="zh-CN"/>
        </w:rPr>
        <w:t>第二部分  合同条款</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snapToGrid w:val="0"/>
          <w:sz w:val="21"/>
          <w:szCs w:val="21"/>
          <w:lang w:val="en-US" w:eastAsia="zh-CN"/>
        </w:rPr>
      </w:pPr>
      <w:r>
        <w:rPr>
          <w:rFonts w:hint="eastAsia" w:ascii="宋体" w:hAnsi="宋体" w:eastAsia="宋体" w:cs="宋体"/>
          <w:b/>
          <w:snapToGrid w:val="0"/>
          <w:sz w:val="21"/>
          <w:szCs w:val="21"/>
          <w:lang w:val="en-US" w:eastAsia="zh-CN"/>
        </w:rPr>
        <w:t>1、定义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（1）“项目”是指甲方委托乙方实施</w:t>
      </w:r>
      <w:r>
        <w:rPr>
          <w:rFonts w:hint="eastAsia" w:ascii="宋体" w:hAnsi="宋体" w:eastAsia="宋体" w:cs="宋体"/>
          <w:snapToGrid w:val="0"/>
          <w:sz w:val="21"/>
          <w:szCs w:val="21"/>
          <w:highlight w:val="none"/>
          <w:u w:val="single"/>
          <w:lang w:val="en-US" w:eastAsia="zh-CN"/>
        </w:rPr>
        <w:t>长沙市轨道交通5号线一期工程筹备期职业病防 护设施竣工验收服务项目（2019-2020年度）</w:t>
      </w:r>
      <w:r>
        <w:rPr>
          <w:rFonts w:hint="eastAsia" w:ascii="宋体" w:hAnsi="宋体" w:eastAsia="宋体" w:cs="宋体"/>
          <w:snapToGrid w:val="0"/>
          <w:sz w:val="21"/>
          <w:szCs w:val="21"/>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（2）“合同”系指买卖双方签署的、合同格式中载明的买卖双方所达成的协议，包括所有的附件、附录和上述文件所提到的构成合同的所有文件。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（3）“甲方”是指承担直接投资责任和委托服务业务的一方，即</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（4）“乙方”是指承担服务业务和责任的一方，即</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snapToGrid w:val="0"/>
          <w:sz w:val="21"/>
          <w:szCs w:val="21"/>
        </w:rPr>
        <w:t>（5）</w:t>
      </w:r>
      <w:r>
        <w:rPr>
          <w:rFonts w:hint="eastAsia" w:ascii="宋体" w:hAnsi="宋体" w:eastAsia="宋体" w:cs="宋体"/>
          <w:color w:val="000000"/>
          <w:sz w:val="21"/>
          <w:szCs w:val="21"/>
        </w:rPr>
        <w:t>“签约合同价”系指甲方和乙方在合同协议书中确定的金额，即本项目的中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价格或成交价格。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）“合同价格”系指根据本合同规定乙方在正确地完全履行合同义务后，经长沙市政府相关职能部门或</w:t>
      </w:r>
      <w:r>
        <w:rPr>
          <w:rFonts w:hint="eastAsia" w:ascii="宋体" w:hAnsi="宋体" w:eastAsia="宋体" w:cs="宋体"/>
          <w:color w:val="000000"/>
          <w:sz w:val="21"/>
          <w:szCs w:val="21"/>
          <w:lang w:eastAsia="zh-CN"/>
        </w:rPr>
        <w:t>经甲方</w:t>
      </w:r>
      <w:r>
        <w:rPr>
          <w:rFonts w:hint="eastAsia" w:ascii="宋体" w:hAnsi="宋体" w:eastAsia="宋体" w:cs="宋体"/>
          <w:color w:val="000000"/>
          <w:sz w:val="21"/>
          <w:szCs w:val="21"/>
        </w:rPr>
        <w:t>审定的结算价格。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7</w:t>
      </w:r>
      <w:r>
        <w:rPr>
          <w:rFonts w:hint="eastAsia" w:ascii="宋体" w:hAnsi="宋体" w:eastAsia="宋体" w:cs="宋体"/>
          <w:snapToGrid w:val="0"/>
          <w:sz w:val="21"/>
          <w:szCs w:val="21"/>
        </w:rPr>
        <w:t>）“服务机构”是指乙方派驻本工程现场实施服务业务的组织。</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8</w:t>
      </w:r>
      <w:r>
        <w:rPr>
          <w:rFonts w:hint="eastAsia" w:ascii="宋体" w:hAnsi="宋体" w:eastAsia="宋体" w:cs="宋体"/>
          <w:snapToGrid w:val="0"/>
          <w:sz w:val="21"/>
          <w:szCs w:val="21"/>
        </w:rPr>
        <w:t>）“日”是指任何一天零时至第二天零时的时间段。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9</w:t>
      </w:r>
      <w:r>
        <w:rPr>
          <w:rFonts w:hint="eastAsia" w:ascii="宋体" w:hAnsi="宋体" w:eastAsia="宋体" w:cs="宋体"/>
          <w:snapToGrid w:val="0"/>
          <w:sz w:val="21"/>
          <w:szCs w:val="21"/>
        </w:rPr>
        <w:t>）“月”是指根据公历从一个月份中任何一天开始到下一个月相应日期的前一天的时间段。</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10</w:t>
      </w:r>
      <w:r>
        <w:rPr>
          <w:rFonts w:hint="eastAsia" w:ascii="宋体" w:hAnsi="宋体" w:eastAsia="宋体" w:cs="宋体"/>
          <w:snapToGrid w:val="0"/>
          <w:sz w:val="21"/>
          <w:szCs w:val="21"/>
        </w:rPr>
        <w:t>）“评审服务”是指乙方提供的本项目的所有服务，具体内容参见合同附件。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11</w:t>
      </w:r>
      <w:r>
        <w:rPr>
          <w:rFonts w:hint="eastAsia" w:ascii="宋体" w:hAnsi="宋体" w:eastAsia="宋体" w:cs="宋体"/>
          <w:snapToGrid w:val="0"/>
          <w:sz w:val="21"/>
          <w:szCs w:val="21"/>
        </w:rPr>
        <w:t>）“甲方代表”：指甲方任命的并履行甲方授予的职责和权利的代表。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12</w:t>
      </w:r>
      <w:r>
        <w:rPr>
          <w:rFonts w:hint="eastAsia" w:ascii="宋体" w:hAnsi="宋体" w:eastAsia="宋体" w:cs="宋体"/>
          <w:snapToGrid w:val="0"/>
          <w:sz w:val="21"/>
          <w:szCs w:val="21"/>
        </w:rPr>
        <w:t>）“评审服务项目组”：指乙方实施评审服务的组织。</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（1</w:t>
      </w:r>
      <w:r>
        <w:rPr>
          <w:rFonts w:hint="eastAsia" w:ascii="宋体" w:hAnsi="宋体" w:eastAsia="宋体" w:cs="宋体"/>
          <w:snapToGrid w:val="0"/>
          <w:sz w:val="21"/>
          <w:szCs w:val="21"/>
          <w:lang w:val="en-US" w:eastAsia="zh-CN"/>
        </w:rPr>
        <w:t>3</w:t>
      </w:r>
      <w:r>
        <w:rPr>
          <w:rFonts w:hint="eastAsia" w:ascii="宋体" w:hAnsi="宋体" w:eastAsia="宋体" w:cs="宋体"/>
          <w:snapToGrid w:val="0"/>
          <w:sz w:val="21"/>
          <w:szCs w:val="21"/>
        </w:rPr>
        <w:t>）“项目经理”：指合同协议书中指明的，乙方委派的负责本工程评审服务的代表。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lang w:val="en-US" w:eastAsia="zh-CN"/>
        </w:rPr>
        <w:t>2、</w:t>
      </w:r>
      <w:r>
        <w:rPr>
          <w:rFonts w:hint="eastAsia" w:ascii="宋体" w:hAnsi="宋体" w:eastAsia="宋体" w:cs="宋体"/>
          <w:b/>
          <w:snapToGrid w:val="0"/>
          <w:sz w:val="21"/>
          <w:szCs w:val="21"/>
          <w:lang w:eastAsia="zh-CN"/>
        </w:rPr>
        <w:t>服务要求</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val="0"/>
          <w:snapToGrid w:val="0"/>
          <w:sz w:val="21"/>
          <w:szCs w:val="21"/>
          <w:u w:val="none"/>
          <w:lang w:val="en-US" w:eastAsia="zh-CN"/>
        </w:rPr>
      </w:pPr>
      <w:r>
        <w:rPr>
          <w:rFonts w:hint="eastAsia" w:ascii="宋体" w:hAnsi="宋体" w:eastAsia="宋体" w:cs="宋体"/>
          <w:snapToGrid w:val="0"/>
          <w:sz w:val="21"/>
          <w:szCs w:val="21"/>
          <w:lang w:val="en-US" w:eastAsia="zh-CN"/>
        </w:rPr>
        <w:t xml:space="preserve">2.1 </w:t>
      </w:r>
      <w:r>
        <w:rPr>
          <w:rFonts w:hint="eastAsia" w:ascii="宋体" w:hAnsi="宋体" w:eastAsia="宋体" w:cs="宋体"/>
          <w:snapToGrid w:val="0"/>
          <w:sz w:val="21"/>
          <w:szCs w:val="21"/>
          <w:lang w:eastAsia="zh-CN"/>
        </w:rPr>
        <w:t>项目实施要求：</w:t>
      </w:r>
      <w:r>
        <w:rPr>
          <w:rFonts w:hint="eastAsia" w:ascii="宋体" w:hAnsi="宋体" w:eastAsia="宋体" w:cs="宋体"/>
          <w:snapToGrid w:val="0"/>
          <w:sz w:val="21"/>
          <w:szCs w:val="21"/>
          <w:u w:val="single"/>
          <w:lang w:val="en-US" w:eastAsia="zh-CN"/>
        </w:rPr>
        <w:t>详见用户需求书/技术规格书</w:t>
      </w:r>
      <w:r>
        <w:rPr>
          <w:rFonts w:hint="eastAsia" w:ascii="宋体" w:hAnsi="宋体" w:eastAsia="宋体" w:cs="宋体"/>
          <w:snapToGrid w:val="0"/>
          <w:sz w:val="21"/>
          <w:szCs w:val="21"/>
          <w:u w:val="none"/>
          <w:lang w:val="en-US"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val="0"/>
          <w:snapToGrid w:val="0"/>
          <w:sz w:val="21"/>
          <w:szCs w:val="21"/>
          <w:u w:val="none"/>
          <w:lang w:val="en-US" w:eastAsia="zh-CN"/>
        </w:rPr>
      </w:pPr>
      <w:r>
        <w:rPr>
          <w:rFonts w:hint="eastAsia" w:ascii="宋体" w:hAnsi="宋体" w:eastAsia="宋体" w:cs="宋体"/>
          <w:snapToGrid w:val="0"/>
          <w:sz w:val="21"/>
          <w:szCs w:val="21"/>
          <w:u w:val="none"/>
          <w:lang w:val="en-US" w:eastAsia="zh-CN"/>
        </w:rPr>
        <w:t>2.2 项目管控要求：</w:t>
      </w:r>
      <w:r>
        <w:rPr>
          <w:rFonts w:hint="eastAsia" w:ascii="宋体" w:hAnsi="宋体" w:eastAsia="宋体" w:cs="宋体"/>
          <w:snapToGrid w:val="0"/>
          <w:sz w:val="21"/>
          <w:szCs w:val="21"/>
          <w:u w:val="single"/>
          <w:lang w:val="en-US" w:eastAsia="zh-CN"/>
        </w:rPr>
        <w:t>详见用户需求书/技术规格书</w:t>
      </w:r>
      <w:r>
        <w:rPr>
          <w:rFonts w:hint="eastAsia" w:ascii="宋体" w:hAnsi="宋体" w:eastAsia="宋体" w:cs="宋体"/>
          <w:snapToGrid w:val="0"/>
          <w:sz w:val="21"/>
          <w:szCs w:val="21"/>
          <w:u w:val="none"/>
          <w:lang w:val="en-US"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snapToGrid w:val="0"/>
          <w:sz w:val="21"/>
          <w:szCs w:val="21"/>
          <w:lang w:eastAsia="zh-CN"/>
        </w:rPr>
      </w:pPr>
      <w:r>
        <w:rPr>
          <w:rFonts w:hint="eastAsia" w:ascii="宋体" w:hAnsi="宋体" w:eastAsia="宋体" w:cs="宋体"/>
          <w:b/>
          <w:snapToGrid w:val="0"/>
          <w:sz w:val="21"/>
          <w:szCs w:val="21"/>
          <w:lang w:val="en-US" w:eastAsia="zh-CN"/>
        </w:rPr>
        <w:t>3、</w:t>
      </w:r>
      <w:r>
        <w:rPr>
          <w:rFonts w:hint="eastAsia" w:ascii="宋体" w:hAnsi="宋体" w:eastAsia="宋体" w:cs="宋体"/>
          <w:b/>
          <w:snapToGrid w:val="0"/>
          <w:sz w:val="21"/>
          <w:szCs w:val="21"/>
          <w:lang w:eastAsia="zh-CN"/>
        </w:rPr>
        <w:t>签约合同价</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3.1 </w:t>
      </w:r>
      <w:r>
        <w:rPr>
          <w:rFonts w:hint="eastAsia" w:ascii="宋体" w:hAnsi="宋体" w:eastAsia="宋体" w:cs="宋体"/>
          <w:snapToGrid w:val="0"/>
          <w:sz w:val="21"/>
          <w:szCs w:val="21"/>
          <w:lang w:eastAsia="zh-CN"/>
        </w:rPr>
        <w:t>本项目采用</w:t>
      </w:r>
      <w:r>
        <w:rPr>
          <w:rFonts w:hint="eastAsia" w:ascii="宋体" w:hAnsi="宋体" w:eastAsia="宋体" w:cs="宋体"/>
          <w:snapToGrid w:val="0"/>
          <w:sz w:val="21"/>
          <w:szCs w:val="21"/>
          <w:u w:val="single"/>
          <w:lang w:val="en-US" w:eastAsia="zh-CN"/>
        </w:rPr>
        <w:t>总价合同</w:t>
      </w:r>
      <w:r>
        <w:rPr>
          <w:rFonts w:hint="eastAsia" w:ascii="宋体" w:hAnsi="宋体" w:eastAsia="宋体" w:cs="宋体"/>
          <w:snapToGrid w:val="0"/>
          <w:sz w:val="21"/>
          <w:szCs w:val="21"/>
          <w:u w:val="none"/>
          <w:lang w:val="en-US" w:eastAsia="zh-CN"/>
        </w:rPr>
        <w:t>方式，</w:t>
      </w:r>
      <w:r>
        <w:rPr>
          <w:rFonts w:hint="eastAsia" w:ascii="宋体" w:hAnsi="宋体" w:eastAsia="宋体" w:cs="宋体"/>
          <w:snapToGrid w:val="0"/>
          <w:sz w:val="21"/>
          <w:szCs w:val="21"/>
          <w:lang w:eastAsia="zh-CN"/>
        </w:rPr>
        <w:t>签约合同价为人民币</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rPr>
        <w:t>元（大写</w:t>
      </w:r>
      <w:r>
        <w:rPr>
          <w:rFonts w:hint="eastAsia" w:ascii="宋体" w:hAnsi="宋体" w:eastAsia="宋体" w:cs="宋体"/>
          <w:snapToGrid w:val="0"/>
          <w:sz w:val="21"/>
          <w:szCs w:val="21"/>
          <w:lang w:eastAsia="zh-CN"/>
        </w:rPr>
        <w:t>金额</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3.2 </w:t>
      </w:r>
      <w:r>
        <w:rPr>
          <w:rFonts w:hint="eastAsia" w:ascii="宋体" w:hAnsi="宋体" w:eastAsia="宋体" w:cs="宋体"/>
          <w:snapToGrid w:val="0"/>
          <w:sz w:val="21"/>
          <w:szCs w:val="21"/>
        </w:rPr>
        <w:t>本项目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w:t>
      </w:r>
      <w:r>
        <w:rPr>
          <w:rFonts w:hint="eastAsia" w:ascii="宋体" w:hAnsi="宋体" w:eastAsia="宋体" w:cs="宋体"/>
          <w:snapToGrid w:val="0"/>
          <w:sz w:val="21"/>
          <w:szCs w:val="21"/>
          <w:lang w:eastAsia="zh-CN"/>
        </w:rPr>
        <w:t>合同价格</w:t>
      </w:r>
      <w:r>
        <w:rPr>
          <w:rFonts w:hint="eastAsia" w:ascii="宋体" w:hAnsi="宋体" w:eastAsia="宋体" w:cs="宋体"/>
          <w:snapToGrid w:val="0"/>
          <w:sz w:val="21"/>
          <w:szCs w:val="21"/>
        </w:rPr>
        <w:t>以甲方审定的结算价为准。</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lang w:val="en-US" w:eastAsia="zh-CN"/>
        </w:rPr>
        <w:t>4、</w:t>
      </w:r>
      <w:r>
        <w:rPr>
          <w:rFonts w:hint="eastAsia" w:ascii="宋体" w:hAnsi="宋体" w:eastAsia="宋体" w:cs="宋体"/>
          <w:b/>
          <w:snapToGrid w:val="0"/>
          <w:sz w:val="21"/>
          <w:szCs w:val="21"/>
          <w:lang w:eastAsia="zh-CN"/>
        </w:rPr>
        <w:t>支付</w:t>
      </w:r>
      <w:r>
        <w:rPr>
          <w:rFonts w:hint="eastAsia" w:ascii="宋体" w:hAnsi="宋体" w:eastAsia="宋体" w:cs="宋体"/>
          <w:b/>
          <w:snapToGrid w:val="0"/>
          <w:sz w:val="21"/>
          <w:szCs w:val="21"/>
        </w:rPr>
        <w:t>方式</w:t>
      </w:r>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0" w:firstLineChars="200"/>
        <w:jc w:val="both"/>
        <w:textAlignment w:val="auto"/>
        <w:rPr>
          <w:rFonts w:hint="eastAsia" w:ascii="宋体" w:hAnsi="宋体" w:eastAsia="宋体" w:cs="宋体"/>
          <w:snapToGrid w:val="0"/>
          <w:sz w:val="21"/>
          <w:szCs w:val="21"/>
          <w:lang w:val="en-US" w:eastAsia="zh-CN"/>
        </w:rPr>
      </w:pPr>
      <w:bookmarkStart w:id="16" w:name="_Toc19824"/>
      <w:bookmarkStart w:id="17" w:name="_Toc7086"/>
      <w:bookmarkStart w:id="18" w:name="_Toc13977"/>
      <w:bookmarkStart w:id="19" w:name="_Toc30640"/>
      <w:r>
        <w:rPr>
          <w:rFonts w:hint="eastAsia" w:ascii="宋体" w:hAnsi="宋体" w:eastAsia="宋体" w:cs="宋体"/>
          <w:snapToGrid w:val="0"/>
          <w:sz w:val="21"/>
          <w:szCs w:val="21"/>
          <w:lang w:val="en-US" w:eastAsia="zh-CN"/>
        </w:rPr>
        <w:t>4.1预付款：本项目不支付预付款。</w:t>
      </w:r>
      <w:bookmarkEnd w:id="16"/>
      <w:bookmarkEnd w:id="17"/>
      <w:bookmarkEnd w:id="18"/>
      <w:bookmarkEnd w:id="19"/>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0" w:firstLineChars="200"/>
        <w:jc w:val="both"/>
        <w:textAlignment w:val="auto"/>
        <w:rPr>
          <w:rFonts w:hint="eastAsia" w:ascii="宋体" w:hAnsi="宋体" w:eastAsia="宋体" w:cs="宋体"/>
          <w:snapToGrid w:val="0"/>
          <w:sz w:val="21"/>
          <w:szCs w:val="21"/>
          <w:lang w:val="en-US" w:eastAsia="zh-CN"/>
        </w:rPr>
      </w:pPr>
      <w:bookmarkStart w:id="20" w:name="_Toc6440"/>
      <w:bookmarkStart w:id="21" w:name="_Toc27385"/>
      <w:bookmarkStart w:id="22" w:name="_Toc17457"/>
      <w:bookmarkStart w:id="23" w:name="_Toc7624"/>
      <w:r>
        <w:rPr>
          <w:rFonts w:hint="eastAsia" w:ascii="宋体" w:hAnsi="宋体" w:eastAsia="宋体" w:cs="宋体"/>
          <w:snapToGrid w:val="0"/>
          <w:sz w:val="21"/>
          <w:szCs w:val="21"/>
          <w:lang w:val="en-US" w:eastAsia="zh-CN"/>
        </w:rPr>
        <w:t>4.2履约验收完成付款：本项目办理履约验收合格且在收到乙方的支付请求和乙方提供的合同价格的100%增值税发票原件及有效期内的履约担保复印件后28个工作日内，支付至合同价格的100%。项目履约验收按甲方相关规定执行。</w:t>
      </w:r>
      <w:bookmarkEnd w:id="20"/>
      <w:bookmarkEnd w:id="21"/>
      <w:bookmarkEnd w:id="22"/>
      <w:bookmarkEnd w:id="23"/>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0" w:firstLineChars="200"/>
        <w:jc w:val="both"/>
        <w:textAlignment w:val="auto"/>
        <w:rPr>
          <w:rFonts w:hint="eastAsia" w:ascii="宋体" w:hAnsi="宋体" w:eastAsia="宋体" w:cs="宋体"/>
          <w:snapToGrid w:val="0"/>
          <w:sz w:val="21"/>
          <w:szCs w:val="21"/>
          <w:lang w:val="en-US" w:eastAsia="zh-CN"/>
        </w:rPr>
      </w:pPr>
      <w:bookmarkStart w:id="24" w:name="_Toc24666"/>
      <w:bookmarkStart w:id="25" w:name="_Toc13899"/>
      <w:bookmarkStart w:id="26" w:name="_Toc32611"/>
      <w:bookmarkStart w:id="27" w:name="_Toc19907"/>
      <w:r>
        <w:rPr>
          <w:rFonts w:hint="eastAsia" w:ascii="宋体" w:hAnsi="宋体" w:eastAsia="宋体" w:cs="宋体"/>
          <w:snapToGrid w:val="0"/>
          <w:sz w:val="21"/>
          <w:szCs w:val="21"/>
          <w:lang w:val="en-US" w:eastAsia="zh-CN"/>
        </w:rPr>
        <w:t>4.3乙方未按要求开具合法合规的增值税发票的，视为违约，甲方有权拒付相应合同价款，由此所造成的一切损失均由乙方负责。</w:t>
      </w:r>
      <w:bookmarkEnd w:id="24"/>
      <w:bookmarkEnd w:id="25"/>
      <w:bookmarkEnd w:id="26"/>
      <w:bookmarkEnd w:id="27"/>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0" w:firstLineChars="200"/>
        <w:jc w:val="both"/>
        <w:textAlignment w:val="auto"/>
        <w:rPr>
          <w:rFonts w:hint="eastAsia" w:ascii="宋体" w:hAnsi="宋体" w:eastAsia="宋体" w:cs="宋体"/>
          <w:snapToGrid w:val="0"/>
          <w:sz w:val="21"/>
          <w:szCs w:val="21"/>
          <w:lang w:val="en-US" w:eastAsia="zh-CN"/>
        </w:rPr>
      </w:pPr>
      <w:bookmarkStart w:id="28" w:name="_Toc6591"/>
      <w:bookmarkStart w:id="29" w:name="_Toc30773"/>
      <w:bookmarkStart w:id="30" w:name="_Toc28964"/>
      <w:bookmarkStart w:id="31" w:name="_Toc22399"/>
      <w:r>
        <w:rPr>
          <w:rFonts w:hint="eastAsia" w:ascii="宋体" w:hAnsi="宋体" w:eastAsia="宋体" w:cs="宋体"/>
          <w:snapToGrid w:val="0"/>
          <w:sz w:val="21"/>
          <w:szCs w:val="21"/>
          <w:lang w:val="en-US" w:eastAsia="zh-CN"/>
        </w:rPr>
        <w:t>4.4本合同以人民币结算，并采用银行转账方式支付。</w:t>
      </w:r>
      <w:bookmarkEnd w:id="28"/>
      <w:bookmarkEnd w:id="29"/>
      <w:bookmarkEnd w:id="30"/>
      <w:bookmarkEnd w:id="31"/>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2" w:firstLineChars="200"/>
        <w:jc w:val="both"/>
        <w:textAlignment w:val="auto"/>
        <w:rPr>
          <w:rFonts w:hint="eastAsia" w:ascii="宋体" w:hAnsi="宋体" w:eastAsia="宋体" w:cs="宋体"/>
          <w:b/>
          <w:bCs/>
          <w:snapToGrid w:val="0"/>
          <w:sz w:val="21"/>
          <w:szCs w:val="21"/>
          <w:lang w:val="en-US" w:eastAsia="zh-CN"/>
        </w:rPr>
      </w:pPr>
      <w:bookmarkStart w:id="32" w:name="_Toc1201"/>
      <w:bookmarkStart w:id="33" w:name="_Toc29912"/>
      <w:bookmarkStart w:id="34" w:name="_Toc479241510"/>
      <w:bookmarkStart w:id="35" w:name="_Toc6996"/>
      <w:bookmarkStart w:id="36" w:name="_Toc29886"/>
      <w:bookmarkStart w:id="37" w:name="_Toc6630"/>
      <w:r>
        <w:rPr>
          <w:rFonts w:hint="eastAsia" w:ascii="宋体" w:hAnsi="宋体" w:eastAsia="宋体" w:cs="宋体"/>
          <w:b/>
          <w:bCs/>
          <w:snapToGrid w:val="0"/>
          <w:sz w:val="21"/>
          <w:szCs w:val="21"/>
          <w:lang w:val="en-US" w:eastAsia="zh-CN"/>
        </w:rPr>
        <w:t>5、履约担保</w:t>
      </w:r>
      <w:bookmarkEnd w:id="32"/>
      <w:bookmarkEnd w:id="33"/>
      <w:bookmarkEnd w:id="34"/>
      <w:bookmarkEnd w:id="35"/>
      <w:bookmarkEnd w:id="36"/>
      <w:bookmarkEnd w:id="37"/>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0" w:firstLineChars="200"/>
        <w:jc w:val="both"/>
        <w:textAlignment w:val="auto"/>
        <w:rPr>
          <w:rFonts w:hint="eastAsia" w:ascii="宋体" w:hAnsi="宋体" w:eastAsia="宋体" w:cs="宋体"/>
          <w:snapToGrid w:val="0"/>
          <w:sz w:val="21"/>
          <w:szCs w:val="21"/>
          <w:lang w:val="en-US" w:eastAsia="zh-CN"/>
        </w:rPr>
      </w:pPr>
      <w:bookmarkStart w:id="38" w:name="_Toc6150"/>
      <w:bookmarkStart w:id="39" w:name="_Toc5727"/>
      <w:bookmarkStart w:id="40" w:name="_Toc21136"/>
      <w:bookmarkStart w:id="41" w:name="_Toc28310"/>
      <w:bookmarkStart w:id="42" w:name="_Toc443376818"/>
      <w:bookmarkStart w:id="43" w:name="_Toc443208225"/>
      <w:r>
        <w:rPr>
          <w:rFonts w:hint="eastAsia" w:ascii="宋体" w:hAnsi="宋体" w:eastAsia="宋体" w:cs="宋体"/>
          <w:snapToGrid w:val="0"/>
          <w:sz w:val="21"/>
          <w:szCs w:val="21"/>
          <w:lang w:val="en-US" w:eastAsia="zh-CN"/>
        </w:rPr>
        <w:t>5.1 履约担保是办理付款的必要条件之一，乙方应在本合同签订后15个工作日内提供履约担保。</w:t>
      </w:r>
      <w:bookmarkEnd w:id="38"/>
      <w:bookmarkEnd w:id="39"/>
      <w:bookmarkEnd w:id="40"/>
      <w:bookmarkEnd w:id="41"/>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0" w:firstLineChars="200"/>
        <w:jc w:val="both"/>
        <w:textAlignment w:val="auto"/>
        <w:rPr>
          <w:rFonts w:hint="eastAsia" w:ascii="宋体" w:hAnsi="宋体" w:eastAsia="宋体" w:cs="宋体"/>
          <w:snapToGrid w:val="0"/>
          <w:sz w:val="21"/>
          <w:szCs w:val="21"/>
          <w:lang w:val="en-US" w:eastAsia="zh-CN"/>
        </w:rPr>
      </w:pPr>
      <w:bookmarkStart w:id="44" w:name="_Toc3299"/>
      <w:bookmarkStart w:id="45" w:name="_Toc1376"/>
      <w:bookmarkStart w:id="46" w:name="_Toc15708"/>
      <w:bookmarkStart w:id="47" w:name="_Toc4035"/>
      <w:r>
        <w:rPr>
          <w:rFonts w:hint="eastAsia" w:ascii="宋体" w:hAnsi="宋体" w:eastAsia="宋体" w:cs="宋体"/>
          <w:snapToGrid w:val="0"/>
          <w:sz w:val="21"/>
          <w:szCs w:val="21"/>
          <w:lang w:val="en-US" w:eastAsia="zh-CN"/>
        </w:rPr>
        <w:t>5.2 履约担保用于补偿甲方因乙方不能完成其合同义务而蒙受的损失。</w:t>
      </w:r>
      <w:bookmarkEnd w:id="44"/>
      <w:bookmarkEnd w:id="45"/>
      <w:bookmarkEnd w:id="46"/>
      <w:bookmarkEnd w:id="47"/>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0" w:firstLineChars="200"/>
        <w:jc w:val="both"/>
        <w:textAlignment w:val="auto"/>
        <w:rPr>
          <w:rFonts w:hint="eastAsia" w:ascii="宋体" w:hAnsi="宋体" w:eastAsia="宋体" w:cs="宋体"/>
          <w:snapToGrid w:val="0"/>
          <w:sz w:val="21"/>
          <w:szCs w:val="21"/>
          <w:lang w:val="en-US" w:eastAsia="zh-CN"/>
        </w:rPr>
      </w:pPr>
      <w:bookmarkStart w:id="48" w:name="_Toc31744"/>
      <w:bookmarkStart w:id="49" w:name="_Toc16875"/>
      <w:bookmarkStart w:id="50" w:name="_Toc27040"/>
      <w:bookmarkStart w:id="51" w:name="_Toc5000"/>
      <w:r>
        <w:rPr>
          <w:rFonts w:hint="eastAsia" w:ascii="宋体" w:hAnsi="宋体" w:eastAsia="宋体" w:cs="宋体"/>
          <w:snapToGrid w:val="0"/>
          <w:sz w:val="21"/>
          <w:szCs w:val="21"/>
          <w:lang w:val="en-US" w:eastAsia="zh-CN"/>
        </w:rPr>
        <w:t>5.3 乙方提供履约担保的形式、金额及期限可采用以下方式之一：</w:t>
      </w:r>
      <w:bookmarkEnd w:id="48"/>
      <w:bookmarkEnd w:id="49"/>
      <w:bookmarkEnd w:id="50"/>
      <w:bookmarkEnd w:id="51"/>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0" w:firstLineChars="200"/>
        <w:jc w:val="both"/>
        <w:textAlignment w:val="auto"/>
        <w:rPr>
          <w:rFonts w:hint="eastAsia" w:ascii="宋体" w:hAnsi="宋体" w:eastAsia="宋体" w:cs="宋体"/>
          <w:snapToGrid w:val="0"/>
          <w:sz w:val="21"/>
          <w:szCs w:val="21"/>
          <w:lang w:val="en-US" w:eastAsia="zh-CN"/>
        </w:rPr>
      </w:pPr>
      <w:bookmarkStart w:id="52" w:name="_Toc13610"/>
      <w:bookmarkStart w:id="53" w:name="_Toc10779"/>
      <w:bookmarkStart w:id="54" w:name="_Toc20313"/>
      <w:bookmarkStart w:id="55" w:name="_Toc1022"/>
      <w:r>
        <w:rPr>
          <w:rFonts w:hint="eastAsia" w:ascii="宋体" w:hAnsi="宋体" w:eastAsia="宋体" w:cs="宋体"/>
          <w:snapToGrid w:val="0"/>
          <w:sz w:val="21"/>
          <w:szCs w:val="21"/>
          <w:lang w:val="en-US" w:eastAsia="zh-CN"/>
        </w:rPr>
        <w:t>（1）采用银行履约保函形式，银行履约保函的担保额度为</w:t>
      </w:r>
      <w:r>
        <w:rPr>
          <w:rFonts w:hint="eastAsia" w:ascii="宋体" w:hAnsi="宋体" w:eastAsia="宋体" w:cs="宋体"/>
          <w:snapToGrid w:val="0"/>
          <w:sz w:val="21"/>
          <w:szCs w:val="21"/>
          <w:u w:val="single"/>
          <w:lang w:val="en-US" w:eastAsia="zh-CN"/>
        </w:rPr>
        <w:t>签约合同价的10%</w:t>
      </w:r>
      <w:r>
        <w:rPr>
          <w:rFonts w:hint="eastAsia" w:ascii="宋体" w:hAnsi="宋体" w:eastAsia="宋体" w:cs="宋体"/>
          <w:snapToGrid w:val="0"/>
          <w:sz w:val="21"/>
          <w:szCs w:val="21"/>
          <w:lang w:val="en-US" w:eastAsia="zh-CN"/>
        </w:rPr>
        <w:t>，担保期限为自保函生效之日起，至服务期满之日止。银行履约保函应为在中国境内注册和营业的银行出具的、以甲方为受益人首次申请即作为无条件付款的保函，银行履约保函格式具体详见合同附录。</w:t>
      </w:r>
      <w:bookmarkEnd w:id="52"/>
      <w:bookmarkEnd w:id="53"/>
      <w:bookmarkEnd w:id="54"/>
      <w:bookmarkEnd w:id="55"/>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0" w:firstLineChars="200"/>
        <w:jc w:val="both"/>
        <w:textAlignment w:val="auto"/>
        <w:rPr>
          <w:rFonts w:hint="eastAsia" w:ascii="宋体" w:hAnsi="宋体" w:eastAsia="宋体" w:cs="宋体"/>
          <w:snapToGrid w:val="0"/>
          <w:sz w:val="21"/>
          <w:szCs w:val="21"/>
          <w:u w:val="none"/>
          <w:lang w:val="en-US" w:eastAsia="zh-CN"/>
        </w:rPr>
      </w:pPr>
      <w:bookmarkStart w:id="56" w:name="_Toc16321"/>
      <w:bookmarkStart w:id="57" w:name="_Toc24039"/>
      <w:bookmarkStart w:id="58" w:name="_Toc12980"/>
      <w:bookmarkStart w:id="59" w:name="_Toc14095"/>
      <w:r>
        <w:rPr>
          <w:rFonts w:hint="eastAsia" w:ascii="宋体" w:hAnsi="宋体" w:eastAsia="宋体" w:cs="宋体"/>
          <w:snapToGrid w:val="0"/>
          <w:sz w:val="21"/>
          <w:szCs w:val="21"/>
          <w:lang w:val="en-US" w:eastAsia="zh-CN"/>
        </w:rPr>
        <w:t>（2）采用现金形式，现金担保额度为</w:t>
      </w:r>
      <w:r>
        <w:rPr>
          <w:rFonts w:hint="eastAsia" w:ascii="宋体" w:hAnsi="宋体" w:eastAsia="宋体" w:cs="宋体"/>
          <w:snapToGrid w:val="0"/>
          <w:sz w:val="21"/>
          <w:szCs w:val="21"/>
          <w:u w:val="single"/>
          <w:lang w:val="en-US" w:eastAsia="zh-CN"/>
        </w:rPr>
        <w:t>签约合同价的10%</w:t>
      </w:r>
      <w:r>
        <w:rPr>
          <w:rFonts w:hint="eastAsia" w:ascii="宋体" w:hAnsi="宋体" w:eastAsia="宋体" w:cs="宋体"/>
          <w:snapToGrid w:val="0"/>
          <w:sz w:val="21"/>
          <w:szCs w:val="21"/>
          <w:lang w:val="en-US" w:eastAsia="zh-CN"/>
        </w:rPr>
        <w:t>，担保期限为履约保证金到账之日起，至服务期满之日止。履约担保以现金形式提交的，乙方应从其基本账户通过转帐或电汇至甲方指定的账户。</w:t>
      </w:r>
      <w:r>
        <w:rPr>
          <w:rFonts w:hint="eastAsia" w:ascii="宋体" w:hAnsi="宋体" w:eastAsia="宋体" w:cs="宋体"/>
          <w:snapToGrid w:val="0"/>
          <w:sz w:val="21"/>
          <w:szCs w:val="21"/>
          <w:u w:val="none"/>
          <w:lang w:val="en-US" w:eastAsia="zh-CN"/>
        </w:rPr>
        <w:t>户名：</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u w:val="none"/>
          <w:lang w:val="en-US" w:eastAsia="zh-CN"/>
        </w:rPr>
        <w:t xml:space="preserve"> ；开户行：</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kern w:val="2"/>
          <w:sz w:val="21"/>
          <w:szCs w:val="21"/>
          <w:u w:val="none"/>
          <w:lang w:val="en-US" w:eastAsia="zh-CN" w:bidi="ar-SA"/>
        </w:rPr>
        <w:t>；</w:t>
      </w:r>
      <w:r>
        <w:rPr>
          <w:rFonts w:hint="eastAsia" w:ascii="宋体" w:hAnsi="宋体" w:eastAsia="宋体" w:cs="宋体"/>
          <w:snapToGrid w:val="0"/>
          <w:sz w:val="21"/>
          <w:szCs w:val="21"/>
          <w:u w:val="none"/>
          <w:lang w:eastAsia="zh-CN"/>
        </w:rPr>
        <w:t>账号</w:t>
      </w:r>
      <w:r>
        <w:rPr>
          <w:rFonts w:hint="eastAsia" w:ascii="宋体" w:hAnsi="宋体" w:eastAsia="宋体" w:cs="宋体"/>
          <w:snapToGrid w:val="0"/>
          <w:sz w:val="21"/>
          <w:szCs w:val="21"/>
          <w:u w:val="none"/>
          <w:lang w:val="en-US" w:eastAsia="zh-CN"/>
        </w:rPr>
        <w:t>：</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u w:val="none"/>
          <w:lang w:val="en-US" w:eastAsia="zh-CN"/>
        </w:rPr>
        <w:t>。</w:t>
      </w:r>
      <w:bookmarkEnd w:id="56"/>
      <w:bookmarkEnd w:id="57"/>
      <w:bookmarkEnd w:id="58"/>
      <w:bookmarkEnd w:id="59"/>
    </w:p>
    <w:p>
      <w:pPr>
        <w:pStyle w:val="34"/>
        <w:keepNext w:val="0"/>
        <w:keepLines w:val="0"/>
        <w:pageBreakBefore w:val="0"/>
        <w:widowControl w:val="0"/>
        <w:kinsoku/>
        <w:wordWrap/>
        <w:overflowPunct/>
        <w:topLinePunct w:val="0"/>
        <w:bidi w:val="0"/>
        <w:adjustRightInd w:val="0"/>
        <w:snapToGrid w:val="0"/>
        <w:spacing w:before="0" w:after="0" w:line="360" w:lineRule="auto"/>
        <w:ind w:left="0" w:leftChars="0" w:right="0" w:rightChars="0" w:firstLine="420" w:firstLineChars="200"/>
        <w:jc w:val="both"/>
        <w:textAlignment w:val="auto"/>
        <w:rPr>
          <w:rFonts w:hint="eastAsia" w:ascii="宋体" w:hAnsi="宋体" w:eastAsia="宋体" w:cs="宋体"/>
          <w:snapToGrid w:val="0"/>
          <w:sz w:val="21"/>
          <w:szCs w:val="21"/>
          <w:lang w:val="en-US" w:eastAsia="zh-CN"/>
        </w:rPr>
      </w:pPr>
      <w:bookmarkStart w:id="60" w:name="_Toc32182"/>
      <w:bookmarkStart w:id="61" w:name="_Toc1120"/>
      <w:bookmarkStart w:id="62" w:name="_Toc15992"/>
      <w:bookmarkStart w:id="63" w:name="_Toc1149"/>
      <w:r>
        <w:rPr>
          <w:rFonts w:hint="eastAsia" w:ascii="宋体" w:hAnsi="宋体" w:eastAsia="宋体" w:cs="宋体"/>
          <w:snapToGrid w:val="0"/>
          <w:sz w:val="21"/>
          <w:szCs w:val="21"/>
          <w:lang w:val="en-US" w:eastAsia="zh-CN"/>
        </w:rPr>
        <w:t>5.4 在乙方完成其合同义务包括任何保证义务后，甲方将把履约担保无息退还乙方。</w:t>
      </w:r>
      <w:bookmarkEnd w:id="60"/>
      <w:bookmarkEnd w:id="61"/>
      <w:bookmarkEnd w:id="62"/>
      <w:bookmarkEnd w:id="63"/>
    </w:p>
    <w:bookmarkEnd w:id="42"/>
    <w:bookmarkEnd w:id="43"/>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outlineLvl w:val="0"/>
        <w:rPr>
          <w:rFonts w:hint="eastAsia" w:ascii="宋体" w:hAnsi="宋体" w:eastAsia="宋体" w:cs="宋体"/>
          <w:b/>
          <w:snapToGrid w:val="0"/>
          <w:sz w:val="21"/>
          <w:szCs w:val="21"/>
        </w:rPr>
      </w:pPr>
      <w:bookmarkStart w:id="64" w:name="_Toc9660"/>
      <w:bookmarkStart w:id="65" w:name="_Toc26143"/>
      <w:bookmarkStart w:id="66" w:name="_Toc12136"/>
      <w:bookmarkStart w:id="67" w:name="_Toc20992"/>
      <w:r>
        <w:rPr>
          <w:rFonts w:hint="eastAsia" w:ascii="宋体" w:hAnsi="宋体" w:eastAsia="宋体" w:cs="宋体"/>
          <w:b/>
          <w:snapToGrid w:val="0"/>
          <w:sz w:val="21"/>
          <w:szCs w:val="21"/>
          <w:lang w:val="en-US" w:eastAsia="zh-CN"/>
        </w:rPr>
        <w:t>6、</w:t>
      </w:r>
      <w:r>
        <w:rPr>
          <w:rFonts w:hint="eastAsia" w:ascii="宋体" w:hAnsi="宋体" w:eastAsia="宋体" w:cs="宋体"/>
          <w:b/>
          <w:snapToGrid w:val="0"/>
          <w:sz w:val="21"/>
          <w:szCs w:val="21"/>
        </w:rPr>
        <w:t>甲方权利和义务</w:t>
      </w:r>
      <w:bookmarkEnd w:id="64"/>
      <w:bookmarkEnd w:id="65"/>
      <w:bookmarkEnd w:id="66"/>
      <w:bookmarkEnd w:id="67"/>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6.1 </w:t>
      </w:r>
      <w:r>
        <w:rPr>
          <w:rFonts w:hint="eastAsia" w:ascii="宋体" w:hAnsi="宋体" w:eastAsia="宋体" w:cs="宋体"/>
          <w:snapToGrid w:val="0"/>
          <w:sz w:val="21"/>
          <w:szCs w:val="21"/>
        </w:rPr>
        <w:t>甲方有权要求乙方按照合同约定履约。</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6.2 </w:t>
      </w:r>
      <w:r>
        <w:rPr>
          <w:rFonts w:hint="eastAsia" w:ascii="宋体" w:hAnsi="宋体" w:eastAsia="宋体" w:cs="宋体"/>
          <w:snapToGrid w:val="0"/>
          <w:sz w:val="21"/>
          <w:szCs w:val="21"/>
        </w:rPr>
        <w:t>非经甲方书面同意，乙方不得向任何第三方透露本项目的任何内容。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6.3 </w:t>
      </w:r>
      <w:r>
        <w:rPr>
          <w:rFonts w:hint="eastAsia" w:ascii="宋体" w:hAnsi="宋体" w:eastAsia="宋体" w:cs="宋体"/>
          <w:snapToGrid w:val="0"/>
          <w:sz w:val="21"/>
          <w:szCs w:val="21"/>
        </w:rPr>
        <w:t>甲方按照合同约定支付合同款项。</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6.4 </w:t>
      </w:r>
      <w:r>
        <w:rPr>
          <w:rFonts w:hint="eastAsia" w:ascii="宋体" w:hAnsi="宋体" w:eastAsia="宋体" w:cs="宋体"/>
          <w:snapToGrid w:val="0"/>
          <w:sz w:val="21"/>
          <w:szCs w:val="21"/>
        </w:rPr>
        <w:t>在项目执行期间，甲方应向乙方的工作人员提供必要工作便利。</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6.5 </w:t>
      </w:r>
      <w:r>
        <w:rPr>
          <w:rFonts w:hint="eastAsia" w:ascii="宋体" w:hAnsi="宋体" w:eastAsia="宋体" w:cs="宋体"/>
          <w:snapToGrid w:val="0"/>
          <w:sz w:val="21"/>
          <w:szCs w:val="21"/>
        </w:rPr>
        <w:t>甲方应指定专人或专项小组与乙方对接具体工作，及时向乙方提供该项目的相关资料，以保证乙方能提出合理可行的工作建议和成果。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outlineLvl w:val="0"/>
        <w:rPr>
          <w:rFonts w:hint="eastAsia" w:ascii="宋体" w:hAnsi="宋体" w:eastAsia="宋体" w:cs="宋体"/>
          <w:b/>
          <w:snapToGrid w:val="0"/>
          <w:sz w:val="21"/>
          <w:szCs w:val="21"/>
        </w:rPr>
      </w:pPr>
      <w:bookmarkStart w:id="68" w:name="_Toc16276"/>
      <w:bookmarkStart w:id="69" w:name="_Toc21435"/>
      <w:bookmarkStart w:id="70" w:name="_Toc19472"/>
      <w:bookmarkStart w:id="71" w:name="_Toc12841"/>
      <w:r>
        <w:rPr>
          <w:rFonts w:hint="eastAsia" w:ascii="宋体" w:hAnsi="宋体" w:eastAsia="宋体" w:cs="宋体"/>
          <w:b/>
          <w:snapToGrid w:val="0"/>
          <w:sz w:val="21"/>
          <w:szCs w:val="21"/>
          <w:lang w:val="en-US" w:eastAsia="zh-CN"/>
        </w:rPr>
        <w:t>7、</w:t>
      </w:r>
      <w:r>
        <w:rPr>
          <w:rFonts w:hint="eastAsia" w:ascii="宋体" w:hAnsi="宋体" w:eastAsia="宋体" w:cs="宋体"/>
          <w:b/>
          <w:snapToGrid w:val="0"/>
          <w:sz w:val="21"/>
          <w:szCs w:val="21"/>
        </w:rPr>
        <w:t>乙方职责</w:t>
      </w:r>
      <w:bookmarkEnd w:id="68"/>
      <w:bookmarkEnd w:id="69"/>
      <w:bookmarkEnd w:id="70"/>
      <w:bookmarkEnd w:id="71"/>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7.1 </w:t>
      </w:r>
      <w:r>
        <w:rPr>
          <w:rFonts w:hint="eastAsia" w:ascii="宋体" w:hAnsi="宋体" w:eastAsia="宋体" w:cs="宋体"/>
          <w:snapToGrid w:val="0"/>
          <w:sz w:val="21"/>
          <w:szCs w:val="21"/>
        </w:rPr>
        <w:t>按照国家现行的标准、规范和规程，根据合同约定的技术要求，按合同约定的进度，负责项目计划和管理、负责提供方法论，提交研究成果，并对其质量负责。交付成果不满足甲方要求的，乙方应及时、无偿予以修订、完善。</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7.2 </w:t>
      </w:r>
      <w:r>
        <w:rPr>
          <w:rFonts w:hint="eastAsia" w:ascii="宋体" w:hAnsi="宋体" w:eastAsia="宋体" w:cs="宋体"/>
          <w:snapToGrid w:val="0"/>
          <w:sz w:val="21"/>
          <w:szCs w:val="21"/>
        </w:rPr>
        <w:t>配备并提供为完成本项目各阶段工作所涉及必要的办公、通讯、交通等设施、设备,以及履行本合同所需的所有特殊仪器、工具，并承担所有有关费用。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7.3 </w:t>
      </w:r>
      <w:r>
        <w:rPr>
          <w:rFonts w:hint="eastAsia" w:ascii="宋体" w:hAnsi="宋体" w:eastAsia="宋体" w:cs="宋体"/>
          <w:snapToGrid w:val="0"/>
          <w:sz w:val="21"/>
          <w:szCs w:val="21"/>
        </w:rPr>
        <w:t>项目实施团队中的乙方人员在本合同履行期间必须接受和服从甲方项目管理机构的监管。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7.4 </w:t>
      </w:r>
      <w:r>
        <w:rPr>
          <w:rFonts w:hint="eastAsia" w:ascii="宋体" w:hAnsi="宋体" w:eastAsia="宋体" w:cs="宋体"/>
          <w:snapToGrid w:val="0"/>
          <w:sz w:val="21"/>
          <w:szCs w:val="21"/>
        </w:rPr>
        <w:t>应遵守国家规定的各项法律法规规章制度，严格按照合同要求及地铁行业所制定的规章制度进行作业。</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7.5 </w:t>
      </w:r>
      <w:r>
        <w:rPr>
          <w:rFonts w:hint="eastAsia" w:ascii="宋体" w:hAnsi="宋体" w:eastAsia="宋体" w:cs="宋体"/>
          <w:snapToGrid w:val="0"/>
          <w:sz w:val="21"/>
          <w:szCs w:val="21"/>
        </w:rPr>
        <w:t>对于甲方提供的资料，若乙方认为存在不准确或不完整情形时，乙方应及时向甲方提出。</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7.6 </w:t>
      </w:r>
      <w:r>
        <w:rPr>
          <w:rFonts w:hint="eastAsia" w:ascii="宋体" w:hAnsi="宋体" w:eastAsia="宋体" w:cs="宋体"/>
          <w:snapToGrid w:val="0"/>
          <w:sz w:val="21"/>
          <w:szCs w:val="21"/>
        </w:rPr>
        <w:t>积极配合甲方评审验收并协助甲方评估审核。</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7.7 </w:t>
      </w:r>
      <w:r>
        <w:rPr>
          <w:rFonts w:hint="eastAsia" w:ascii="宋体" w:hAnsi="宋体" w:eastAsia="宋体" w:cs="宋体"/>
          <w:snapToGrid w:val="0"/>
          <w:sz w:val="21"/>
          <w:szCs w:val="21"/>
        </w:rPr>
        <w:t>按约定技术要求及乙方承诺，提供质保、售后、培训等相关服务。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7.8 </w:t>
      </w:r>
      <w:r>
        <w:rPr>
          <w:rFonts w:hint="eastAsia" w:ascii="宋体" w:hAnsi="宋体" w:eastAsia="宋体" w:cs="宋体"/>
          <w:snapToGrid w:val="0"/>
          <w:sz w:val="21"/>
          <w:szCs w:val="21"/>
        </w:rPr>
        <w:t>乙方</w:t>
      </w:r>
      <w:r>
        <w:rPr>
          <w:rFonts w:hint="eastAsia" w:ascii="宋体" w:hAnsi="宋体" w:eastAsia="宋体" w:cs="宋体"/>
          <w:snapToGrid w:val="0"/>
          <w:sz w:val="21"/>
          <w:szCs w:val="21"/>
          <w:lang w:eastAsia="zh-CN"/>
        </w:rPr>
        <w:t>有</w:t>
      </w:r>
      <w:r>
        <w:rPr>
          <w:rFonts w:hint="eastAsia" w:ascii="宋体" w:hAnsi="宋体" w:eastAsia="宋体" w:cs="宋体"/>
          <w:snapToGrid w:val="0"/>
          <w:sz w:val="21"/>
          <w:szCs w:val="21"/>
        </w:rPr>
        <w:t>义务无偿提供回访服务、后续服务支持和技术咨询。</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snapToGrid w:val="0"/>
          <w:sz w:val="21"/>
          <w:szCs w:val="21"/>
          <w:lang w:val="en-US" w:eastAsia="zh-CN"/>
        </w:rPr>
      </w:pPr>
      <w:r>
        <w:rPr>
          <w:rFonts w:hint="eastAsia" w:ascii="宋体" w:hAnsi="宋体" w:eastAsia="宋体" w:cs="宋体"/>
          <w:b/>
          <w:snapToGrid w:val="0"/>
          <w:sz w:val="21"/>
          <w:szCs w:val="21"/>
          <w:lang w:val="en-US" w:eastAsia="zh-CN"/>
        </w:rPr>
        <w:t>8、项目验收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val="0"/>
          <w:bCs w:val="0"/>
          <w:snapToGrid w:val="0"/>
          <w:sz w:val="21"/>
          <w:szCs w:val="21"/>
          <w:u w:val="none"/>
          <w:lang w:val="en-US" w:eastAsia="zh-CN"/>
        </w:rPr>
      </w:pPr>
      <w:r>
        <w:rPr>
          <w:rFonts w:hint="eastAsia" w:ascii="宋体" w:hAnsi="宋体" w:eastAsia="宋体" w:cs="宋体"/>
          <w:b w:val="0"/>
          <w:bCs/>
          <w:snapToGrid w:val="0"/>
          <w:sz w:val="21"/>
          <w:szCs w:val="21"/>
          <w:lang w:val="en-US" w:eastAsia="zh-CN"/>
        </w:rPr>
        <w:t>8.1 项目验收：</w:t>
      </w:r>
      <w:r>
        <w:rPr>
          <w:rFonts w:hint="eastAsia" w:ascii="宋体" w:hAnsi="宋体" w:eastAsia="宋体" w:cs="宋体"/>
          <w:snapToGrid w:val="0"/>
          <w:sz w:val="21"/>
          <w:szCs w:val="21"/>
          <w:u w:val="single"/>
          <w:lang w:val="en-US" w:eastAsia="zh-CN"/>
        </w:rPr>
        <w:t>详见用户需求书/技术规格书</w:t>
      </w:r>
      <w:r>
        <w:rPr>
          <w:rFonts w:hint="eastAsia" w:ascii="宋体" w:hAnsi="宋体" w:eastAsia="宋体" w:cs="宋体"/>
          <w:snapToGrid w:val="0"/>
          <w:sz w:val="21"/>
          <w:szCs w:val="21"/>
          <w:u w:val="none"/>
          <w:lang w:val="en-US"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lang w:val="en-US" w:eastAsia="zh-CN"/>
        </w:rPr>
        <w:t>9、</w:t>
      </w:r>
      <w:r>
        <w:rPr>
          <w:rFonts w:hint="eastAsia" w:ascii="宋体" w:hAnsi="宋体" w:eastAsia="宋体" w:cs="宋体"/>
          <w:b/>
          <w:snapToGrid w:val="0"/>
          <w:sz w:val="21"/>
          <w:szCs w:val="21"/>
        </w:rPr>
        <w:t>保密条款</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9.1</w:t>
      </w:r>
      <w:r>
        <w:rPr>
          <w:rFonts w:hint="eastAsia" w:ascii="宋体" w:hAnsi="宋体" w:eastAsia="宋体" w:cs="宋体"/>
          <w:snapToGrid w:val="0"/>
          <w:sz w:val="21"/>
          <w:szCs w:val="21"/>
        </w:rPr>
        <w:t>乙方对甲方提供的信息资料严格保密，并且不得用于其它商业运作。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9.2</w:t>
      </w:r>
      <w:r>
        <w:rPr>
          <w:rFonts w:hint="eastAsia" w:ascii="宋体" w:hAnsi="宋体" w:eastAsia="宋体" w:cs="宋体"/>
          <w:snapToGrid w:val="0"/>
          <w:sz w:val="21"/>
          <w:szCs w:val="21"/>
          <w:lang w:eastAsia="zh-CN"/>
        </w:rPr>
        <w:t>未</w:t>
      </w:r>
      <w:r>
        <w:rPr>
          <w:rFonts w:hint="eastAsia" w:ascii="宋体" w:hAnsi="宋体" w:eastAsia="宋体" w:cs="宋体"/>
          <w:snapToGrid w:val="0"/>
          <w:sz w:val="21"/>
          <w:szCs w:val="21"/>
        </w:rPr>
        <w:t>经甲方同意，乙方不得将甲方提供的信息资料向任何“第三方”披露。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9.3</w:t>
      </w:r>
      <w:r>
        <w:rPr>
          <w:rFonts w:hint="eastAsia" w:ascii="宋体" w:hAnsi="宋体" w:eastAsia="宋体" w:cs="宋体"/>
          <w:snapToGrid w:val="0"/>
          <w:sz w:val="21"/>
          <w:szCs w:val="21"/>
        </w:rPr>
        <w:t>本合同终止后，保密条款同样生效。</w:t>
      </w:r>
    </w:p>
    <w:p>
      <w:pPr>
        <w:keepNext w:val="0"/>
        <w:keepLines w:val="0"/>
        <w:pageBreakBefore w:val="0"/>
        <w:widowControl w:val="0"/>
        <w:numPr>
          <w:ilvl w:val="0"/>
          <w:numId w:val="3"/>
        </w:numPr>
        <w:kinsoku/>
        <w:wordWrap/>
        <w:overflowPunct/>
        <w:topLinePunct w:val="0"/>
        <w:bidi w:val="0"/>
        <w:adjustRightInd w:val="0"/>
        <w:snapToGrid w:val="0"/>
        <w:spacing w:line="360" w:lineRule="auto"/>
        <w:ind w:left="0" w:leftChars="0" w:right="0" w:rightChars="0" w:firstLine="422" w:firstLineChars="200"/>
        <w:jc w:val="both"/>
        <w:textAlignment w:val="auto"/>
        <w:outlineLvl w:val="0"/>
        <w:rPr>
          <w:rFonts w:hint="eastAsia" w:ascii="宋体" w:hAnsi="宋体" w:eastAsia="宋体" w:cs="宋体"/>
          <w:b/>
          <w:snapToGrid w:val="0"/>
          <w:sz w:val="21"/>
          <w:szCs w:val="21"/>
        </w:rPr>
      </w:pPr>
      <w:bookmarkStart w:id="72" w:name="_Toc28372"/>
      <w:bookmarkStart w:id="73" w:name="_Toc11595"/>
      <w:bookmarkStart w:id="74" w:name="_Toc25375"/>
      <w:bookmarkStart w:id="75" w:name="_Toc19949"/>
      <w:r>
        <w:rPr>
          <w:rFonts w:hint="eastAsia" w:ascii="宋体" w:hAnsi="宋体" w:eastAsia="宋体" w:cs="宋体"/>
          <w:b/>
          <w:snapToGrid w:val="0"/>
          <w:sz w:val="21"/>
          <w:szCs w:val="21"/>
        </w:rPr>
        <w:t>违约责任</w:t>
      </w:r>
      <w:bookmarkEnd w:id="72"/>
      <w:bookmarkEnd w:id="73"/>
      <w:bookmarkEnd w:id="74"/>
      <w:bookmarkEnd w:id="75"/>
    </w:p>
    <w:p>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420" w:firstLineChars="200"/>
        <w:jc w:val="both"/>
        <w:textAlignment w:val="auto"/>
        <w:outlineLvl w:val="0"/>
        <w:rPr>
          <w:rFonts w:hint="eastAsia" w:ascii="宋体" w:hAnsi="宋体" w:eastAsia="宋体" w:cs="宋体"/>
          <w:b w:val="0"/>
          <w:bCs/>
          <w:snapToGrid w:val="0"/>
          <w:sz w:val="21"/>
          <w:szCs w:val="21"/>
          <w:lang w:val="en-US" w:eastAsia="zh-CN"/>
        </w:rPr>
      </w:pPr>
      <w:bookmarkStart w:id="76" w:name="_Toc15276"/>
      <w:bookmarkStart w:id="77" w:name="_Toc13468"/>
      <w:bookmarkStart w:id="78" w:name="_Toc25740"/>
      <w:bookmarkStart w:id="79" w:name="_Toc20054"/>
      <w:r>
        <w:rPr>
          <w:rFonts w:hint="eastAsia" w:ascii="宋体" w:hAnsi="宋体" w:eastAsia="宋体" w:cs="宋体"/>
          <w:b w:val="0"/>
          <w:bCs/>
          <w:snapToGrid w:val="0"/>
          <w:sz w:val="21"/>
          <w:szCs w:val="21"/>
          <w:lang w:val="en-US" w:eastAsia="zh-CN"/>
        </w:rPr>
        <w:t>10.1因乙方原因导致未按合同约定时间完成服务，甲方有权要求乙方限期纠正其违约行为，并采取补救措施以确保项目进度符合合同约定，采取补救措施的费用由乙方承担。如果违约通知发出后乙方仍然继续违约行为且逾期已超过10日，乙方应自逾期之日起每逾期一日按逾期项目成果对应的合同价的5‰向甲方支付违约金。当违约金累计超过本合同总价的10%，甲方有权解除合同，由此给甲方造成的全部损失均由乙方承担（包括直接损失和预期利益损失，以下同）。</w:t>
      </w:r>
      <w:bookmarkEnd w:id="76"/>
      <w:bookmarkEnd w:id="77"/>
      <w:bookmarkEnd w:id="78"/>
      <w:bookmarkEnd w:id="79"/>
    </w:p>
    <w:p>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420" w:firstLineChars="200"/>
        <w:jc w:val="both"/>
        <w:textAlignment w:val="auto"/>
        <w:outlineLvl w:val="0"/>
        <w:rPr>
          <w:rFonts w:hint="eastAsia" w:ascii="宋体" w:hAnsi="宋体" w:eastAsia="宋体" w:cs="宋体"/>
          <w:b w:val="0"/>
          <w:bCs/>
          <w:snapToGrid w:val="0"/>
          <w:sz w:val="21"/>
          <w:szCs w:val="21"/>
          <w:lang w:val="en-US" w:eastAsia="zh-CN"/>
        </w:rPr>
      </w:pPr>
      <w:bookmarkStart w:id="80" w:name="_Toc12567"/>
      <w:bookmarkStart w:id="81" w:name="_Toc4747"/>
      <w:bookmarkStart w:id="82" w:name="_Toc9065"/>
      <w:bookmarkStart w:id="83" w:name="_Toc30897"/>
      <w:r>
        <w:rPr>
          <w:rFonts w:hint="eastAsia" w:ascii="宋体" w:hAnsi="宋体" w:eastAsia="宋体" w:cs="宋体"/>
          <w:b w:val="0"/>
          <w:bCs/>
          <w:snapToGrid w:val="0"/>
          <w:sz w:val="21"/>
          <w:szCs w:val="21"/>
          <w:lang w:val="en-US" w:eastAsia="zh-CN"/>
        </w:rPr>
        <w:t>10.2原则上不允许更换项目关键岗位人员，确需更换的，乙方应按相关规定向甲方申请办理变更手续。经甲方审批同意，每更换一名关键岗位人员，乙方应按本合同总价的5‰支付违约金；未经甲方审批同意擅自变更的，一经查实，乙方应按上述标准的双倍支付违约金。</w:t>
      </w:r>
      <w:bookmarkEnd w:id="80"/>
      <w:bookmarkEnd w:id="81"/>
      <w:bookmarkEnd w:id="82"/>
      <w:bookmarkEnd w:id="83"/>
    </w:p>
    <w:p>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420" w:firstLineChars="200"/>
        <w:jc w:val="both"/>
        <w:textAlignment w:val="auto"/>
        <w:outlineLvl w:val="0"/>
        <w:rPr>
          <w:rFonts w:hint="eastAsia" w:ascii="宋体" w:hAnsi="宋体" w:eastAsia="宋体" w:cs="宋体"/>
          <w:b w:val="0"/>
          <w:bCs/>
          <w:snapToGrid w:val="0"/>
          <w:sz w:val="21"/>
          <w:szCs w:val="21"/>
          <w:lang w:val="en-US" w:eastAsia="zh-CN"/>
        </w:rPr>
      </w:pPr>
      <w:bookmarkStart w:id="84" w:name="_Toc22799"/>
      <w:bookmarkStart w:id="85" w:name="_Toc17389"/>
      <w:bookmarkStart w:id="86" w:name="_Toc6292"/>
      <w:bookmarkStart w:id="87" w:name="_Toc11528"/>
      <w:r>
        <w:rPr>
          <w:rFonts w:hint="eastAsia" w:ascii="宋体" w:hAnsi="宋体" w:eastAsia="宋体" w:cs="宋体"/>
          <w:b w:val="0"/>
          <w:bCs/>
          <w:snapToGrid w:val="0"/>
          <w:sz w:val="21"/>
          <w:szCs w:val="21"/>
          <w:lang w:val="en-US" w:eastAsia="zh-CN"/>
        </w:rPr>
        <w:t>10.3乙方正式提交的项目成果经甲方两次验收不通过，甲方有权拒付该项目成果对应的合同款，且有权解除合同，由此给甲方造成的全部损失均由乙方承担。</w:t>
      </w:r>
      <w:bookmarkEnd w:id="84"/>
      <w:bookmarkEnd w:id="85"/>
      <w:bookmarkEnd w:id="86"/>
      <w:bookmarkEnd w:id="87"/>
    </w:p>
    <w:p>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420" w:firstLineChars="200"/>
        <w:jc w:val="both"/>
        <w:textAlignment w:val="auto"/>
        <w:outlineLvl w:val="0"/>
        <w:rPr>
          <w:rFonts w:hint="eastAsia" w:ascii="宋体" w:hAnsi="宋体" w:eastAsia="宋体" w:cs="宋体"/>
          <w:b w:val="0"/>
          <w:bCs/>
          <w:snapToGrid w:val="0"/>
          <w:sz w:val="21"/>
          <w:szCs w:val="21"/>
          <w:lang w:val="en-US" w:eastAsia="zh-CN"/>
        </w:rPr>
      </w:pPr>
      <w:bookmarkStart w:id="88" w:name="_Toc19166"/>
      <w:bookmarkStart w:id="89" w:name="_Toc827"/>
      <w:bookmarkStart w:id="90" w:name="_Toc29247"/>
      <w:bookmarkStart w:id="91" w:name="_Toc4921"/>
      <w:r>
        <w:rPr>
          <w:rFonts w:hint="eastAsia" w:ascii="宋体" w:hAnsi="宋体" w:eastAsia="宋体" w:cs="宋体"/>
          <w:b w:val="0"/>
          <w:bCs/>
          <w:snapToGrid w:val="0"/>
          <w:sz w:val="21"/>
          <w:szCs w:val="21"/>
          <w:lang w:val="en-US" w:eastAsia="zh-CN"/>
        </w:rPr>
        <w:t>10.4乙方在非法定或本合同约定的情形下，未经甲方同意单方解除合同，由此给甲方造成的全部损失均由乙方承担。</w:t>
      </w:r>
      <w:bookmarkEnd w:id="88"/>
      <w:bookmarkEnd w:id="89"/>
      <w:bookmarkEnd w:id="90"/>
      <w:bookmarkEnd w:id="91"/>
    </w:p>
    <w:p>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420" w:firstLineChars="200"/>
        <w:jc w:val="both"/>
        <w:textAlignment w:val="auto"/>
        <w:outlineLvl w:val="0"/>
        <w:rPr>
          <w:rFonts w:hint="eastAsia" w:ascii="宋体" w:hAnsi="宋体" w:eastAsia="宋体" w:cs="宋体"/>
          <w:b w:val="0"/>
          <w:bCs/>
          <w:snapToGrid w:val="0"/>
          <w:sz w:val="21"/>
          <w:szCs w:val="21"/>
          <w:lang w:val="en-US" w:eastAsia="zh-CN"/>
        </w:rPr>
      </w:pPr>
      <w:bookmarkStart w:id="92" w:name="_Toc10916"/>
      <w:bookmarkStart w:id="93" w:name="_Toc12919"/>
      <w:bookmarkStart w:id="94" w:name="_Toc3688"/>
      <w:bookmarkStart w:id="95" w:name="_Toc16052"/>
      <w:r>
        <w:rPr>
          <w:rFonts w:hint="eastAsia" w:ascii="宋体" w:hAnsi="宋体" w:eastAsia="宋体" w:cs="宋体"/>
          <w:b w:val="0"/>
          <w:bCs/>
          <w:snapToGrid w:val="0"/>
          <w:sz w:val="21"/>
          <w:szCs w:val="21"/>
          <w:lang w:val="en-US" w:eastAsia="zh-CN"/>
        </w:rPr>
        <w:t>10.5乙方未按本合同及法律法规的规定履行其他职责或未按约定履行保密协议的，应向甲方支付本合同总价10%的违约金，由此给甲方造成的全部损失均由乙方承担。</w:t>
      </w:r>
      <w:bookmarkEnd w:id="92"/>
      <w:bookmarkEnd w:id="93"/>
      <w:bookmarkEnd w:id="94"/>
      <w:bookmarkEnd w:id="95"/>
    </w:p>
    <w:p>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420" w:firstLineChars="200"/>
        <w:jc w:val="both"/>
        <w:textAlignment w:val="auto"/>
        <w:outlineLvl w:val="0"/>
        <w:rPr>
          <w:rFonts w:hint="eastAsia" w:ascii="宋体" w:hAnsi="宋体" w:eastAsia="宋体" w:cs="宋体"/>
          <w:b w:val="0"/>
          <w:bCs/>
          <w:snapToGrid w:val="0"/>
          <w:sz w:val="21"/>
          <w:szCs w:val="21"/>
          <w:lang w:val="en-US" w:eastAsia="zh-CN"/>
        </w:rPr>
      </w:pPr>
      <w:bookmarkStart w:id="96" w:name="_Toc5644"/>
      <w:bookmarkStart w:id="97" w:name="_Toc9565"/>
      <w:bookmarkStart w:id="98" w:name="_Toc102"/>
      <w:bookmarkStart w:id="99" w:name="_Toc11019"/>
      <w:r>
        <w:rPr>
          <w:rFonts w:hint="eastAsia" w:ascii="宋体" w:hAnsi="宋体" w:eastAsia="宋体" w:cs="宋体"/>
          <w:b w:val="0"/>
          <w:bCs/>
          <w:snapToGrid w:val="0"/>
          <w:sz w:val="21"/>
          <w:szCs w:val="21"/>
          <w:lang w:val="en-US" w:eastAsia="zh-CN"/>
        </w:rPr>
        <w:t>10.6乙方违反本合同技术成果归属规定，应向甲方支付本合同总价10%的违约金，且甲方有权解除合同，由此给甲方造成的全部损失均由乙方承担。</w:t>
      </w:r>
      <w:bookmarkEnd w:id="96"/>
      <w:bookmarkEnd w:id="97"/>
      <w:bookmarkEnd w:id="98"/>
      <w:bookmarkEnd w:id="99"/>
    </w:p>
    <w:p>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420" w:firstLineChars="200"/>
        <w:jc w:val="both"/>
        <w:textAlignment w:val="auto"/>
        <w:outlineLvl w:val="0"/>
        <w:rPr>
          <w:rFonts w:hint="eastAsia" w:ascii="宋体" w:hAnsi="宋体" w:eastAsia="宋体" w:cs="宋体"/>
          <w:b w:val="0"/>
          <w:bCs/>
          <w:snapToGrid w:val="0"/>
          <w:sz w:val="21"/>
          <w:szCs w:val="21"/>
          <w:lang w:val="en-US" w:eastAsia="zh-CN"/>
        </w:rPr>
      </w:pPr>
      <w:bookmarkStart w:id="100" w:name="_Toc26592"/>
      <w:bookmarkStart w:id="101" w:name="_Toc16259"/>
      <w:bookmarkStart w:id="102" w:name="_Toc20784"/>
      <w:bookmarkStart w:id="103" w:name="_Toc16097"/>
      <w:r>
        <w:rPr>
          <w:rFonts w:hint="eastAsia" w:ascii="宋体" w:hAnsi="宋体" w:eastAsia="宋体" w:cs="宋体"/>
          <w:b w:val="0"/>
          <w:bCs/>
          <w:snapToGrid w:val="0"/>
          <w:sz w:val="21"/>
          <w:szCs w:val="21"/>
          <w:lang w:val="en-US" w:eastAsia="zh-CN"/>
        </w:rPr>
        <w:t>10.7乙方未在本合同签订后15个工作日内提供履约担保的，每延迟一天乙方应按签约合同价的5‰向甲方支付违约金，违约金最高不超过签约合同价的10%。</w:t>
      </w:r>
      <w:bookmarkEnd w:id="100"/>
      <w:bookmarkEnd w:id="101"/>
      <w:bookmarkEnd w:id="102"/>
      <w:bookmarkEnd w:id="103"/>
    </w:p>
    <w:p>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420" w:firstLineChars="200"/>
        <w:jc w:val="both"/>
        <w:textAlignment w:val="auto"/>
        <w:outlineLvl w:val="0"/>
        <w:rPr>
          <w:rFonts w:hint="eastAsia" w:ascii="宋体" w:hAnsi="宋体" w:eastAsia="宋体" w:cs="宋体"/>
          <w:b w:val="0"/>
          <w:bCs/>
          <w:snapToGrid w:val="0"/>
          <w:sz w:val="21"/>
          <w:szCs w:val="21"/>
          <w:lang w:val="en-US" w:eastAsia="zh-CN"/>
        </w:rPr>
      </w:pPr>
      <w:bookmarkStart w:id="104" w:name="_Toc31377"/>
      <w:bookmarkStart w:id="105" w:name="_Toc22939"/>
      <w:bookmarkStart w:id="106" w:name="_Toc15344"/>
      <w:bookmarkStart w:id="107" w:name="_Toc18754"/>
      <w:r>
        <w:rPr>
          <w:rFonts w:hint="eastAsia" w:ascii="宋体" w:hAnsi="宋体" w:eastAsia="宋体" w:cs="宋体"/>
          <w:b w:val="0"/>
          <w:bCs/>
          <w:snapToGrid w:val="0"/>
          <w:sz w:val="21"/>
          <w:szCs w:val="21"/>
          <w:lang w:val="en-US" w:eastAsia="zh-CN"/>
        </w:rPr>
        <w:t>10.8上述损失均包括但不限于因乙方未按本合同约定及时履行义务或履行义务未达到相应质量标准和要求等导致相应设备等存在安全隐患，实际影响甲方运营安全或导致安全事故所产生的损失，同时也包括预期利益损失、给第三人的人身或财产造成的损害、人民法院裁定或达成和解中所涉支付内容损失等。</w:t>
      </w:r>
      <w:bookmarkEnd w:id="104"/>
      <w:bookmarkEnd w:id="105"/>
      <w:bookmarkEnd w:id="106"/>
      <w:bookmarkEnd w:id="107"/>
    </w:p>
    <w:p>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right="0" w:rightChars="0" w:firstLine="420" w:firstLineChars="200"/>
        <w:jc w:val="both"/>
        <w:textAlignment w:val="auto"/>
        <w:outlineLvl w:val="0"/>
        <w:rPr>
          <w:rFonts w:hint="eastAsia" w:ascii="宋体" w:hAnsi="宋体" w:eastAsia="宋体" w:cs="宋体"/>
          <w:b w:val="0"/>
          <w:bCs/>
          <w:snapToGrid w:val="0"/>
          <w:sz w:val="21"/>
          <w:szCs w:val="21"/>
          <w:lang w:val="en-US" w:eastAsia="zh-CN"/>
        </w:rPr>
      </w:pPr>
      <w:bookmarkStart w:id="108" w:name="_Toc29586"/>
      <w:bookmarkStart w:id="109" w:name="_Toc30704"/>
      <w:bookmarkStart w:id="110" w:name="_Toc12292"/>
      <w:bookmarkStart w:id="111" w:name="_Toc10020"/>
      <w:r>
        <w:rPr>
          <w:rFonts w:hint="eastAsia" w:ascii="宋体" w:hAnsi="宋体" w:eastAsia="宋体" w:cs="宋体"/>
          <w:b w:val="0"/>
          <w:bCs/>
          <w:snapToGrid w:val="0"/>
          <w:sz w:val="21"/>
          <w:szCs w:val="21"/>
          <w:lang w:val="en-US" w:eastAsia="zh-CN"/>
        </w:rPr>
        <w:t>10.9违约金以现金或转账方式支付或从合同应付款项中扣除。甲方开具收款收据、不提供发票，乙方不得因此冲减增值税专用发票金额。</w:t>
      </w:r>
      <w:bookmarkEnd w:id="108"/>
      <w:bookmarkEnd w:id="109"/>
      <w:bookmarkEnd w:id="110"/>
      <w:bookmarkEnd w:id="111"/>
    </w:p>
    <w:p>
      <w:pPr>
        <w:keepNext w:val="0"/>
        <w:keepLines w:val="0"/>
        <w:pageBreakBefore w:val="0"/>
        <w:widowControl w:val="0"/>
        <w:numPr>
          <w:ilvl w:val="0"/>
          <w:numId w:val="3"/>
        </w:numPr>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技术成果归属</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11.1 </w:t>
      </w:r>
      <w:r>
        <w:rPr>
          <w:rFonts w:hint="eastAsia" w:ascii="宋体" w:hAnsi="宋体" w:eastAsia="宋体" w:cs="宋体"/>
          <w:snapToGrid w:val="0"/>
          <w:sz w:val="21"/>
          <w:szCs w:val="21"/>
        </w:rPr>
        <w:t>在履行本合同过程中，乙方为履行本合同所交付甲方的研究成果，阶段性文件，测试资料，以及甲方利用乙方提供的相关文件等，均归甲方所有，任何单位及个人，未经甲方允许，不得作为其他用途。</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11.2 </w:t>
      </w:r>
      <w:r>
        <w:rPr>
          <w:rFonts w:hint="eastAsia" w:ascii="宋体" w:hAnsi="宋体" w:eastAsia="宋体" w:cs="宋体"/>
          <w:snapToGrid w:val="0"/>
          <w:sz w:val="21"/>
          <w:szCs w:val="21"/>
        </w:rPr>
        <w:t>如任何第三方声称乙方提供给甲方的项目成果侵犯该方的专利、著作权、商标权和商业秘密，甲方会把该等权利主张立即书面通知乙方，乙方将负责自费就上述权利主张进行抗辩或应诉，并在辩护及有关的和解谈判中具有控制权，甲方同意与乙方合作。乙方</w:t>
      </w:r>
      <w:r>
        <w:rPr>
          <w:rFonts w:hint="eastAsia" w:ascii="宋体" w:hAnsi="宋体" w:eastAsia="宋体" w:cs="宋体"/>
          <w:snapToGrid w:val="0"/>
          <w:sz w:val="21"/>
          <w:szCs w:val="21"/>
          <w:lang w:eastAsia="zh-CN"/>
        </w:rPr>
        <w:t>应最终</w:t>
      </w:r>
      <w:r>
        <w:rPr>
          <w:rFonts w:hint="eastAsia" w:ascii="宋体" w:hAnsi="宋体" w:eastAsia="宋体" w:cs="宋体"/>
          <w:snapToGrid w:val="0"/>
          <w:sz w:val="21"/>
          <w:szCs w:val="21"/>
        </w:rPr>
        <w:t>负责支付法院</w:t>
      </w:r>
      <w:r>
        <w:rPr>
          <w:rFonts w:hint="eastAsia" w:ascii="宋体" w:hAnsi="宋体" w:eastAsia="宋体" w:cs="宋体"/>
          <w:snapToGrid w:val="0"/>
          <w:sz w:val="21"/>
          <w:szCs w:val="21"/>
          <w:lang w:eastAsia="zh-CN"/>
        </w:rPr>
        <w:t>生效</w:t>
      </w:r>
      <w:r>
        <w:rPr>
          <w:rFonts w:hint="eastAsia" w:ascii="宋体" w:hAnsi="宋体" w:eastAsia="宋体" w:cs="宋体"/>
          <w:snapToGrid w:val="0"/>
          <w:sz w:val="21"/>
          <w:szCs w:val="21"/>
        </w:rPr>
        <w:t>裁</w:t>
      </w:r>
      <w:r>
        <w:rPr>
          <w:rFonts w:hint="eastAsia" w:ascii="宋体" w:hAnsi="宋体" w:eastAsia="宋体" w:cs="宋体"/>
          <w:snapToGrid w:val="0"/>
          <w:sz w:val="21"/>
          <w:szCs w:val="21"/>
          <w:lang w:eastAsia="zh-CN"/>
        </w:rPr>
        <w:t>判</w:t>
      </w:r>
      <w:r>
        <w:rPr>
          <w:rFonts w:hint="eastAsia" w:ascii="宋体" w:hAnsi="宋体" w:eastAsia="宋体" w:cs="宋体"/>
          <w:snapToGrid w:val="0"/>
          <w:sz w:val="21"/>
          <w:szCs w:val="21"/>
        </w:rPr>
        <w:t>的或经乙方同意的和解中包括的由甲方承担的损害赔偿金</w:t>
      </w:r>
      <w:r>
        <w:rPr>
          <w:rFonts w:hint="eastAsia" w:ascii="宋体" w:hAnsi="宋体" w:eastAsia="宋体" w:cs="宋体"/>
          <w:snapToGrid w:val="0"/>
          <w:sz w:val="21"/>
          <w:szCs w:val="21"/>
          <w:lang w:eastAsia="zh-CN"/>
        </w:rPr>
        <w:t>、财产保全费、公证费、诉讼费</w:t>
      </w:r>
      <w:r>
        <w:rPr>
          <w:rFonts w:hint="eastAsia" w:ascii="宋体" w:hAnsi="宋体" w:eastAsia="宋体" w:cs="宋体"/>
          <w:snapToGrid w:val="0"/>
          <w:sz w:val="21"/>
          <w:szCs w:val="21"/>
        </w:rPr>
        <w:t>和律师费一切费用。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lang w:val="en-US" w:eastAsia="zh-CN"/>
        </w:rPr>
        <w:t>12、不可抗力</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受阻一方应在不可抗力事件发生后尽快用电报、传真或电传通知对方，并于事件发生后</w:t>
      </w:r>
      <w:r>
        <w:rPr>
          <w:rFonts w:hint="eastAsia" w:ascii="宋体" w:hAnsi="宋体" w:eastAsia="宋体" w:cs="宋体"/>
          <w:snapToGrid w:val="0"/>
          <w:sz w:val="21"/>
          <w:szCs w:val="21"/>
          <w:lang w:val="en-US" w:eastAsia="zh-CN"/>
        </w:rPr>
        <w:t xml:space="preserve"> 10</w:t>
      </w:r>
      <w:r>
        <w:rPr>
          <w:rFonts w:hint="eastAsia" w:ascii="宋体" w:hAnsi="宋体" w:eastAsia="宋体" w:cs="宋体"/>
          <w:snapToGrid w:val="0"/>
          <w:sz w:val="21"/>
          <w:szCs w:val="21"/>
        </w:rPr>
        <w:t>天内将有关当局出具的证明文件用特快专递或挂号信寄给对方审阅确认。</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both"/>
        <w:textAlignment w:val="auto"/>
        <w:outlineLvl w:val="0"/>
        <w:rPr>
          <w:rFonts w:hint="eastAsia" w:ascii="宋体" w:hAnsi="宋体" w:eastAsia="宋体" w:cs="宋体"/>
          <w:b/>
          <w:snapToGrid w:val="0"/>
          <w:sz w:val="21"/>
          <w:szCs w:val="21"/>
        </w:rPr>
      </w:pPr>
      <w:bookmarkStart w:id="112" w:name="_Toc1742"/>
      <w:bookmarkStart w:id="113" w:name="_Toc5057"/>
      <w:bookmarkStart w:id="114" w:name="_Toc27232"/>
      <w:bookmarkStart w:id="115" w:name="_Toc30208"/>
      <w:r>
        <w:rPr>
          <w:rFonts w:hint="eastAsia" w:ascii="宋体" w:hAnsi="宋体" w:eastAsia="宋体" w:cs="宋体"/>
          <w:b/>
          <w:snapToGrid w:val="0"/>
          <w:sz w:val="21"/>
          <w:szCs w:val="21"/>
          <w:lang w:val="en-US" w:eastAsia="zh-CN"/>
        </w:rPr>
        <w:t>13、</w:t>
      </w:r>
      <w:r>
        <w:rPr>
          <w:rFonts w:hint="eastAsia" w:ascii="宋体" w:hAnsi="宋体" w:eastAsia="宋体" w:cs="宋体"/>
          <w:b/>
          <w:snapToGrid w:val="0"/>
          <w:sz w:val="21"/>
          <w:szCs w:val="21"/>
        </w:rPr>
        <w:t>争议解决</w:t>
      </w:r>
      <w:bookmarkEnd w:id="112"/>
      <w:bookmarkEnd w:id="113"/>
      <w:bookmarkEnd w:id="114"/>
      <w:bookmarkEnd w:id="115"/>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13.1 </w:t>
      </w:r>
      <w:r>
        <w:rPr>
          <w:rFonts w:hint="eastAsia" w:ascii="宋体" w:hAnsi="宋体" w:eastAsia="宋体" w:cs="宋体"/>
          <w:snapToGrid w:val="0"/>
          <w:sz w:val="21"/>
          <w:szCs w:val="21"/>
        </w:rPr>
        <w:t>在合同履行过程中出现任何争议，双方应协商解决。</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 xml:space="preserve">13.2 </w:t>
      </w:r>
      <w:r>
        <w:rPr>
          <w:rFonts w:hint="eastAsia" w:ascii="宋体" w:hAnsi="宋体" w:eastAsia="宋体" w:cs="宋体"/>
          <w:snapToGrid w:val="0"/>
          <w:sz w:val="21"/>
          <w:szCs w:val="21"/>
        </w:rPr>
        <w:t>若双方协商在一方向另一方发出要求协商解决的书面通知后的30日内不能达成一致，向甲方住所地有管辖权的人民法院提起诉讼。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jc w:val="both"/>
        <w:textAlignment w:val="auto"/>
        <w:outlineLvl w:val="0"/>
        <w:rPr>
          <w:rFonts w:hint="eastAsia" w:ascii="宋体" w:hAnsi="宋体" w:eastAsia="宋体" w:cs="宋体"/>
          <w:snapToGrid w:val="0"/>
          <w:sz w:val="21"/>
          <w:szCs w:val="21"/>
        </w:rPr>
      </w:pPr>
      <w:bookmarkStart w:id="116" w:name="_Toc8851"/>
      <w:bookmarkStart w:id="117" w:name="_Toc3918"/>
      <w:bookmarkStart w:id="118" w:name="_Toc20943"/>
      <w:bookmarkStart w:id="119" w:name="_Toc20018"/>
      <w:r>
        <w:rPr>
          <w:rFonts w:hint="eastAsia" w:ascii="宋体" w:hAnsi="宋体" w:eastAsia="宋体" w:cs="宋体"/>
          <w:snapToGrid w:val="0"/>
          <w:sz w:val="21"/>
          <w:szCs w:val="21"/>
          <w:lang w:val="en-US" w:eastAsia="zh-CN"/>
        </w:rPr>
        <w:t xml:space="preserve">13.3 </w:t>
      </w:r>
      <w:r>
        <w:rPr>
          <w:rFonts w:hint="eastAsia" w:ascii="宋体" w:hAnsi="宋体" w:eastAsia="宋体" w:cs="宋体"/>
          <w:snapToGrid w:val="0"/>
          <w:sz w:val="21"/>
          <w:szCs w:val="21"/>
        </w:rPr>
        <w:t>诉讼进行期间，除必须在诉讼过程中进行解决的部分问题外，合同其余部分应继续履行，即双方将继续履行诉讼部分以外的合同义务。</w:t>
      </w:r>
      <w:bookmarkEnd w:id="116"/>
      <w:bookmarkEnd w:id="117"/>
      <w:bookmarkEnd w:id="118"/>
      <w:bookmarkEnd w:id="119"/>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1"/>
        <w:rPr>
          <w:rFonts w:hint="eastAsia" w:ascii="宋体" w:hAnsi="宋体" w:eastAsia="宋体" w:cs="宋体"/>
          <w:b/>
          <w:snapToGrid w:val="0"/>
          <w:sz w:val="21"/>
          <w:szCs w:val="21"/>
          <w:lang w:val="en-US" w:eastAsia="zh-CN"/>
        </w:rPr>
      </w:pPr>
      <w:bookmarkStart w:id="120" w:name="_Toc15986"/>
      <w:bookmarkStart w:id="121" w:name="_Toc19638"/>
      <w:bookmarkStart w:id="122" w:name="_Toc8259"/>
      <w:bookmarkStart w:id="123" w:name="_Toc3482"/>
      <w:r>
        <w:rPr>
          <w:rFonts w:hint="eastAsia" w:ascii="宋体" w:hAnsi="宋体" w:eastAsia="宋体" w:cs="宋体"/>
          <w:b/>
          <w:snapToGrid w:val="0"/>
          <w:sz w:val="21"/>
          <w:szCs w:val="21"/>
          <w:lang w:val="en-US" w:eastAsia="zh-CN"/>
        </w:rPr>
        <w:t>14、合同终止</w:t>
      </w:r>
      <w:bookmarkEnd w:id="120"/>
      <w:bookmarkEnd w:id="121"/>
      <w:bookmarkEnd w:id="122"/>
      <w:bookmarkEnd w:id="123"/>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1"/>
        <w:rPr>
          <w:rFonts w:hint="eastAsia" w:ascii="宋体" w:hAnsi="宋体" w:eastAsia="宋体" w:cs="宋体"/>
          <w:b w:val="0"/>
          <w:bCs/>
          <w:snapToGrid w:val="0"/>
          <w:sz w:val="21"/>
          <w:szCs w:val="21"/>
          <w:lang w:val="en-US" w:eastAsia="zh-CN"/>
        </w:rPr>
      </w:pPr>
      <w:bookmarkStart w:id="124" w:name="_Toc24395"/>
      <w:bookmarkStart w:id="125" w:name="_Toc7275"/>
      <w:bookmarkStart w:id="126" w:name="_Toc3521"/>
      <w:bookmarkStart w:id="127" w:name="_Toc29817"/>
      <w:r>
        <w:rPr>
          <w:rFonts w:hint="eastAsia" w:ascii="宋体" w:hAnsi="宋体" w:eastAsia="宋体" w:cs="宋体"/>
          <w:b w:val="0"/>
          <w:bCs/>
          <w:snapToGrid w:val="0"/>
          <w:sz w:val="21"/>
          <w:szCs w:val="21"/>
          <w:lang w:val="en-US" w:eastAsia="zh-CN"/>
        </w:rPr>
        <w:t>除合同解除外，以下条件全部满足时，本合同终止：</w:t>
      </w:r>
      <w:bookmarkEnd w:id="124"/>
      <w:bookmarkEnd w:id="125"/>
      <w:bookmarkEnd w:id="126"/>
      <w:bookmarkEnd w:id="127"/>
    </w:p>
    <w:p>
      <w:pPr>
        <w:keepNext w:val="0"/>
        <w:keepLines w:val="0"/>
        <w:pageBreakBefore w:val="0"/>
        <w:widowControl w:val="0"/>
        <w:numPr>
          <w:ilvl w:val="0"/>
          <w:numId w:val="4"/>
        </w:numPr>
        <w:kinsoku/>
        <w:wordWrap/>
        <w:overflowPunct/>
        <w:topLinePunct w:val="0"/>
        <w:bidi w:val="0"/>
        <w:adjustRightInd w:val="0"/>
        <w:snapToGrid w:val="0"/>
        <w:spacing w:line="360" w:lineRule="auto"/>
        <w:ind w:left="0" w:leftChars="0" w:right="0" w:rightChars="0" w:firstLine="420" w:firstLineChars="200"/>
        <w:textAlignment w:val="auto"/>
        <w:outlineLvl w:val="1"/>
        <w:rPr>
          <w:rFonts w:hint="eastAsia" w:ascii="宋体" w:hAnsi="宋体" w:eastAsia="宋体" w:cs="宋体"/>
          <w:b w:val="0"/>
          <w:bCs/>
          <w:snapToGrid w:val="0"/>
          <w:sz w:val="21"/>
          <w:szCs w:val="21"/>
          <w:lang w:val="en-US" w:eastAsia="zh-CN"/>
        </w:rPr>
      </w:pPr>
      <w:bookmarkStart w:id="128" w:name="_Toc6501"/>
      <w:bookmarkStart w:id="129" w:name="_Toc27108"/>
      <w:bookmarkStart w:id="130" w:name="_Toc8874"/>
      <w:bookmarkStart w:id="131" w:name="_Toc24455"/>
      <w:r>
        <w:rPr>
          <w:rFonts w:hint="eastAsia" w:ascii="宋体" w:hAnsi="宋体" w:eastAsia="宋体" w:cs="宋体"/>
          <w:b w:val="0"/>
          <w:bCs/>
          <w:snapToGrid w:val="0"/>
          <w:sz w:val="21"/>
          <w:szCs w:val="21"/>
          <w:lang w:val="en-US" w:eastAsia="zh-CN"/>
        </w:rPr>
        <w:t>乙方完成本合同约定的全部工作；</w:t>
      </w:r>
      <w:bookmarkEnd w:id="128"/>
      <w:bookmarkEnd w:id="129"/>
      <w:bookmarkEnd w:id="130"/>
      <w:bookmarkEnd w:id="131"/>
    </w:p>
    <w:p>
      <w:pPr>
        <w:keepNext w:val="0"/>
        <w:keepLines w:val="0"/>
        <w:pageBreakBefore w:val="0"/>
        <w:widowControl w:val="0"/>
        <w:numPr>
          <w:ilvl w:val="0"/>
          <w:numId w:val="4"/>
        </w:numPr>
        <w:kinsoku/>
        <w:wordWrap/>
        <w:overflowPunct/>
        <w:topLinePunct w:val="0"/>
        <w:bidi w:val="0"/>
        <w:adjustRightInd w:val="0"/>
        <w:snapToGrid w:val="0"/>
        <w:spacing w:line="360" w:lineRule="auto"/>
        <w:ind w:left="0" w:leftChars="0" w:right="0" w:rightChars="0" w:firstLine="420" w:firstLineChars="200"/>
        <w:textAlignment w:val="auto"/>
        <w:outlineLvl w:val="1"/>
        <w:rPr>
          <w:rFonts w:hint="eastAsia" w:ascii="宋体" w:hAnsi="宋体" w:eastAsia="宋体" w:cs="宋体"/>
          <w:b w:val="0"/>
          <w:bCs/>
          <w:snapToGrid w:val="0"/>
          <w:sz w:val="21"/>
          <w:szCs w:val="21"/>
          <w:lang w:val="en-US" w:eastAsia="zh-CN"/>
        </w:rPr>
      </w:pPr>
      <w:bookmarkStart w:id="132" w:name="_Toc21491"/>
      <w:bookmarkStart w:id="133" w:name="_Toc24277"/>
      <w:bookmarkStart w:id="134" w:name="_Toc5854"/>
      <w:bookmarkStart w:id="135" w:name="_Toc21132"/>
      <w:r>
        <w:rPr>
          <w:rFonts w:hint="eastAsia" w:ascii="宋体" w:hAnsi="宋体" w:eastAsia="宋体" w:cs="宋体"/>
          <w:b w:val="0"/>
          <w:bCs/>
          <w:snapToGrid w:val="0"/>
          <w:sz w:val="21"/>
          <w:szCs w:val="21"/>
          <w:lang w:val="en-US" w:eastAsia="zh-CN"/>
        </w:rPr>
        <w:t>甲方与乙方结清并支付服务费用；</w:t>
      </w:r>
      <w:bookmarkEnd w:id="132"/>
      <w:bookmarkEnd w:id="133"/>
      <w:bookmarkEnd w:id="134"/>
      <w:bookmarkEnd w:id="135"/>
    </w:p>
    <w:p>
      <w:pPr>
        <w:keepNext w:val="0"/>
        <w:keepLines w:val="0"/>
        <w:pageBreakBefore w:val="0"/>
        <w:widowControl w:val="0"/>
        <w:numPr>
          <w:ilvl w:val="0"/>
          <w:numId w:val="4"/>
        </w:numPr>
        <w:kinsoku/>
        <w:wordWrap/>
        <w:overflowPunct/>
        <w:topLinePunct w:val="0"/>
        <w:bidi w:val="0"/>
        <w:adjustRightInd w:val="0"/>
        <w:snapToGrid w:val="0"/>
        <w:spacing w:line="360" w:lineRule="auto"/>
        <w:ind w:left="0" w:leftChars="0" w:right="0" w:rightChars="0" w:firstLine="420" w:firstLineChars="200"/>
        <w:textAlignment w:val="auto"/>
        <w:outlineLvl w:val="1"/>
        <w:rPr>
          <w:rFonts w:hint="eastAsia" w:ascii="宋体" w:hAnsi="宋体" w:eastAsia="宋体" w:cs="宋体"/>
          <w:b w:val="0"/>
          <w:bCs/>
          <w:snapToGrid w:val="0"/>
          <w:sz w:val="21"/>
          <w:szCs w:val="21"/>
          <w:lang w:val="en-US" w:eastAsia="zh-CN"/>
        </w:rPr>
      </w:pPr>
      <w:bookmarkStart w:id="136" w:name="_Toc5697"/>
      <w:bookmarkStart w:id="137" w:name="_Toc11825"/>
      <w:bookmarkStart w:id="138" w:name="_Toc6013"/>
      <w:bookmarkStart w:id="139" w:name="_Toc25442"/>
      <w:r>
        <w:rPr>
          <w:rFonts w:hint="eastAsia" w:ascii="宋体" w:hAnsi="宋体" w:eastAsia="宋体" w:cs="宋体"/>
          <w:b w:val="0"/>
          <w:bCs/>
          <w:snapToGrid w:val="0"/>
          <w:sz w:val="21"/>
          <w:szCs w:val="21"/>
          <w:lang w:val="en-US" w:eastAsia="zh-CN"/>
        </w:rPr>
        <w:t>乙方将将甲方提供的资料归还。</w:t>
      </w:r>
      <w:bookmarkEnd w:id="136"/>
      <w:bookmarkEnd w:id="137"/>
      <w:bookmarkEnd w:id="138"/>
      <w:bookmarkEnd w:id="139"/>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1"/>
        <w:rPr>
          <w:rFonts w:hint="eastAsia" w:ascii="宋体" w:hAnsi="宋体" w:eastAsia="宋体" w:cs="宋体"/>
          <w:b/>
          <w:snapToGrid w:val="0"/>
          <w:sz w:val="21"/>
          <w:szCs w:val="21"/>
          <w:lang w:val="en-US" w:eastAsia="zh-CN"/>
        </w:rPr>
      </w:pPr>
      <w:bookmarkStart w:id="140" w:name="_Toc12834"/>
      <w:bookmarkStart w:id="141" w:name="_Toc28663"/>
      <w:bookmarkStart w:id="142" w:name="_Toc4186"/>
      <w:bookmarkStart w:id="143" w:name="_Toc8165"/>
      <w:r>
        <w:rPr>
          <w:rFonts w:hint="eastAsia" w:ascii="宋体" w:hAnsi="宋体" w:eastAsia="宋体" w:cs="宋体"/>
          <w:b/>
          <w:snapToGrid w:val="0"/>
          <w:sz w:val="21"/>
          <w:szCs w:val="21"/>
          <w:lang w:val="en-US" w:eastAsia="zh-CN"/>
        </w:rPr>
        <w:t>15、双方约定的其他事项</w:t>
      </w:r>
      <w:bookmarkEnd w:id="140"/>
      <w:bookmarkEnd w:id="141"/>
      <w:bookmarkEnd w:id="142"/>
      <w:bookmarkEnd w:id="143"/>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1"/>
        <w:rPr>
          <w:rFonts w:hint="eastAsia" w:ascii="宋体" w:hAnsi="宋体" w:eastAsia="宋体" w:cs="宋体"/>
          <w:b w:val="0"/>
          <w:bCs/>
          <w:snapToGrid w:val="0"/>
          <w:sz w:val="21"/>
          <w:szCs w:val="21"/>
          <w:u w:val="none"/>
          <w:lang w:val="en-US" w:eastAsia="zh-CN"/>
        </w:rPr>
      </w:pPr>
      <w:r>
        <w:rPr>
          <w:rFonts w:hint="eastAsia" w:ascii="宋体" w:hAnsi="宋体" w:eastAsia="宋体" w:cs="宋体"/>
          <w:b w:val="0"/>
          <w:bCs/>
          <w:snapToGrid w:val="0"/>
          <w:sz w:val="21"/>
          <w:szCs w:val="21"/>
          <w:u w:val="single"/>
          <w:lang w:val="en-US" w:eastAsia="zh-CN"/>
        </w:rPr>
        <w:t xml:space="preserve">           </w:t>
      </w:r>
      <w:bookmarkStart w:id="144" w:name="_Toc23890"/>
      <w:bookmarkStart w:id="145" w:name="_Toc6781"/>
      <w:bookmarkStart w:id="146" w:name="_Toc15936"/>
      <w:bookmarkStart w:id="147" w:name="_Toc22330"/>
      <w:r>
        <w:rPr>
          <w:rFonts w:hint="eastAsia" w:ascii="宋体" w:hAnsi="宋体" w:eastAsia="宋体" w:cs="宋体"/>
          <w:b w:val="0"/>
          <w:bCs/>
          <w:snapToGrid w:val="0"/>
          <w:sz w:val="21"/>
          <w:szCs w:val="21"/>
          <w:u w:val="none"/>
          <w:lang w:val="en-US" w:eastAsia="zh-CN"/>
        </w:rPr>
        <w:t>。</w:t>
      </w:r>
      <w:bookmarkEnd w:id="144"/>
      <w:bookmarkEnd w:id="145"/>
      <w:bookmarkEnd w:id="146"/>
      <w:bookmarkEnd w:id="147"/>
    </w:p>
    <w:p>
      <w:pPr>
        <w:keepNext w:val="0"/>
        <w:keepLines w:val="0"/>
        <w:pageBreakBefore w:val="0"/>
        <w:widowControl w:val="0"/>
        <w:numPr>
          <w:ilvl w:val="0"/>
          <w:numId w:val="5"/>
        </w:numPr>
        <w:kinsoku/>
        <w:wordWrap/>
        <w:overflowPunct/>
        <w:topLinePunct w:val="0"/>
        <w:bidi w:val="0"/>
        <w:adjustRightInd w:val="0"/>
        <w:snapToGrid w:val="0"/>
        <w:spacing w:line="360" w:lineRule="auto"/>
        <w:ind w:left="0" w:leftChars="0" w:right="0" w:rightChars="0" w:firstLine="422" w:firstLineChars="200"/>
        <w:jc w:val="center"/>
        <w:textAlignment w:val="auto"/>
        <w:outlineLvl w:val="1"/>
        <w:rPr>
          <w:rFonts w:hint="eastAsia" w:ascii="宋体" w:hAnsi="宋体" w:eastAsia="宋体" w:cs="宋体"/>
          <w:b/>
          <w:snapToGrid w:val="0"/>
          <w:sz w:val="21"/>
          <w:szCs w:val="21"/>
          <w:lang w:val="en-US" w:eastAsia="zh-CN"/>
        </w:rPr>
      </w:pPr>
      <w:r>
        <w:rPr>
          <w:rFonts w:hint="eastAsia" w:ascii="宋体" w:hAnsi="宋体" w:eastAsia="宋体" w:cs="宋体"/>
          <w:b/>
          <w:snapToGrid w:val="0"/>
          <w:sz w:val="21"/>
          <w:szCs w:val="21"/>
          <w:lang w:eastAsia="zh-CN"/>
        </w:rPr>
        <w:br w:type="page"/>
      </w:r>
      <w:r>
        <w:rPr>
          <w:rFonts w:hint="eastAsia" w:ascii="宋体" w:hAnsi="宋体" w:eastAsia="宋体" w:cs="宋体"/>
          <w:b/>
          <w:snapToGrid w:val="0"/>
          <w:sz w:val="24"/>
          <w:lang w:val="en-US" w:eastAsia="zh-CN"/>
        </w:rPr>
        <w:t xml:space="preserve"> </w:t>
      </w:r>
      <w:bookmarkStart w:id="148" w:name="_Toc30331"/>
      <w:bookmarkStart w:id="149" w:name="_Toc20246"/>
      <w:bookmarkStart w:id="150" w:name="_Toc31950"/>
      <w:bookmarkStart w:id="151" w:name="_Toc588"/>
      <w:r>
        <w:rPr>
          <w:rFonts w:hint="eastAsia" w:ascii="宋体" w:hAnsi="宋体" w:eastAsia="宋体" w:cs="宋体"/>
          <w:b/>
          <w:snapToGrid w:val="0"/>
          <w:sz w:val="24"/>
          <w:lang w:val="en-US" w:eastAsia="zh-CN"/>
        </w:rPr>
        <w:t>技术规格书</w:t>
      </w:r>
      <w:bookmarkEnd w:id="148"/>
      <w:bookmarkEnd w:id="149"/>
      <w:bookmarkEnd w:id="150"/>
      <w:bookmarkEnd w:id="151"/>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jc w:val="center"/>
        <w:textAlignment w:val="auto"/>
        <w:outlineLvl w:val="1"/>
        <w:rPr>
          <w:rFonts w:hint="eastAsia" w:ascii="宋体" w:hAnsi="宋体" w:eastAsia="宋体" w:cs="宋体"/>
          <w:b/>
          <w:snapToGrid w:val="0"/>
          <w:sz w:val="24"/>
          <w:lang w:eastAsia="zh-CN"/>
        </w:rPr>
      </w:pPr>
      <w:r>
        <w:rPr>
          <w:rFonts w:hint="eastAsia" w:ascii="宋体" w:hAnsi="宋体" w:eastAsia="宋体" w:cs="宋体"/>
          <w:b/>
          <w:snapToGrid w:val="0"/>
          <w:sz w:val="21"/>
          <w:szCs w:val="21"/>
          <w:lang w:eastAsia="zh-CN"/>
        </w:rPr>
        <w:br w:type="page"/>
      </w:r>
      <w:bookmarkStart w:id="152" w:name="_Toc18878"/>
      <w:bookmarkStart w:id="153" w:name="_Toc18275"/>
      <w:bookmarkStart w:id="154" w:name="_Toc21824"/>
      <w:bookmarkStart w:id="155" w:name="_Toc12999"/>
      <w:r>
        <w:rPr>
          <w:rFonts w:hint="eastAsia" w:ascii="宋体" w:hAnsi="宋体" w:eastAsia="宋体" w:cs="宋体"/>
          <w:b/>
          <w:snapToGrid w:val="0"/>
          <w:sz w:val="24"/>
          <w:lang w:eastAsia="zh-CN"/>
        </w:rPr>
        <w:t>第四部分</w:t>
      </w:r>
      <w:r>
        <w:rPr>
          <w:rFonts w:hint="eastAsia" w:ascii="宋体" w:hAnsi="宋体" w:eastAsia="宋体" w:cs="宋体"/>
          <w:b/>
          <w:snapToGrid w:val="0"/>
          <w:sz w:val="24"/>
          <w:lang w:val="en-US" w:eastAsia="zh-CN"/>
        </w:rPr>
        <w:t xml:space="preserve">  合同附件</w:t>
      </w:r>
      <w:bookmarkEnd w:id="152"/>
      <w:bookmarkEnd w:id="153"/>
      <w:bookmarkEnd w:id="154"/>
      <w:bookmarkEnd w:id="155"/>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outlineLvl w:val="1"/>
        <w:rPr>
          <w:rFonts w:hint="eastAsia" w:ascii="宋体" w:hAnsi="宋体" w:eastAsia="宋体" w:cs="宋体"/>
          <w:b/>
          <w:snapToGrid w:val="0"/>
          <w:sz w:val="24"/>
        </w:rPr>
      </w:pPr>
      <w:bookmarkStart w:id="156" w:name="_Toc11294"/>
      <w:bookmarkStart w:id="157" w:name="_Toc4195"/>
      <w:bookmarkStart w:id="158" w:name="_Toc5400"/>
      <w:bookmarkStart w:id="159" w:name="_Toc16492"/>
      <w:bookmarkStart w:id="160" w:name="_Toc454978183"/>
      <w:r>
        <w:rPr>
          <w:rFonts w:hint="eastAsia" w:ascii="宋体" w:hAnsi="宋体" w:eastAsia="宋体" w:cs="宋体"/>
          <w:b/>
          <w:snapToGrid w:val="0"/>
          <w:sz w:val="24"/>
        </w:rPr>
        <w:t>附件一 价格清单</w:t>
      </w:r>
      <w:bookmarkEnd w:id="156"/>
      <w:bookmarkEnd w:id="157"/>
      <w:bookmarkEnd w:id="158"/>
      <w:bookmarkEnd w:id="159"/>
      <w:bookmarkEnd w:id="160"/>
    </w:p>
    <w:tbl>
      <w:tblPr>
        <w:tblStyle w:val="46"/>
        <w:tblW w:w="93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043"/>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rPr>
            </w:pPr>
            <w:r>
              <w:rPr>
                <w:rFonts w:hint="eastAsia" w:ascii="宋体" w:hAnsi="宋体" w:eastAsia="宋体" w:cs="宋体"/>
                <w:snapToGrid w:val="0"/>
              </w:rPr>
              <w:t>序号</w:t>
            </w:r>
          </w:p>
        </w:tc>
        <w:tc>
          <w:tcPr>
            <w:tcW w:w="2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rPr>
            </w:pPr>
            <w:r>
              <w:rPr>
                <w:rFonts w:hint="eastAsia" w:ascii="宋体" w:hAnsi="宋体" w:eastAsia="宋体" w:cs="宋体"/>
                <w:snapToGrid w:val="0"/>
              </w:rPr>
              <w:t>项目名称</w:t>
            </w:r>
          </w:p>
        </w:tc>
        <w:tc>
          <w:tcPr>
            <w:tcW w:w="64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rPr>
            </w:pPr>
            <w:r>
              <w:rPr>
                <w:rFonts w:hint="eastAsia" w:ascii="宋体" w:hAnsi="宋体" w:eastAsia="宋体" w:cs="宋体"/>
                <w:snapToGrid w:val="0"/>
                <w:highlight w:val="none"/>
                <w:lang w:val="en-US" w:eastAsia="zh-CN"/>
              </w:rPr>
              <w:t>长沙市轨道交通5号线一期工程筹备期职业病防 护设施竣工验收服务项目（2019-2020年度）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rPr>
            </w:pPr>
            <w:r>
              <w:rPr>
                <w:rFonts w:hint="eastAsia" w:ascii="宋体" w:hAnsi="宋体" w:eastAsia="宋体" w:cs="宋体"/>
                <w:snapToGrid w:val="0"/>
              </w:rPr>
              <w:t>1</w:t>
            </w:r>
          </w:p>
        </w:tc>
        <w:tc>
          <w:tcPr>
            <w:tcW w:w="2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rPr>
            </w:pPr>
            <w:r>
              <w:rPr>
                <w:rFonts w:hint="eastAsia" w:ascii="宋体" w:hAnsi="宋体" w:eastAsia="宋体" w:cs="宋体"/>
                <w:snapToGrid w:val="0"/>
              </w:rPr>
              <w:t>服务期限</w:t>
            </w:r>
          </w:p>
        </w:tc>
        <w:tc>
          <w:tcPr>
            <w:tcW w:w="64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rPr>
            </w:pPr>
            <w:r>
              <w:rPr>
                <w:rFonts w:hint="eastAsia" w:ascii="宋体" w:hAnsi="宋体" w:eastAsia="宋体" w:cs="宋体"/>
                <w:snapToGrid w:val="0"/>
              </w:rPr>
              <w:t>2</w:t>
            </w:r>
          </w:p>
        </w:tc>
        <w:tc>
          <w:tcPr>
            <w:tcW w:w="2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rPr>
            </w:pPr>
            <w:r>
              <w:rPr>
                <w:rFonts w:hint="eastAsia" w:ascii="宋体" w:hAnsi="宋体" w:eastAsia="宋体" w:cs="宋体"/>
                <w:snapToGrid w:val="0"/>
                <w:lang w:eastAsia="zh-CN"/>
              </w:rPr>
              <w:t>签约合同价</w:t>
            </w:r>
          </w:p>
        </w:tc>
        <w:tc>
          <w:tcPr>
            <w:tcW w:w="64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lang w:val="en-US" w:eastAsia="zh-CN"/>
              </w:rPr>
            </w:pPr>
            <w:r>
              <w:rPr>
                <w:rFonts w:hint="eastAsia" w:ascii="宋体" w:hAnsi="宋体" w:eastAsia="宋体" w:cs="宋体"/>
                <w:snapToGrid w:val="0"/>
                <w:lang w:val="en-US" w:eastAsia="zh-CN"/>
              </w:rPr>
              <w:t>3</w:t>
            </w:r>
          </w:p>
        </w:tc>
        <w:tc>
          <w:tcPr>
            <w:tcW w:w="20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lang w:eastAsia="zh-CN"/>
              </w:rPr>
            </w:pPr>
            <w:r>
              <w:rPr>
                <w:rFonts w:hint="eastAsia" w:ascii="宋体" w:hAnsi="宋体" w:eastAsia="宋体" w:cs="宋体"/>
                <w:snapToGrid w:val="0"/>
                <w:lang w:eastAsia="zh-CN"/>
              </w:rPr>
              <w:t>备注</w:t>
            </w:r>
          </w:p>
        </w:tc>
        <w:tc>
          <w:tcPr>
            <w:tcW w:w="64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napToGrid w:val="0"/>
                <w:lang w:val="en-US" w:eastAsia="zh-CN"/>
              </w:rPr>
            </w:pPr>
          </w:p>
        </w:tc>
      </w:tr>
    </w:tbl>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rPr>
          <w:rFonts w:hint="eastAsia" w:ascii="宋体" w:hAnsi="宋体" w:eastAsia="宋体" w:cs="宋体"/>
          <w:b/>
          <w:snapToGrid w:val="0"/>
          <w:sz w:val="24"/>
        </w:rPr>
        <w:sectPr>
          <w:pgSz w:w="12240" w:h="15840"/>
          <w:pgMar w:top="1440" w:right="1800" w:bottom="1440" w:left="1800" w:header="720" w:footer="720" w:gutter="0"/>
          <w:pgNumType w:fmt="decimal"/>
          <w:cols w:space="720" w:num="1"/>
          <w:titlePg/>
          <w:rtlGutter w:val="0"/>
          <w:docGrid w:type="lines" w:linePitch="323" w:charSpace="0"/>
        </w:sectPr>
      </w:pPr>
      <w:bookmarkStart w:id="161" w:name="_Toc454978184"/>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rPr>
          <w:rFonts w:hint="eastAsia" w:ascii="宋体" w:hAnsi="宋体" w:eastAsia="宋体" w:cs="宋体"/>
          <w:b/>
          <w:snapToGrid w:val="0"/>
          <w:sz w:val="24"/>
        </w:rPr>
      </w:pPr>
      <w:r>
        <w:rPr>
          <w:rFonts w:hint="eastAsia" w:ascii="宋体" w:hAnsi="宋体" w:eastAsia="宋体" w:cs="宋体"/>
          <w:b/>
          <w:snapToGrid w:val="0"/>
          <w:sz w:val="24"/>
        </w:rPr>
        <w:t>附件二 中</w:t>
      </w:r>
      <w:r>
        <w:rPr>
          <w:rFonts w:hint="eastAsia" w:ascii="宋体" w:hAnsi="宋体" w:eastAsia="宋体" w:cs="宋体"/>
          <w:b/>
          <w:snapToGrid w:val="0"/>
          <w:sz w:val="24"/>
          <w:lang w:eastAsia="zh-CN"/>
        </w:rPr>
        <w:t>选</w:t>
      </w:r>
      <w:r>
        <w:rPr>
          <w:rFonts w:hint="eastAsia" w:ascii="宋体" w:hAnsi="宋体" w:eastAsia="宋体" w:cs="宋体"/>
          <w:b/>
          <w:snapToGrid w:val="0"/>
          <w:sz w:val="24"/>
        </w:rPr>
        <w:t>通知书</w:t>
      </w:r>
      <w:bookmarkEnd w:id="161"/>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rPr>
          <w:rFonts w:hint="eastAsia" w:ascii="宋体" w:hAnsi="宋体" w:eastAsia="宋体" w:cs="宋体"/>
          <w:b/>
          <w:snapToGrid w:val="0"/>
          <w:sz w:val="24"/>
          <w:lang w:eastAsia="zh-CN"/>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rPr>
          <w:rFonts w:hint="eastAsia" w:ascii="宋体" w:hAnsi="宋体" w:eastAsia="宋体" w:cs="宋体"/>
          <w:b/>
          <w:snapToGrid w:val="0"/>
          <w:sz w:val="24"/>
        </w:rPr>
      </w:pPr>
      <w:bookmarkStart w:id="162" w:name="_Toc454978185"/>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rPr>
          <w:rFonts w:hint="eastAsia" w:ascii="宋体" w:hAnsi="宋体" w:eastAsia="宋体" w:cs="宋体"/>
          <w:b/>
          <w:snapToGrid w:val="0"/>
          <w:sz w:val="24"/>
        </w:rPr>
      </w:pPr>
      <w:r>
        <w:rPr>
          <w:rFonts w:hint="eastAsia" w:ascii="宋体" w:hAnsi="宋体" w:eastAsia="宋体" w:cs="宋体"/>
          <w:b/>
          <w:snapToGrid w:val="0"/>
          <w:sz w:val="24"/>
        </w:rPr>
        <w:t>附件三 答疑及澄清</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rPr>
          <w:rFonts w:hint="eastAsia" w:ascii="宋体" w:hAnsi="宋体" w:eastAsia="宋体" w:cs="宋体"/>
          <w:b/>
          <w:snapToGrid w:val="0"/>
          <w:sz w:val="24"/>
          <w:u w:val="single"/>
          <w:lang w:val="en-US" w:eastAsia="zh-CN"/>
        </w:rPr>
      </w:pPr>
      <w:r>
        <w:rPr>
          <w:rFonts w:hint="eastAsia" w:ascii="宋体" w:hAnsi="宋体" w:eastAsia="宋体" w:cs="宋体"/>
          <w:b/>
          <w:snapToGrid w:val="0"/>
          <w:sz w:val="24"/>
          <w:u w:val="single"/>
          <w:lang w:val="en-US" w:eastAsia="zh-CN"/>
        </w:rPr>
        <w:t xml:space="preserve">          </w:t>
      </w:r>
    </w:p>
    <w:bookmarkEnd w:id="162"/>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outlineLvl w:val="1"/>
        <w:rPr>
          <w:rFonts w:hint="eastAsia" w:ascii="宋体" w:hAnsi="宋体" w:eastAsia="宋体" w:cs="宋体"/>
          <w:b/>
          <w:snapToGrid w:val="0"/>
          <w:sz w:val="24"/>
        </w:rPr>
      </w:pPr>
      <w:bookmarkStart w:id="163" w:name="_Toc454978187"/>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outlineLvl w:val="1"/>
        <w:rPr>
          <w:rFonts w:hint="eastAsia" w:ascii="宋体" w:hAnsi="宋体" w:eastAsia="宋体" w:cs="宋体"/>
          <w:b/>
          <w:snapToGrid w:val="0"/>
          <w:sz w:val="24"/>
        </w:rPr>
      </w:pPr>
      <w:bookmarkStart w:id="164" w:name="_Toc31465"/>
      <w:bookmarkStart w:id="165" w:name="_Toc5656"/>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outlineLvl w:val="1"/>
        <w:rPr>
          <w:rFonts w:hint="eastAsia" w:ascii="宋体" w:hAnsi="宋体" w:eastAsia="宋体" w:cs="宋体"/>
          <w:b/>
          <w:snapToGrid w:val="0"/>
          <w:sz w:val="24"/>
          <w:lang w:eastAsia="zh-CN"/>
        </w:rPr>
      </w:pPr>
      <w:bookmarkStart w:id="166" w:name="_Toc8952"/>
      <w:bookmarkStart w:id="167" w:name="_Toc23997"/>
      <w:r>
        <w:rPr>
          <w:rFonts w:hint="eastAsia" w:ascii="宋体" w:hAnsi="宋体" w:eastAsia="宋体" w:cs="宋体"/>
          <w:b/>
          <w:snapToGrid w:val="0"/>
          <w:sz w:val="24"/>
        </w:rPr>
        <w:t>附件</w:t>
      </w:r>
      <w:r>
        <w:rPr>
          <w:rFonts w:hint="eastAsia" w:ascii="宋体" w:hAnsi="宋体" w:eastAsia="宋体" w:cs="宋体"/>
          <w:b/>
          <w:snapToGrid w:val="0"/>
          <w:sz w:val="24"/>
          <w:lang w:eastAsia="zh-CN"/>
        </w:rPr>
        <w:t>四</w:t>
      </w:r>
      <w:r>
        <w:rPr>
          <w:rFonts w:hint="eastAsia" w:ascii="宋体" w:hAnsi="宋体" w:eastAsia="宋体" w:cs="宋体"/>
          <w:b/>
          <w:snapToGrid w:val="0"/>
          <w:sz w:val="24"/>
        </w:rPr>
        <w:t xml:space="preserve"> </w:t>
      </w:r>
      <w:r>
        <w:rPr>
          <w:rFonts w:hint="eastAsia" w:ascii="宋体" w:hAnsi="宋体" w:eastAsia="宋体" w:cs="宋体"/>
          <w:b/>
          <w:snapToGrid w:val="0"/>
          <w:sz w:val="24"/>
          <w:lang w:eastAsia="zh-CN"/>
        </w:rPr>
        <w:t>项目关键岗位人员表</w:t>
      </w:r>
      <w:bookmarkEnd w:id="164"/>
      <w:bookmarkEnd w:id="165"/>
      <w:bookmarkEnd w:id="166"/>
      <w:bookmarkEnd w:id="167"/>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rPr>
          <w:rFonts w:hint="eastAsia" w:ascii="宋体" w:hAnsi="宋体" w:eastAsia="宋体" w:cs="宋体"/>
          <w:b/>
          <w:snapToGrid w:val="0"/>
          <w:sz w:val="24"/>
          <w:u w:val="single"/>
          <w:lang w:val="en-US" w:eastAsia="zh-CN"/>
        </w:rPr>
      </w:pPr>
      <w:r>
        <w:rPr>
          <w:rFonts w:hint="eastAsia" w:ascii="宋体" w:hAnsi="宋体" w:eastAsia="宋体" w:cs="宋体"/>
          <w:b/>
          <w:snapToGrid w:val="0"/>
          <w:sz w:val="24"/>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both"/>
        <w:textAlignment w:val="auto"/>
        <w:outlineLvl w:val="1"/>
        <w:rPr>
          <w:rFonts w:hint="eastAsia" w:ascii="宋体" w:hAnsi="宋体" w:eastAsia="宋体" w:cs="宋体"/>
          <w:b/>
          <w:snapToGrid w:val="0"/>
          <w:sz w:val="24"/>
        </w:rPr>
      </w:pPr>
      <w:r>
        <w:rPr>
          <w:rFonts w:hint="eastAsia" w:ascii="宋体" w:hAnsi="宋体" w:eastAsia="宋体" w:cs="宋体"/>
          <w:b/>
          <w:snapToGrid w:val="0"/>
          <w:sz w:val="24"/>
        </w:rPr>
        <w:br w:type="page"/>
      </w:r>
      <w:bookmarkStart w:id="168" w:name="_Toc27273"/>
      <w:bookmarkStart w:id="169" w:name="_Toc29758"/>
      <w:bookmarkStart w:id="170" w:name="_Toc26446"/>
      <w:bookmarkStart w:id="171" w:name="_Toc9715"/>
      <w:r>
        <w:rPr>
          <w:rFonts w:hint="eastAsia" w:ascii="宋体" w:hAnsi="宋体" w:eastAsia="宋体" w:cs="宋体"/>
          <w:b/>
          <w:snapToGrid w:val="0"/>
          <w:sz w:val="24"/>
        </w:rPr>
        <w:t>附件</w:t>
      </w:r>
      <w:r>
        <w:rPr>
          <w:rFonts w:hint="eastAsia" w:ascii="宋体" w:hAnsi="宋体" w:eastAsia="宋体" w:cs="宋体"/>
          <w:b/>
          <w:snapToGrid w:val="0"/>
          <w:sz w:val="24"/>
          <w:lang w:eastAsia="zh-CN"/>
        </w:rPr>
        <w:t>五</w:t>
      </w:r>
      <w:r>
        <w:rPr>
          <w:rFonts w:hint="eastAsia" w:ascii="宋体" w:hAnsi="宋体" w:eastAsia="宋体" w:cs="宋体"/>
          <w:b/>
          <w:snapToGrid w:val="0"/>
          <w:sz w:val="24"/>
        </w:rPr>
        <w:t xml:space="preserve"> 廉政</w:t>
      </w:r>
      <w:bookmarkEnd w:id="163"/>
      <w:r>
        <w:rPr>
          <w:rFonts w:hint="eastAsia" w:ascii="宋体" w:hAnsi="宋体" w:eastAsia="宋体" w:cs="宋体"/>
          <w:b/>
          <w:snapToGrid w:val="0"/>
          <w:sz w:val="24"/>
          <w:lang w:eastAsia="zh-CN"/>
        </w:rPr>
        <w:t>合同</w:t>
      </w:r>
      <w:bookmarkEnd w:id="168"/>
      <w:bookmarkEnd w:id="169"/>
      <w:bookmarkEnd w:id="170"/>
      <w:bookmarkEnd w:id="171"/>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643" w:firstLineChars="200"/>
        <w:jc w:val="center"/>
        <w:textAlignment w:val="bottom"/>
        <w:outlineLvl w:val="9"/>
        <w:rPr>
          <w:rFonts w:hint="eastAsia" w:ascii="宋体" w:hAnsi="宋体" w:eastAsia="宋体" w:cs="宋体"/>
          <w:snapToGrid w:val="0"/>
          <w:sz w:val="32"/>
          <w:szCs w:val="32"/>
        </w:rPr>
      </w:pPr>
      <w:bookmarkStart w:id="172" w:name="_Toc437444975"/>
      <w:r>
        <w:rPr>
          <w:rFonts w:hint="eastAsia" w:ascii="宋体" w:hAnsi="宋体" w:eastAsia="宋体" w:cs="宋体"/>
          <w:b/>
          <w:snapToGrid w:val="0"/>
          <w:sz w:val="32"/>
          <w:szCs w:val="32"/>
        </w:rPr>
        <w:t>廉政</w:t>
      </w:r>
      <w:bookmarkEnd w:id="172"/>
      <w:r>
        <w:rPr>
          <w:rFonts w:hint="eastAsia" w:ascii="宋体" w:hAnsi="宋体" w:eastAsia="宋体" w:cs="宋体"/>
          <w:b/>
          <w:snapToGrid w:val="0"/>
          <w:sz w:val="32"/>
          <w:szCs w:val="32"/>
          <w:lang w:eastAsia="zh-CN"/>
        </w:rPr>
        <w:t>合同</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根据国家法律、法规以及有关廉政的规定，为做好项目中的党风廉政建设，保证项目高效优质，保证项目资金的安全和有效使用以及投资效益，</w:t>
      </w:r>
      <w:r>
        <w:rPr>
          <w:rFonts w:hint="eastAsia" w:ascii="宋体" w:hAnsi="宋体" w:eastAsia="宋体" w:cs="宋体"/>
          <w:snapToGrid w:val="0"/>
          <w:sz w:val="21"/>
          <w:szCs w:val="21"/>
          <w:highlight w:val="none"/>
          <w:u w:val="single"/>
          <w:lang w:val="en-US" w:eastAsia="zh-CN"/>
        </w:rPr>
        <w:t>长沙市轨道交通5号线一期工程筹备期职业病防护设施竣工验收服务项目（2019-2020年度）</w:t>
      </w:r>
      <w:r>
        <w:rPr>
          <w:rFonts w:hint="eastAsia" w:ascii="宋体" w:hAnsi="宋体" w:eastAsia="宋体" w:cs="宋体"/>
          <w:snapToGrid w:val="0"/>
          <w:sz w:val="21"/>
          <w:szCs w:val="21"/>
          <w:highlight w:val="none"/>
        </w:rPr>
        <w:t>的项目法人</w:t>
      </w:r>
      <w:r>
        <w:rPr>
          <w:rFonts w:hint="eastAsia" w:ascii="宋体" w:hAnsi="宋体" w:eastAsia="宋体" w:cs="宋体"/>
          <w:snapToGrid w:val="0"/>
          <w:sz w:val="21"/>
          <w:szCs w:val="21"/>
          <w:highlight w:val="none"/>
          <w:u w:val="single"/>
          <w:lang w:val="en-US" w:eastAsia="zh-CN"/>
        </w:rPr>
        <w:t xml:space="preserve">   </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rPr>
        <w:t>(以下称“甲方”)与</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rPr>
        <w:t>（以下称“乙方”），特订立如下合同。</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b/>
          <w:snapToGrid w:val="0"/>
          <w:sz w:val="21"/>
          <w:szCs w:val="21"/>
        </w:rPr>
      </w:pPr>
      <w:r>
        <w:rPr>
          <w:rFonts w:hint="eastAsia" w:ascii="宋体" w:hAnsi="宋体" w:eastAsia="宋体" w:cs="宋体"/>
          <w:b/>
          <w:snapToGrid w:val="0"/>
          <w:sz w:val="21"/>
          <w:szCs w:val="21"/>
        </w:rPr>
        <w:t>第一条 甲乙双方的权利和义务</w:t>
      </w:r>
    </w:p>
    <w:p>
      <w:pPr>
        <w:keepNext w:val="0"/>
        <w:keepLines w:val="0"/>
        <w:pageBreakBefore w:val="0"/>
        <w:widowControl w:val="0"/>
        <w:tabs>
          <w:tab w:val="left" w:pos="2115"/>
        </w:tabs>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（一）严格遵守党和国家有关法律法规及湖南省、长沙市的相关规定。</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（二）严格执行</w:t>
      </w:r>
      <w:r>
        <w:rPr>
          <w:rFonts w:hint="eastAsia" w:ascii="宋体" w:hAnsi="宋体" w:eastAsia="宋体" w:cs="宋体"/>
          <w:snapToGrid w:val="0"/>
          <w:sz w:val="21"/>
          <w:szCs w:val="21"/>
          <w:highlight w:val="none"/>
          <w:u w:val="single"/>
          <w:lang w:val="en-US" w:eastAsia="zh-CN"/>
        </w:rPr>
        <w:t>长沙市轨道交通5号线一期工程筹备期职业病防 护设施竣工验收服务项目（2019-2020年度）</w:t>
      </w:r>
      <w:r>
        <w:rPr>
          <w:rFonts w:hint="eastAsia" w:ascii="宋体" w:hAnsi="宋体" w:eastAsia="宋体" w:cs="宋体"/>
          <w:snapToGrid w:val="0"/>
          <w:sz w:val="21"/>
          <w:szCs w:val="21"/>
        </w:rPr>
        <w:t>的合同文件（以下简称主合同），自觉按合同办事。</w:t>
      </w:r>
    </w:p>
    <w:p>
      <w:pPr>
        <w:keepNext w:val="0"/>
        <w:keepLines w:val="0"/>
        <w:pageBreakBefore w:val="0"/>
        <w:widowControl w:val="0"/>
        <w:tabs>
          <w:tab w:val="left" w:pos="2115"/>
        </w:tabs>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（三）双方的业务活动坚持公开、公正、诚信、透明的原则（除法律认定的商业秘密和合同文件另有规定之外），不得损害国家和集体利益，违反项目建设规章制度。</w:t>
      </w:r>
    </w:p>
    <w:p>
      <w:pPr>
        <w:keepNext w:val="0"/>
        <w:keepLines w:val="0"/>
        <w:pageBreakBefore w:val="0"/>
        <w:widowControl w:val="0"/>
        <w:tabs>
          <w:tab w:val="left" w:pos="2115"/>
        </w:tabs>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（四）建立健全廉政制度，开展廉政教育，设立廉政告示牌，公布举报电话，监督并认真查处违法违纪行为。</w:t>
      </w:r>
    </w:p>
    <w:p>
      <w:pPr>
        <w:keepNext w:val="0"/>
        <w:keepLines w:val="0"/>
        <w:pageBreakBefore w:val="0"/>
        <w:widowControl w:val="0"/>
        <w:tabs>
          <w:tab w:val="left" w:pos="2115"/>
        </w:tabs>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（五）发现对方在业务活动中有违反廉政规定的行为，有及时提醒对方纠正的权利和义务。</w:t>
      </w:r>
    </w:p>
    <w:p>
      <w:pPr>
        <w:keepNext w:val="0"/>
        <w:keepLines w:val="0"/>
        <w:pageBreakBefore w:val="0"/>
        <w:widowControl w:val="0"/>
        <w:tabs>
          <w:tab w:val="left" w:pos="2115"/>
        </w:tabs>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b/>
          <w:snapToGrid w:val="0"/>
          <w:sz w:val="21"/>
          <w:szCs w:val="21"/>
        </w:rPr>
      </w:pPr>
      <w:r>
        <w:rPr>
          <w:rFonts w:hint="eastAsia" w:ascii="宋体" w:hAnsi="宋体" w:eastAsia="宋体" w:cs="宋体"/>
          <w:b/>
          <w:snapToGrid w:val="0"/>
          <w:sz w:val="21"/>
          <w:szCs w:val="21"/>
        </w:rPr>
        <w:t>第二条 甲方的义务</w:t>
      </w:r>
    </w:p>
    <w:p>
      <w:pPr>
        <w:keepNext w:val="0"/>
        <w:keepLines w:val="0"/>
        <w:pageBreakBefore w:val="0"/>
        <w:widowControl w:val="0"/>
        <w:tabs>
          <w:tab w:val="left" w:pos="0"/>
          <w:tab w:val="left" w:pos="2115"/>
        </w:tabs>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（一）甲方及其工作人员不得索要或接受乙方的礼金、有价证券和贵重物品，不得在乙方报销任何应由甲方或个人支付的费用等。</w:t>
      </w:r>
    </w:p>
    <w:p>
      <w:pPr>
        <w:keepNext w:val="0"/>
        <w:keepLines w:val="0"/>
        <w:pageBreakBefore w:val="0"/>
        <w:widowControl w:val="0"/>
        <w:tabs>
          <w:tab w:val="left" w:pos="0"/>
          <w:tab w:val="left" w:pos="2115"/>
        </w:tabs>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（二）甲方工作人员不得参加乙方安排的超标准宴请和娱乐活动；不得接受乙方提供的通讯工具、交通工具和高档办公用品等。</w:t>
      </w:r>
    </w:p>
    <w:p>
      <w:pPr>
        <w:keepNext w:val="0"/>
        <w:keepLines w:val="0"/>
        <w:pageBreakBefore w:val="0"/>
        <w:widowControl w:val="0"/>
        <w:tabs>
          <w:tab w:val="left" w:pos="0"/>
          <w:tab w:val="left" w:pos="2115"/>
        </w:tabs>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（三）甲方及其工作人员不得要求或者接受乙方为其住房装修、婚丧嫁娶活动、配偶子女的工作安排以及出国出境、旅游等提供方便等。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b/>
          <w:snapToGrid w:val="0"/>
          <w:sz w:val="21"/>
          <w:szCs w:val="21"/>
        </w:rPr>
      </w:pPr>
      <w:r>
        <w:rPr>
          <w:rFonts w:hint="eastAsia" w:ascii="宋体" w:hAnsi="宋体" w:eastAsia="宋体" w:cs="宋体"/>
          <w:b/>
          <w:snapToGrid w:val="0"/>
          <w:sz w:val="21"/>
          <w:szCs w:val="21"/>
        </w:rPr>
        <w:t>第三条 乙方的义务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lang w:eastAsia="zh-CN"/>
        </w:rPr>
      </w:pPr>
      <w:r>
        <w:rPr>
          <w:rFonts w:hint="eastAsia" w:ascii="宋体" w:hAnsi="宋体" w:eastAsia="宋体" w:cs="宋体"/>
          <w:snapToGrid w:val="0"/>
          <w:sz w:val="21"/>
          <w:szCs w:val="21"/>
        </w:rPr>
        <w:t>（一）乙方不得以任何理由向甲方及其工作人员行贿或馈赠礼金、有价证券、贵重礼品</w:t>
      </w:r>
      <w:r>
        <w:rPr>
          <w:rFonts w:hint="eastAsia" w:ascii="宋体" w:hAnsi="宋体" w:eastAsia="宋体" w:cs="宋体"/>
          <w:snapToGrid w:val="0"/>
          <w:sz w:val="21"/>
          <w:szCs w:val="21"/>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（二）乙方不得以任何名义为甲方及其工作人员报销应由甲方单位或个人支付的任何费用。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（三）乙方不得以任何理由安排甲方工作人员参加超标准宴请及娱乐活动。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（四）乙方不得为甲方单位和个人购置或提供通讯工具、交通工具和高档办公用品等。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b/>
          <w:snapToGrid w:val="0"/>
          <w:sz w:val="21"/>
          <w:szCs w:val="21"/>
        </w:rPr>
      </w:pPr>
      <w:r>
        <w:rPr>
          <w:rFonts w:hint="eastAsia" w:ascii="宋体" w:hAnsi="宋体" w:eastAsia="宋体" w:cs="宋体"/>
          <w:b/>
          <w:snapToGrid w:val="0"/>
          <w:sz w:val="21"/>
          <w:szCs w:val="21"/>
        </w:rPr>
        <w:t>第四条 违约责任</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snapToGrid w:val="0"/>
          <w:sz w:val="21"/>
          <w:szCs w:val="21"/>
        </w:rPr>
      </w:pPr>
      <w:r>
        <w:rPr>
          <w:rFonts w:hint="eastAsia" w:ascii="宋体" w:hAnsi="宋体" w:eastAsia="宋体" w:cs="宋体"/>
          <w:b/>
          <w:snapToGrid w:val="0"/>
          <w:sz w:val="21"/>
          <w:szCs w:val="21"/>
        </w:rPr>
        <w:t>第五条</w:t>
      </w:r>
      <w:r>
        <w:rPr>
          <w:rFonts w:hint="eastAsia" w:ascii="宋体" w:hAnsi="宋体" w:eastAsia="宋体" w:cs="宋体"/>
          <w:snapToGrid w:val="0"/>
          <w:sz w:val="21"/>
          <w:szCs w:val="21"/>
        </w:rPr>
        <w:t xml:space="preserve"> 双方约定：本</w:t>
      </w:r>
      <w:r>
        <w:rPr>
          <w:rFonts w:hint="eastAsia" w:ascii="宋体" w:hAnsi="宋体" w:eastAsia="宋体" w:cs="宋体"/>
          <w:snapToGrid w:val="0"/>
          <w:sz w:val="21"/>
          <w:szCs w:val="21"/>
          <w:lang w:eastAsia="zh-CN"/>
        </w:rPr>
        <w:t>协议书</w:t>
      </w:r>
      <w:r>
        <w:rPr>
          <w:rFonts w:hint="eastAsia" w:ascii="宋体" w:hAnsi="宋体" w:eastAsia="宋体" w:cs="宋体"/>
          <w:snapToGrid w:val="0"/>
          <w:sz w:val="21"/>
          <w:szCs w:val="21"/>
        </w:rPr>
        <w:t>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snapToGrid w:val="0"/>
          <w:sz w:val="21"/>
          <w:szCs w:val="21"/>
        </w:rPr>
      </w:pPr>
      <w:r>
        <w:rPr>
          <w:rFonts w:hint="eastAsia" w:ascii="宋体" w:hAnsi="宋体" w:eastAsia="宋体" w:cs="宋体"/>
          <w:b/>
          <w:snapToGrid w:val="0"/>
          <w:sz w:val="21"/>
          <w:szCs w:val="21"/>
        </w:rPr>
        <w:t>第六条</w:t>
      </w:r>
      <w:r>
        <w:rPr>
          <w:rFonts w:hint="eastAsia" w:ascii="宋体" w:hAnsi="宋体" w:eastAsia="宋体" w:cs="宋体"/>
          <w:snapToGrid w:val="0"/>
          <w:sz w:val="21"/>
          <w:szCs w:val="21"/>
        </w:rPr>
        <w:t xml:space="preserve"> 本</w:t>
      </w:r>
      <w:r>
        <w:rPr>
          <w:rFonts w:hint="eastAsia" w:ascii="宋体" w:hAnsi="宋体" w:eastAsia="宋体" w:cs="宋体"/>
          <w:snapToGrid w:val="0"/>
          <w:sz w:val="21"/>
          <w:szCs w:val="21"/>
          <w:lang w:eastAsia="zh-CN"/>
        </w:rPr>
        <w:t>协议书</w:t>
      </w:r>
      <w:r>
        <w:rPr>
          <w:rFonts w:hint="eastAsia" w:ascii="宋体" w:hAnsi="宋体" w:eastAsia="宋体" w:cs="宋体"/>
          <w:snapToGrid w:val="0"/>
          <w:sz w:val="21"/>
          <w:szCs w:val="21"/>
        </w:rPr>
        <w:t>有效期为甲乙双方签署之日起至合同完全履行完毕之日止。</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snapToGrid w:val="0"/>
          <w:sz w:val="21"/>
          <w:szCs w:val="21"/>
        </w:rPr>
      </w:pPr>
      <w:r>
        <w:rPr>
          <w:rFonts w:hint="eastAsia" w:ascii="宋体" w:hAnsi="宋体" w:eastAsia="宋体" w:cs="宋体"/>
          <w:b/>
          <w:snapToGrid w:val="0"/>
          <w:sz w:val="21"/>
          <w:szCs w:val="21"/>
        </w:rPr>
        <w:t>第七条</w:t>
      </w:r>
      <w:r>
        <w:rPr>
          <w:rFonts w:hint="eastAsia" w:ascii="宋体" w:hAnsi="宋体" w:eastAsia="宋体" w:cs="宋体"/>
          <w:snapToGrid w:val="0"/>
          <w:sz w:val="21"/>
          <w:szCs w:val="21"/>
        </w:rPr>
        <w:t xml:space="preserve"> 本</w:t>
      </w:r>
      <w:r>
        <w:rPr>
          <w:rFonts w:hint="eastAsia" w:ascii="宋体" w:hAnsi="宋体" w:eastAsia="宋体" w:cs="宋体"/>
          <w:snapToGrid w:val="0"/>
          <w:sz w:val="21"/>
          <w:szCs w:val="21"/>
          <w:lang w:eastAsia="zh-CN"/>
        </w:rPr>
        <w:t>协议书</w:t>
      </w:r>
      <w:r>
        <w:rPr>
          <w:rFonts w:hint="eastAsia" w:ascii="宋体" w:hAnsi="宋体" w:eastAsia="宋体" w:cs="宋体"/>
          <w:snapToGrid w:val="0"/>
          <w:sz w:val="21"/>
          <w:szCs w:val="21"/>
        </w:rPr>
        <w:t>作为主合同的附件，与主合同具有同等的法律效力，经合同双方签署立即生效。</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outlineLvl w:val="9"/>
        <w:rPr>
          <w:rFonts w:hint="eastAsia" w:ascii="宋体" w:hAnsi="宋体" w:eastAsia="宋体" w:cs="宋体"/>
          <w:snapToGrid w:val="0"/>
          <w:sz w:val="21"/>
          <w:szCs w:val="21"/>
        </w:rPr>
      </w:pPr>
      <w:r>
        <w:rPr>
          <w:rFonts w:hint="eastAsia" w:ascii="宋体" w:hAnsi="宋体" w:eastAsia="宋体" w:cs="宋体"/>
          <w:b/>
          <w:bCs/>
          <w:snapToGrid w:val="0"/>
          <w:sz w:val="21"/>
          <w:szCs w:val="21"/>
        </w:rPr>
        <w:t>第八条</w:t>
      </w:r>
      <w:r>
        <w:rPr>
          <w:rFonts w:hint="eastAsia" w:ascii="宋体" w:hAnsi="宋体" w:eastAsia="宋体" w:cs="宋体"/>
          <w:snapToGrid w:val="0"/>
          <w:sz w:val="21"/>
          <w:szCs w:val="21"/>
        </w:rPr>
        <w:t xml:space="preserve"> 发现有违反相关要求的，可通过以下途径举报：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（1）监督举报电话（限短信方式）：15367896</w:t>
      </w:r>
      <w:r>
        <w:rPr>
          <w:rFonts w:hint="eastAsia" w:ascii="宋体" w:hAnsi="宋体" w:eastAsia="宋体" w:cs="宋体"/>
          <w:snapToGrid w:val="0"/>
          <w:sz w:val="21"/>
          <w:szCs w:val="21"/>
          <w:lang w:val="en-US" w:eastAsia="zh-CN"/>
        </w:rPr>
        <w:t>02</w:t>
      </w:r>
      <w:r>
        <w:rPr>
          <w:rFonts w:hint="eastAsia" w:ascii="宋体" w:hAnsi="宋体" w:eastAsia="宋体" w:cs="宋体"/>
          <w:snapToGrid w:val="0"/>
          <w:sz w:val="21"/>
          <w:szCs w:val="21"/>
        </w:rPr>
        <w:t>9，15367896120。</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（2）举报邮箱：yygsjbyx2015@163.com。</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outlineLvl w:val="9"/>
        <w:rPr>
          <w:rFonts w:hint="eastAsia" w:ascii="宋体" w:hAnsi="宋体" w:eastAsia="宋体" w:cs="宋体"/>
          <w:snapToGrid w:val="0"/>
          <w:sz w:val="21"/>
          <w:szCs w:val="21"/>
          <w:u w:val="single"/>
        </w:rPr>
      </w:pPr>
      <w:r>
        <w:rPr>
          <w:rFonts w:hint="eastAsia" w:ascii="宋体" w:hAnsi="宋体" w:eastAsia="宋体" w:cs="宋体"/>
          <w:snapToGrid w:val="0"/>
          <w:sz w:val="21"/>
          <w:szCs w:val="21"/>
        </w:rPr>
        <w:t>甲方单位：</w:t>
      </w:r>
      <w:r>
        <w:rPr>
          <w:rFonts w:hint="eastAsia" w:ascii="宋体" w:hAnsi="宋体" w:eastAsia="宋体" w:cs="宋体"/>
          <w:snapToGrid w:val="0"/>
          <w:sz w:val="21"/>
          <w:szCs w:val="21"/>
          <w:u w:val="single"/>
        </w:rPr>
        <w:t xml:space="preserve">（盖章）   </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rPr>
        <w:t xml:space="preserve">        </w:t>
      </w:r>
      <w:r>
        <w:rPr>
          <w:rFonts w:hint="eastAsia" w:ascii="宋体" w:hAnsi="宋体" w:eastAsia="宋体" w:cs="宋体"/>
          <w:snapToGrid w:val="0"/>
          <w:sz w:val="21"/>
          <w:szCs w:val="21"/>
          <w:lang w:val="en-US" w:eastAsia="zh-CN"/>
        </w:rPr>
        <w:t xml:space="preserve">         </w:t>
      </w:r>
      <w:r>
        <w:rPr>
          <w:rFonts w:hint="eastAsia" w:ascii="宋体" w:hAnsi="宋体" w:eastAsia="宋体" w:cs="宋体"/>
          <w:snapToGrid w:val="0"/>
          <w:sz w:val="21"/>
          <w:szCs w:val="21"/>
        </w:rPr>
        <w:t>乙方单位：</w:t>
      </w:r>
      <w:r>
        <w:rPr>
          <w:rFonts w:hint="eastAsia" w:ascii="宋体" w:hAnsi="宋体" w:eastAsia="宋体" w:cs="宋体"/>
          <w:snapToGrid w:val="0"/>
          <w:sz w:val="21"/>
          <w:szCs w:val="21"/>
          <w:u w:val="single"/>
        </w:rPr>
        <w:t xml:space="preserve">（盖章） </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outlineLvl w:val="9"/>
        <w:rPr>
          <w:rFonts w:hint="eastAsia" w:ascii="宋体" w:hAnsi="宋体" w:eastAsia="宋体" w:cs="宋体"/>
          <w:snapToGrid w:val="0"/>
          <w:sz w:val="21"/>
          <w:szCs w:val="21"/>
          <w:u w:val="none"/>
        </w:rPr>
      </w:pPr>
      <w:r>
        <w:rPr>
          <w:rFonts w:hint="eastAsia" w:ascii="宋体" w:hAnsi="宋体" w:eastAsia="宋体" w:cs="宋体"/>
          <w:snapToGrid w:val="0"/>
          <w:sz w:val="21"/>
          <w:szCs w:val="21"/>
        </w:rPr>
        <w:t>法定代表人或授权代理人</w:t>
      </w:r>
      <w:r>
        <w:rPr>
          <w:rFonts w:hint="eastAsia" w:ascii="宋体" w:hAnsi="宋体" w:eastAsia="宋体" w:cs="宋体"/>
          <w:snapToGrid w:val="0"/>
          <w:sz w:val="21"/>
          <w:szCs w:val="21"/>
          <w:u w:val="none"/>
        </w:rPr>
        <w:t>：（签字）</w:t>
      </w:r>
      <w:r>
        <w:rPr>
          <w:rFonts w:hint="eastAsia" w:ascii="宋体" w:hAnsi="宋体" w:eastAsia="宋体" w:cs="宋体"/>
          <w:snapToGrid w:val="0"/>
          <w:sz w:val="21"/>
          <w:szCs w:val="21"/>
        </w:rPr>
        <w:t xml:space="preserve">    </w:t>
      </w:r>
      <w:r>
        <w:rPr>
          <w:rFonts w:hint="eastAsia" w:ascii="宋体" w:hAnsi="宋体" w:eastAsia="宋体" w:cs="宋体"/>
          <w:snapToGrid w:val="0"/>
          <w:sz w:val="21"/>
          <w:szCs w:val="21"/>
          <w:lang w:val="en-US" w:eastAsia="zh-CN"/>
        </w:rPr>
        <w:t xml:space="preserve">         </w:t>
      </w:r>
      <w:r>
        <w:rPr>
          <w:rFonts w:hint="eastAsia" w:ascii="宋体" w:hAnsi="宋体" w:eastAsia="宋体" w:cs="宋体"/>
          <w:snapToGrid w:val="0"/>
          <w:sz w:val="21"/>
          <w:szCs w:val="21"/>
        </w:rPr>
        <w:t>法定代表人或授权代理人</w:t>
      </w:r>
      <w:r>
        <w:rPr>
          <w:rFonts w:hint="eastAsia" w:ascii="宋体" w:hAnsi="宋体" w:eastAsia="宋体" w:cs="宋体"/>
          <w:snapToGrid w:val="0"/>
          <w:sz w:val="21"/>
          <w:szCs w:val="21"/>
          <w:u w:val="none"/>
        </w:rPr>
        <w:t>：（签字）</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outlineLvl w:val="9"/>
        <w:rPr>
          <w:rFonts w:hint="eastAsia" w:ascii="宋体" w:hAnsi="宋体" w:eastAsia="宋体" w:cs="宋体"/>
          <w:snapToGrid w:val="0"/>
          <w:sz w:val="21"/>
          <w:szCs w:val="21"/>
          <w:u w:val="single"/>
          <w:lang w:val="en-US" w:eastAsia="zh-CN"/>
        </w:rPr>
      </w:pP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u w:val="none"/>
          <w:lang w:val="en-US" w:eastAsia="zh-CN"/>
        </w:rPr>
        <w:t xml:space="preserve">                  </w:t>
      </w:r>
      <w:r>
        <w:rPr>
          <w:rFonts w:hint="eastAsia" w:ascii="宋体" w:hAnsi="宋体" w:eastAsia="宋体" w:cs="宋体"/>
          <w:snapToGrid w:val="0"/>
          <w:sz w:val="21"/>
          <w:szCs w:val="21"/>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outlineLvl w:val="9"/>
        <w:rPr>
          <w:rFonts w:hint="default" w:ascii="宋体" w:hAnsi="宋体" w:eastAsia="宋体" w:cs="宋体"/>
          <w:snapToGrid w:val="0"/>
          <w:sz w:val="24"/>
          <w:szCs w:val="24"/>
          <w:lang w:val="en-US" w:eastAsia="zh-CN"/>
        </w:rPr>
        <w:sectPr>
          <w:pgSz w:w="12240" w:h="15840"/>
          <w:pgMar w:top="1440" w:right="1800" w:bottom="1440" w:left="1800" w:header="720" w:footer="720" w:gutter="0"/>
          <w:pgNumType w:fmt="decimal"/>
          <w:cols w:space="720" w:num="1"/>
          <w:titlePg/>
          <w:rtlGutter w:val="0"/>
          <w:docGrid w:type="lines" w:linePitch="323" w:charSpace="0"/>
        </w:sectPr>
      </w:pPr>
      <w:r>
        <w:rPr>
          <w:rFonts w:hint="eastAsia" w:ascii="宋体" w:hAnsi="宋体" w:eastAsia="宋体" w:cs="宋体"/>
          <w:snapToGrid w:val="0"/>
          <w:sz w:val="21"/>
          <w:szCs w:val="21"/>
        </w:rPr>
        <w:t>电话：</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u w:val="single"/>
          <w:lang w:val="en-US" w:eastAsia="zh-CN"/>
        </w:rPr>
        <w:t xml:space="preserve">    </w:t>
      </w:r>
      <w:r>
        <w:rPr>
          <w:rFonts w:hint="eastAsia" w:ascii="宋体" w:hAnsi="宋体" w:eastAsia="宋体" w:cs="宋体"/>
          <w:snapToGrid w:val="0"/>
          <w:sz w:val="21"/>
          <w:szCs w:val="21"/>
        </w:rPr>
        <w:t xml:space="preserve">       </w:t>
      </w:r>
      <w:r>
        <w:rPr>
          <w:rFonts w:hint="eastAsia" w:ascii="宋体" w:hAnsi="宋体" w:eastAsia="宋体" w:cs="宋体"/>
          <w:snapToGrid w:val="0"/>
          <w:sz w:val="21"/>
          <w:szCs w:val="21"/>
          <w:lang w:val="en-US" w:eastAsia="zh-CN"/>
        </w:rPr>
        <w:t xml:space="preserve">          </w:t>
      </w:r>
      <w:r>
        <w:rPr>
          <w:rFonts w:hint="eastAsia" w:ascii="宋体" w:hAnsi="宋体" w:eastAsia="宋体" w:cs="宋体"/>
          <w:snapToGrid w:val="0"/>
          <w:sz w:val="21"/>
          <w:szCs w:val="21"/>
        </w:rPr>
        <w:t>电话：</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u w:val="single"/>
          <w:lang w:val="en-US" w:eastAsia="zh-CN"/>
        </w:rPr>
        <w:t xml:space="preserve">    </w:t>
      </w:r>
      <w:r>
        <w:rPr>
          <w:rFonts w:hint="eastAsia" w:ascii="宋体" w:hAnsi="宋体" w:cs="宋体"/>
          <w:snapToGrid w:val="0"/>
          <w:sz w:val="21"/>
          <w:szCs w:val="21"/>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jc w:val="center"/>
        <w:outlineLvl w:val="0"/>
        <w:rPr>
          <w:rFonts w:hint="eastAsia" w:ascii="宋体" w:hAnsi="宋体" w:eastAsia="宋体" w:cs="宋体"/>
          <w:b/>
          <w:snapToGrid w:val="0"/>
          <w:sz w:val="32"/>
          <w:szCs w:val="32"/>
        </w:rPr>
      </w:pPr>
      <w:bookmarkStart w:id="173" w:name="_Toc32181"/>
      <w:bookmarkStart w:id="174" w:name="_Toc454978188"/>
      <w:bookmarkStart w:id="175" w:name="_Toc13062"/>
      <w:bookmarkStart w:id="176" w:name="_Toc25037"/>
      <w:bookmarkStart w:id="177" w:name="_Toc30108"/>
      <w:r>
        <w:rPr>
          <w:rFonts w:hint="eastAsia" w:ascii="宋体" w:hAnsi="宋体" w:eastAsia="宋体" w:cs="宋体"/>
          <w:b/>
          <w:snapToGrid w:val="0"/>
          <w:sz w:val="32"/>
          <w:szCs w:val="32"/>
        </w:rPr>
        <w:t>合同附录</w:t>
      </w:r>
      <w:bookmarkEnd w:id="173"/>
      <w:bookmarkEnd w:id="174"/>
      <w:bookmarkEnd w:id="175"/>
      <w:bookmarkEnd w:id="176"/>
      <w:bookmarkEnd w:id="177"/>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outlineLvl w:val="1"/>
        <w:rPr>
          <w:rFonts w:hint="eastAsia" w:ascii="宋体" w:hAnsi="宋体" w:eastAsia="宋体" w:cs="宋体"/>
          <w:b/>
          <w:snapToGrid w:val="0"/>
          <w:sz w:val="24"/>
        </w:rPr>
      </w:pPr>
      <w:bookmarkStart w:id="178" w:name="_Toc454978189"/>
      <w:bookmarkStart w:id="179" w:name="_Toc2579"/>
      <w:bookmarkStart w:id="180" w:name="_Toc9195"/>
      <w:bookmarkStart w:id="181" w:name="_Toc3654"/>
      <w:bookmarkStart w:id="182" w:name="_Toc20632"/>
      <w:r>
        <w:rPr>
          <w:rFonts w:hint="eastAsia" w:ascii="宋体" w:hAnsi="宋体" w:eastAsia="宋体" w:cs="宋体"/>
          <w:b/>
          <w:snapToGrid w:val="0"/>
          <w:sz w:val="24"/>
        </w:rPr>
        <w:t>附录一 授权委托书（格式）</w:t>
      </w:r>
      <w:bookmarkEnd w:id="178"/>
      <w:bookmarkEnd w:id="179"/>
      <w:bookmarkEnd w:id="180"/>
      <w:bookmarkEnd w:id="181"/>
      <w:bookmarkEnd w:id="182"/>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jc w:val="center"/>
        <w:rPr>
          <w:rFonts w:hint="eastAsia" w:ascii="宋体" w:hAnsi="宋体" w:eastAsia="宋体" w:cs="宋体"/>
          <w:b/>
          <w:snapToGrid w:val="0"/>
          <w:sz w:val="32"/>
          <w:szCs w:val="32"/>
        </w:rPr>
      </w:pPr>
      <w:r>
        <w:rPr>
          <w:rFonts w:hint="eastAsia" w:ascii="宋体" w:hAnsi="宋体" w:eastAsia="宋体" w:cs="宋体"/>
          <w:b/>
          <w:snapToGrid w:val="0"/>
          <w:sz w:val="32"/>
          <w:szCs w:val="32"/>
        </w:rPr>
        <w:t>授权委托书</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int="eastAsia" w:ascii="宋体" w:hAnsi="宋体" w:eastAsia="宋体" w:cs="宋体"/>
          <w:b/>
          <w:snapToGrid w:val="0"/>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本授权书声明：注册于</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（国家名称）的</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（乙方全称）在下面签字的</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（法定代表人姓名、职务）代表本公司授权在下面签字的</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（被授权人的姓名、职务）为本公司的合法代表，就合同编号为</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的</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项目《长沙市轨道交通运营有限公司运营施工管理系统采购项目合同》的签约、执行和质量保证期服务、售后服务期服务等，并以本公司名义处理一切与之有关的事务。</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本授权书于</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年</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月</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日签字生效，特此声明。</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法定代表人签字：</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授权代表（被授权人，即授权代理人）签字：</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乙方全称（公章）：</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乙方地址：</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电    话：</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传    真：</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附：</w:t>
      </w:r>
      <w:r>
        <w:rPr>
          <w:rFonts w:hint="eastAsia" w:ascii="宋体" w:hAnsi="宋体" w:eastAsia="宋体" w:cs="宋体"/>
          <w:snapToGrid w:val="0"/>
          <w:sz w:val="21"/>
          <w:szCs w:val="21"/>
        </w:rPr>
        <w:t>授权人的法定代表人证明材料复印件（加盖单位公章）、授权人和被授权人的身份证彩色影印件（加盖单位公章）</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outlineLvl w:val="1"/>
        <w:rPr>
          <w:rFonts w:hint="eastAsia" w:ascii="宋体" w:hAnsi="宋体" w:eastAsia="宋体" w:cs="宋体"/>
          <w:b/>
          <w:bCs/>
          <w:snapToGrid w:val="0"/>
          <w:sz w:val="24"/>
        </w:rPr>
      </w:pPr>
      <w:r>
        <w:rPr>
          <w:rFonts w:hint="eastAsia" w:ascii="宋体" w:hAnsi="宋体" w:eastAsia="宋体" w:cs="宋体"/>
          <w:bCs/>
          <w:snapToGrid w:val="0"/>
          <w:sz w:val="28"/>
          <w:szCs w:val="28"/>
        </w:rPr>
        <w:br w:type="page"/>
      </w:r>
      <w:bookmarkStart w:id="183" w:name="_Toc319826226"/>
      <w:bookmarkStart w:id="184" w:name="_Toc437444977"/>
      <w:bookmarkStart w:id="185" w:name="_Toc32507"/>
      <w:bookmarkStart w:id="186" w:name="_Toc211"/>
      <w:bookmarkStart w:id="187" w:name="_Toc454978190"/>
      <w:bookmarkStart w:id="188" w:name="_Toc447089455"/>
      <w:bookmarkStart w:id="189" w:name="_Toc10051"/>
      <w:bookmarkStart w:id="190" w:name="_Toc15808"/>
      <w:r>
        <w:rPr>
          <w:rFonts w:hint="eastAsia" w:ascii="宋体" w:hAnsi="宋体" w:eastAsia="宋体" w:cs="宋体"/>
          <w:b/>
          <w:snapToGrid w:val="0"/>
          <w:sz w:val="24"/>
        </w:rPr>
        <w:t>附录二 银行履约保函</w:t>
      </w:r>
      <w:bookmarkEnd w:id="183"/>
      <w:bookmarkEnd w:id="184"/>
      <w:r>
        <w:rPr>
          <w:rFonts w:hint="eastAsia" w:ascii="宋体" w:hAnsi="宋体" w:eastAsia="宋体" w:cs="宋体"/>
          <w:b/>
          <w:snapToGrid w:val="0"/>
          <w:sz w:val="24"/>
        </w:rPr>
        <w:t>（格式）</w:t>
      </w:r>
      <w:bookmarkEnd w:id="185"/>
      <w:bookmarkEnd w:id="186"/>
      <w:bookmarkEnd w:id="187"/>
      <w:bookmarkEnd w:id="188"/>
      <w:bookmarkEnd w:id="189"/>
      <w:bookmarkEnd w:id="190"/>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jc w:val="center"/>
        <w:rPr>
          <w:rFonts w:hint="eastAsia" w:ascii="宋体" w:hAnsi="宋体" w:eastAsia="宋体" w:cs="宋体"/>
          <w:b/>
          <w:snapToGrid w:val="0"/>
          <w:sz w:val="32"/>
          <w:szCs w:val="32"/>
        </w:rPr>
      </w:pPr>
      <w:r>
        <w:rPr>
          <w:rFonts w:hint="eastAsia" w:ascii="宋体" w:hAnsi="宋体" w:eastAsia="宋体" w:cs="宋体"/>
          <w:b/>
          <w:snapToGrid w:val="0"/>
          <w:sz w:val="32"/>
          <w:szCs w:val="32"/>
        </w:rPr>
        <w:t>银行履约保函</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rPr>
          <w:rFonts w:hint="eastAsia" w:ascii="宋体" w:hAnsi="宋体" w:eastAsia="宋体" w:cs="宋体"/>
          <w:snapToGrid w:val="0"/>
          <w:sz w:val="28"/>
          <w:szCs w:val="2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0" w:firstLineChars="200"/>
        <w:rPr>
          <w:rFonts w:hint="eastAsia" w:ascii="宋体" w:hAnsi="宋体" w:eastAsia="宋体" w:cs="宋体"/>
          <w:snapToGrid w:val="0"/>
          <w:sz w:val="24"/>
          <w:u w:val="single"/>
        </w:rPr>
      </w:pPr>
      <w:r>
        <w:rPr>
          <w:rFonts w:hint="eastAsia" w:ascii="宋体" w:hAnsi="宋体" w:eastAsia="宋体" w:cs="宋体"/>
          <w:snapToGrid w:val="0"/>
          <w:sz w:val="28"/>
          <w:szCs w:val="28"/>
        </w:rPr>
        <w:t xml:space="preserve">                                  </w:t>
      </w:r>
      <w:r>
        <w:rPr>
          <w:rFonts w:hint="eastAsia" w:ascii="宋体" w:hAnsi="宋体" w:eastAsia="宋体" w:cs="宋体"/>
          <w:snapToGrid w:val="0"/>
          <w:sz w:val="24"/>
        </w:rPr>
        <w:t xml:space="preserve"> 保函编号：</w:t>
      </w:r>
      <w:r>
        <w:rPr>
          <w:rFonts w:hint="eastAsia" w:ascii="宋体" w:hAnsi="宋体" w:eastAsia="宋体" w:cs="宋体"/>
          <w:snapToGrid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rPr>
          <w:rFonts w:hint="eastAsia" w:ascii="宋体" w:hAnsi="宋体" w:eastAsia="宋体" w:cs="宋体"/>
          <w:snapToGrid w:val="0"/>
          <w:sz w:val="24"/>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（甲方名称）：</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鉴于</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 xml:space="preserve">（甲方名称，以下简称“你方”）与 </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（乙方名称，以下简称“乙方”）于</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年</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月</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日协商一致共同签订合同编号为</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的《</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合同》（以下简称“合同”）。 我方愿意无条件地、不可撤销地就乙方履行与你方签订的合同，向你方提供连带责任担保。</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1.担保金额为合同价格的</w:t>
      </w:r>
      <w:r>
        <w:rPr>
          <w:rFonts w:hint="eastAsia" w:ascii="宋体" w:hAnsi="宋体" w:eastAsia="宋体" w:cs="宋体"/>
          <w:snapToGrid w:val="0"/>
          <w:sz w:val="21"/>
          <w:szCs w:val="21"/>
          <w:u w:val="single"/>
        </w:rPr>
        <w:t>10</w:t>
      </w:r>
      <w:r>
        <w:rPr>
          <w:rFonts w:hint="eastAsia" w:ascii="宋体" w:hAnsi="宋体" w:eastAsia="宋体" w:cs="宋体"/>
          <w:snapToGrid w:val="0"/>
          <w:sz w:val="21"/>
          <w:szCs w:val="21"/>
        </w:rPr>
        <w:t>%，即人民币（大写）</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元（小写：¥</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2.担保有效期自你方与乙方签订的合同生效之日起至</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之日止。</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3.在本担保有效期内，因乙方违反合同约定的义务给你方造成经济损失时，我方在收到你方以书面形式提出的在担保金额内的赔偿要求后，在7日内无条件支付。</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4.你方和乙方按合同约定变更合同时，我方承担本担保规定的义务不变。</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5.因本保函发生的纠纷，可由双方协商解决，协商不成的，向甲方住所地有管辖权的人民法院提起诉讼。</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6.本保函自我方法定代表人或授权代理人签字并加盖公章之日起生效。</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7.本保函失效后，请将本保函正本原件退回我行注销。未经我行书面同意，本保函不可转让，我行对除需方之外的任何第三方不承担任何责任。</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担保人：</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（盖单位章）</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rPr>
      </w:pPr>
      <w:r>
        <w:rPr>
          <w:rFonts w:hint="eastAsia" w:ascii="宋体" w:hAnsi="宋体" w:eastAsia="宋体" w:cs="宋体"/>
          <w:snapToGrid w:val="0"/>
          <w:sz w:val="21"/>
          <w:szCs w:val="21"/>
        </w:rPr>
        <w:t>法定代表人或授权代理人：</w:t>
      </w:r>
      <w:r>
        <w:rPr>
          <w:rFonts w:hint="eastAsia" w:ascii="宋体" w:hAnsi="宋体" w:eastAsia="宋体" w:cs="宋体"/>
          <w:snapToGrid w:val="0"/>
          <w:sz w:val="21"/>
          <w:szCs w:val="21"/>
          <w:u w:val="single"/>
        </w:rPr>
        <w:t xml:space="preserve">           </w:t>
      </w:r>
      <w:r>
        <w:rPr>
          <w:rFonts w:hint="eastAsia" w:ascii="宋体" w:hAnsi="宋体" w:eastAsia="宋体" w:cs="宋体"/>
          <w:snapToGrid w:val="0"/>
          <w:sz w:val="21"/>
          <w:szCs w:val="21"/>
        </w:rPr>
        <w:t>（签字）</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地址：</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 xml:space="preserve">邮政编码： </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 xml:space="preserve">电话： </w:t>
      </w:r>
      <w:r>
        <w:rPr>
          <w:rFonts w:hint="eastAsia" w:ascii="宋体" w:hAnsi="宋体" w:eastAsia="宋体" w:cs="宋体"/>
          <w:snapToGrid w:val="0"/>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hint="eastAsia" w:ascii="宋体" w:hAnsi="宋体" w:eastAsia="宋体" w:cs="宋体"/>
          <w:snapToGrid w:val="0"/>
          <w:sz w:val="21"/>
          <w:szCs w:val="21"/>
          <w:u w:val="single"/>
        </w:rPr>
      </w:pPr>
      <w:r>
        <w:rPr>
          <w:rFonts w:hint="eastAsia" w:ascii="宋体" w:hAnsi="宋体" w:eastAsia="宋体" w:cs="宋体"/>
          <w:snapToGrid w:val="0"/>
          <w:sz w:val="21"/>
          <w:szCs w:val="21"/>
        </w:rPr>
        <w:t>传真：</w:t>
      </w:r>
      <w:r>
        <w:rPr>
          <w:rFonts w:hint="eastAsia" w:ascii="宋体" w:hAnsi="宋体" w:eastAsia="宋体" w:cs="宋体"/>
          <w:snapToGrid w:val="0"/>
          <w:sz w:val="21"/>
          <w:szCs w:val="21"/>
          <w:u w:val="single"/>
        </w:rPr>
        <w:t xml:space="preserve">          </w:t>
      </w:r>
    </w:p>
    <w:p>
      <w:pPr>
        <w:pStyle w:val="3"/>
        <w:keepNext w:val="0"/>
        <w:keepLines w:val="0"/>
        <w:pageBreakBefore w:val="0"/>
        <w:widowControl w:val="0"/>
        <w:kinsoku/>
        <w:wordWrap/>
        <w:overflowPunct/>
        <w:topLinePunct w:val="0"/>
        <w:bidi w:val="0"/>
        <w:adjustRightInd/>
        <w:snapToGrid/>
        <w:spacing w:line="360" w:lineRule="auto"/>
        <w:ind w:left="0" w:leftChars="0" w:right="0" w:rightChars="0" w:firstLine="643" w:firstLineChars="200"/>
        <w:textAlignment w:val="auto"/>
        <w:rPr>
          <w:rFonts w:hint="eastAsia" w:ascii="黑体" w:hAnsi="黑体" w:eastAsia="黑体"/>
          <w:bCs w:val="0"/>
          <w:sz w:val="32"/>
          <w:szCs w:val="32"/>
        </w:rPr>
      </w:pPr>
    </w:p>
    <w:p>
      <w:pPr>
        <w:keepNext w:val="0"/>
        <w:keepLines w:val="0"/>
        <w:pageBreakBefore w:val="0"/>
        <w:widowControl w:val="0"/>
        <w:kinsoku/>
        <w:wordWrap/>
        <w:overflowPunct/>
        <w:topLinePunct w:val="0"/>
        <w:bidi w:val="0"/>
        <w:spacing w:line="360" w:lineRule="auto"/>
        <w:ind w:left="0" w:leftChars="0" w:right="0" w:rightChars="0" w:firstLine="640" w:firstLineChars="200"/>
        <w:rPr>
          <w:rFonts w:hint="eastAsia" w:ascii="黑体" w:hAnsi="黑体" w:eastAsia="黑体"/>
          <w:bCs w:val="0"/>
          <w:sz w:val="32"/>
          <w:szCs w:val="32"/>
        </w:rPr>
      </w:pPr>
    </w:p>
    <w:p>
      <w:pPr>
        <w:pStyle w:val="3"/>
        <w:keepNext w:val="0"/>
        <w:keepLines w:val="0"/>
        <w:pageBreakBefore w:val="0"/>
        <w:widowControl w:val="0"/>
        <w:kinsoku/>
        <w:wordWrap/>
        <w:overflowPunct/>
        <w:topLinePunct w:val="0"/>
        <w:bidi w:val="0"/>
        <w:spacing w:line="360" w:lineRule="auto"/>
        <w:ind w:left="0" w:leftChars="0" w:right="0" w:rightChars="0" w:firstLine="643" w:firstLineChars="200"/>
        <w:rPr>
          <w:rFonts w:hint="eastAsia" w:ascii="宋体" w:hAnsi="宋体" w:eastAsia="宋体" w:cs="宋体"/>
          <w:bCs w:val="0"/>
          <w:sz w:val="32"/>
          <w:szCs w:val="32"/>
        </w:rPr>
      </w:pPr>
      <w:bookmarkStart w:id="191" w:name="_Toc27097"/>
      <w:r>
        <w:rPr>
          <w:rFonts w:hint="eastAsia" w:ascii="宋体" w:hAnsi="宋体" w:eastAsia="宋体" w:cs="宋体"/>
          <w:bCs w:val="0"/>
          <w:sz w:val="32"/>
          <w:szCs w:val="32"/>
        </w:rPr>
        <w:t>第</w:t>
      </w:r>
      <w:r>
        <w:rPr>
          <w:rFonts w:hint="eastAsia" w:ascii="宋体" w:hAnsi="宋体" w:eastAsia="宋体" w:cs="宋体"/>
          <w:bCs w:val="0"/>
          <w:sz w:val="32"/>
          <w:szCs w:val="32"/>
          <w:lang w:eastAsia="zh-CN"/>
        </w:rPr>
        <w:t>六</w:t>
      </w:r>
      <w:r>
        <w:rPr>
          <w:rFonts w:hint="eastAsia" w:ascii="宋体" w:hAnsi="宋体" w:eastAsia="宋体" w:cs="宋体"/>
          <w:bCs w:val="0"/>
          <w:sz w:val="32"/>
          <w:szCs w:val="32"/>
        </w:rPr>
        <w:t>章</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响应文件组成</w:t>
      </w:r>
      <w:bookmarkEnd w:id="191"/>
    </w:p>
    <w:p>
      <w:pPr>
        <w:keepNext w:val="0"/>
        <w:keepLines w:val="0"/>
        <w:pageBreakBefore w:val="0"/>
        <w:widowControl w:val="0"/>
        <w:kinsoku/>
        <w:wordWrap/>
        <w:overflowPunct/>
        <w:topLinePunct w:val="0"/>
        <w:bidi w:val="0"/>
        <w:spacing w:line="360" w:lineRule="auto"/>
        <w:ind w:left="0" w:leftChars="0" w:right="0" w:rightChars="0" w:firstLine="422" w:firstLineChars="200"/>
        <w:jc w:val="center"/>
        <w:rPr>
          <w:rFonts w:ascii="宋体" w:hAnsi="宋体"/>
          <w:b/>
        </w:rPr>
      </w:pPr>
    </w:p>
    <w:p>
      <w:pPr>
        <w:keepNext w:val="0"/>
        <w:keepLines w:val="0"/>
        <w:pageBreakBefore w:val="0"/>
        <w:widowControl w:val="0"/>
        <w:kinsoku/>
        <w:wordWrap/>
        <w:overflowPunct/>
        <w:topLinePunct w:val="0"/>
        <w:bidi w:val="0"/>
        <w:spacing w:line="360" w:lineRule="auto"/>
        <w:ind w:left="0" w:leftChars="0" w:right="0" w:rightChars="0" w:firstLine="420" w:firstLineChars="200"/>
        <w:jc w:val="center"/>
        <w:rPr>
          <w:rFonts w:ascii="宋体" w:hAnsi="宋体"/>
          <w:b/>
        </w:rPr>
      </w:pPr>
      <w:r>
        <w:rPr>
          <w:rFonts w:ascii="Times New Roman" w:hAnsi="Times New Roman" w:eastAsia="宋体" w:cs="Times New Roman"/>
          <w:kern w:val="2"/>
          <w:sz w:val="21"/>
          <w:szCs w:val="24"/>
          <w:lang w:val="en-US" w:eastAsia="zh-CN" w:bidi="ar-SA"/>
        </w:rPr>
        <w:pict>
          <v:shape id="Quad Arrow 2" o:spid="_x0000_s1041" o:spt="202" type="#_x0000_t202" style="position:absolute;left:0pt;margin-left:333pt;margin-top:0pt;height:33pt;width:87.75pt;z-index:251663360;mso-width-relative:page;mso-height-relative:page;" fillcolor="#FFFFFF" filled="t" o:preferrelative="t" stroked="t" coordsize="21600,21600">
            <v:path/>
            <v:fill on="t" focussize="0,0"/>
            <v:stroke weight="1.25pt" color="#000000" color2="#FFFFFF" miterlimit="2"/>
            <v:imagedata gain="65536f" blacklevel="0f" gamma="0" o:title=""/>
            <o:lock v:ext="edit" position="f" selection="f" grouping="f" rotation="f" cropping="f" text="f" aspectratio="f"/>
            <v:textbox>
              <w:txbxContent>
                <w:p>
                  <w:pPr>
                    <w:spacing w:line="440" w:lineRule="exact"/>
                    <w:jc w:val="center"/>
                    <w:rPr>
                      <w:b/>
                      <w:sz w:val="30"/>
                      <w:szCs w:val="30"/>
                    </w:rPr>
                  </w:pPr>
                  <w:r>
                    <w:rPr>
                      <w:rFonts w:hint="eastAsia"/>
                      <w:b/>
                      <w:sz w:val="30"/>
                      <w:szCs w:val="30"/>
                    </w:rPr>
                    <w:t>正本/副本</w:t>
                  </w:r>
                </w:p>
              </w:txbxContent>
            </v:textbox>
          </v:shape>
        </w:pict>
      </w:r>
    </w:p>
    <w:p>
      <w:pPr>
        <w:keepNext w:val="0"/>
        <w:keepLines w:val="0"/>
        <w:pageBreakBefore w:val="0"/>
        <w:widowControl w:val="0"/>
        <w:kinsoku/>
        <w:wordWrap/>
        <w:overflowPunct/>
        <w:topLinePunct w:val="0"/>
        <w:bidi w:val="0"/>
        <w:spacing w:line="360" w:lineRule="auto"/>
        <w:ind w:left="0" w:leftChars="0" w:right="0" w:rightChars="0" w:firstLine="1044" w:firstLineChars="200"/>
        <w:jc w:val="center"/>
        <w:rPr>
          <w:rFonts w:ascii="宋体" w:hAnsi="宋体" w:cs="Courier New"/>
          <w:b/>
          <w:bCs/>
          <w:sz w:val="52"/>
          <w:szCs w:val="52"/>
        </w:rPr>
      </w:pP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
          <w:bCs/>
          <w:sz w:val="52"/>
          <w:szCs w:val="52"/>
        </w:rPr>
      </w:pPr>
      <w:r>
        <w:rPr>
          <w:rFonts w:hint="eastAsia" w:ascii="宋体" w:hAnsi="宋体"/>
          <w:b/>
          <w:bCs/>
          <w:sz w:val="52"/>
          <w:szCs w:val="52"/>
        </w:rPr>
        <w:t>自主竞争性谈判</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
          <w:bCs/>
          <w:sz w:val="52"/>
          <w:szCs w:val="52"/>
        </w:rPr>
      </w:pPr>
      <w:r>
        <w:rPr>
          <w:rFonts w:hint="eastAsia" w:ascii="宋体" w:hAnsi="宋体"/>
          <w:b/>
          <w:bCs/>
          <w:sz w:val="52"/>
          <w:szCs w:val="52"/>
        </w:rPr>
        <w:t>响应文件</w:t>
      </w:r>
    </w:p>
    <w:p>
      <w:pPr>
        <w:pStyle w:val="2"/>
        <w:ind w:left="0" w:leftChars="0" w:firstLine="0" w:firstLineChars="0"/>
        <w:rPr>
          <w:rFonts w:hint="eastAsia" w:ascii="宋体" w:hAnsi="宋体"/>
          <w:b/>
          <w:bCs/>
          <w:sz w:val="52"/>
          <w:szCs w:val="52"/>
        </w:rPr>
      </w:pPr>
    </w:p>
    <w:p/>
    <w:p>
      <w:pPr>
        <w:pStyle w:val="2"/>
        <w:ind w:left="0" w:leftChars="0" w:firstLine="0" w:firstLineChars="0"/>
      </w:pP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hAnsi="宋体" w:eastAsia="宋体"/>
          <w:b/>
          <w:bCs/>
          <w:sz w:val="32"/>
          <w:szCs w:val="32"/>
          <w:u w:val="single"/>
          <w:lang w:val="en-US" w:eastAsia="zh-CN"/>
        </w:rPr>
      </w:pPr>
      <w:r>
        <w:rPr>
          <w:rFonts w:hint="eastAsia" w:hAnsi="宋体"/>
          <w:b/>
          <w:bCs/>
          <w:sz w:val="32"/>
          <w:szCs w:val="32"/>
        </w:rPr>
        <w:t>谈判项目名称：</w:t>
      </w:r>
      <w:r>
        <w:rPr>
          <w:rFonts w:hint="eastAsia" w:hAnsi="宋体"/>
          <w:b/>
          <w:bCs/>
          <w:sz w:val="32"/>
          <w:szCs w:val="32"/>
          <w:u w:val="single"/>
        </w:rPr>
        <w:t xml:space="preserve">      </w:t>
      </w:r>
      <w:r>
        <w:rPr>
          <w:rFonts w:hint="eastAsia" w:hAnsi="宋体"/>
          <w:b/>
          <w:bCs/>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宋体" w:hAnsi="宋体"/>
          <w:b/>
          <w:bCs/>
          <w:sz w:val="32"/>
          <w:szCs w:val="32"/>
        </w:rPr>
      </w:pPr>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b/>
          <w:bCs/>
          <w:sz w:val="32"/>
          <w:szCs w:val="32"/>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keepNext w:val="0"/>
        <w:keepLines w:val="0"/>
        <w:pageBreakBefore w:val="0"/>
        <w:widowControl w:val="0"/>
        <w:kinsoku/>
        <w:wordWrap/>
        <w:overflowPunct/>
        <w:topLinePunct w:val="0"/>
        <w:bidi w:val="0"/>
        <w:spacing w:line="360" w:lineRule="auto"/>
        <w:ind w:right="0" w:rightChars="0"/>
        <w:rPr>
          <w:rFonts w:ascii="宋体" w:hAnsi="宋体"/>
          <w:b/>
          <w:bCs/>
          <w:sz w:val="44"/>
          <w:szCs w:val="44"/>
        </w:rPr>
      </w:pPr>
    </w:p>
    <w:p>
      <w:pPr>
        <w:pStyle w:val="25"/>
        <w:keepNext w:val="0"/>
        <w:keepLines w:val="0"/>
        <w:pageBreakBefore w:val="0"/>
        <w:widowControl w:val="0"/>
        <w:kinsoku/>
        <w:wordWrap/>
        <w:overflowPunct/>
        <w:topLinePunct w:val="0"/>
        <w:bidi w:val="0"/>
        <w:adjustRightInd w:val="0"/>
        <w:snapToGrid w:val="0"/>
        <w:spacing w:line="360" w:lineRule="auto"/>
        <w:ind w:right="0" w:rightChars="0"/>
        <w:jc w:val="center"/>
        <w:rPr>
          <w:rFonts w:hint="eastAsia"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right="0" w:rightChars="0"/>
        <w:jc w:val="center"/>
        <w:rPr>
          <w:rFonts w:hint="eastAsia"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right="0" w:rightChars="0"/>
        <w:jc w:val="center"/>
        <w:rPr>
          <w:rFonts w:hint="eastAsia"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right="0" w:rightChars="0"/>
        <w:jc w:val="center"/>
        <w:rPr>
          <w:rFonts w:hint="eastAsia" w:hAnsi="宋体"/>
          <w:sz w:val="32"/>
          <w:szCs w:val="32"/>
        </w:rPr>
      </w:pPr>
    </w:p>
    <w:p>
      <w:pPr>
        <w:pStyle w:val="25"/>
        <w:keepNext w:val="0"/>
        <w:keepLines w:val="0"/>
        <w:pageBreakBefore w:val="0"/>
        <w:widowControl w:val="0"/>
        <w:kinsoku/>
        <w:wordWrap/>
        <w:overflowPunct/>
        <w:topLinePunct w:val="0"/>
        <w:bidi w:val="0"/>
        <w:adjustRightInd w:val="0"/>
        <w:snapToGrid w:val="0"/>
        <w:spacing w:line="360" w:lineRule="auto"/>
        <w:ind w:right="0" w:rightChars="0"/>
        <w:jc w:val="center"/>
        <w:rPr>
          <w:rFonts w:hAnsi="宋体"/>
          <w:sz w:val="32"/>
          <w:szCs w:val="32"/>
        </w:rPr>
      </w:pPr>
      <w:r>
        <w:rPr>
          <w:rFonts w:hint="eastAsia" w:hAnsi="宋体"/>
          <w:sz w:val="32"/>
          <w:szCs w:val="32"/>
        </w:rPr>
        <w:t>日</w:t>
      </w:r>
      <w:r>
        <w:rPr>
          <w:rFonts w:hint="eastAsia" w:hAnsi="宋体"/>
          <w:sz w:val="32"/>
          <w:szCs w:val="32"/>
          <w:lang w:val="en-US" w:eastAsia="zh-CN"/>
        </w:rPr>
        <w:t xml:space="preserve">  </w:t>
      </w:r>
      <w:r>
        <w:rPr>
          <w:rFonts w:hint="eastAsia" w:hAnsi="宋体"/>
          <w:sz w:val="32"/>
          <w:szCs w:val="32"/>
        </w:rPr>
        <w:t>期：</w:t>
      </w:r>
      <w:r>
        <w:rPr>
          <w:rFonts w:hint="eastAsia" w:hAnsi="宋体"/>
          <w:sz w:val="32"/>
          <w:szCs w:val="32"/>
          <w:u w:val="single"/>
          <w:lang w:val="en-US" w:eastAsia="zh-CN"/>
        </w:rPr>
        <w:t xml:space="preserve">   </w:t>
      </w:r>
      <w:r>
        <w:rPr>
          <w:rFonts w:hint="eastAsia" w:hAnsi="宋体"/>
          <w:sz w:val="32"/>
          <w:szCs w:val="32"/>
        </w:rPr>
        <w:t>年</w:t>
      </w:r>
      <w:r>
        <w:rPr>
          <w:rFonts w:hint="eastAsia" w:hAnsi="宋体"/>
          <w:sz w:val="32"/>
          <w:szCs w:val="32"/>
          <w:u w:val="single"/>
          <w:lang w:val="en-US" w:eastAsia="zh-CN"/>
        </w:rPr>
        <w:t xml:space="preserve">   </w:t>
      </w:r>
      <w:r>
        <w:rPr>
          <w:rFonts w:hint="eastAsia" w:hAnsi="宋体"/>
          <w:sz w:val="32"/>
          <w:szCs w:val="32"/>
        </w:rPr>
        <w:t>月</w:t>
      </w:r>
      <w:r>
        <w:rPr>
          <w:rFonts w:hint="eastAsia" w:hAnsi="宋体"/>
          <w:sz w:val="32"/>
          <w:szCs w:val="32"/>
          <w:u w:val="single"/>
          <w:lang w:val="en-US" w:eastAsia="zh-CN"/>
        </w:rPr>
        <w:t xml:space="preserve">   </w:t>
      </w:r>
      <w:r>
        <w:rPr>
          <w:rFonts w:hint="eastAsia" w:hAnsi="宋体"/>
          <w:sz w:val="32"/>
          <w:szCs w:val="32"/>
        </w:rPr>
        <w:t>日</w:t>
      </w:r>
    </w:p>
    <w:p>
      <w:pPr>
        <w:keepNext w:val="0"/>
        <w:keepLines w:val="0"/>
        <w:pageBreakBefore w:val="0"/>
        <w:widowControl w:val="0"/>
        <w:kinsoku/>
        <w:wordWrap/>
        <w:overflowPunct/>
        <w:topLinePunct w:val="0"/>
        <w:bidi w:val="0"/>
        <w:spacing w:line="360" w:lineRule="auto"/>
        <w:ind w:left="0" w:leftChars="0" w:right="0" w:rightChars="0" w:firstLine="883" w:firstLineChars="200"/>
        <w:jc w:val="center"/>
        <w:rPr>
          <w:rFonts w:hint="eastAsia" w:ascii="宋体" w:hAnsi="宋体"/>
          <w:b/>
          <w:sz w:val="44"/>
          <w:szCs w:val="44"/>
        </w:rPr>
        <w:sectPr>
          <w:pgSz w:w="12240" w:h="15840"/>
          <w:pgMar w:top="1440" w:right="1800" w:bottom="1440" w:left="1800" w:header="720" w:footer="720" w:gutter="0"/>
          <w:pgNumType w:fmt="decimal"/>
          <w:cols w:space="720" w:num="1"/>
          <w:titlePg/>
          <w:rtlGutter w:val="0"/>
          <w:docGrid w:type="lines" w:linePitch="323" w:charSpace="0"/>
        </w:sectPr>
      </w:pPr>
    </w:p>
    <w:p>
      <w:pPr>
        <w:keepNext w:val="0"/>
        <w:keepLines w:val="0"/>
        <w:pageBreakBefore w:val="0"/>
        <w:widowControl w:val="0"/>
        <w:kinsoku/>
        <w:wordWrap/>
        <w:overflowPunct/>
        <w:topLinePunct w:val="0"/>
        <w:bidi w:val="0"/>
        <w:spacing w:line="360" w:lineRule="auto"/>
        <w:ind w:left="0" w:leftChars="0" w:right="0" w:rightChars="0" w:firstLine="643" w:firstLineChars="200"/>
        <w:jc w:val="center"/>
        <w:rPr>
          <w:rFonts w:hAnsi="宋体" w:cs="宋体"/>
          <w:b/>
          <w:bCs/>
          <w:sz w:val="32"/>
          <w:szCs w:val="32"/>
        </w:rPr>
      </w:pPr>
      <w:r>
        <w:rPr>
          <w:rFonts w:hint="eastAsia" w:ascii="宋体" w:hAnsi="宋体"/>
          <w:b/>
          <w:sz w:val="32"/>
          <w:szCs w:val="32"/>
        </w:rPr>
        <w:t>目   录</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outlineLvl w:val="0"/>
        <w:rPr>
          <w:rFonts w:hint="eastAsia" w:ascii="宋体" w:hAnsi="宋体"/>
          <w:sz w:val="24"/>
        </w:rPr>
      </w:pPr>
      <w:bookmarkStart w:id="192" w:name="_Toc27212"/>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outlineLvl w:val="0"/>
        <w:rPr>
          <w:rFonts w:hint="eastAsia"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0"/>
        <w:rPr>
          <w:rFonts w:ascii="宋体" w:hAnsi="宋体"/>
          <w:sz w:val="21"/>
          <w:szCs w:val="21"/>
        </w:rPr>
      </w:pPr>
      <w:r>
        <w:rPr>
          <w:rFonts w:hint="eastAsia" w:ascii="宋体" w:hAnsi="宋体"/>
          <w:sz w:val="21"/>
          <w:szCs w:val="21"/>
        </w:rPr>
        <w:t>一、谈判承诺书</w:t>
      </w:r>
      <w:bookmarkEnd w:id="192"/>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0"/>
        <w:rPr>
          <w:rFonts w:ascii="宋体" w:hAnsi="宋体"/>
          <w:sz w:val="21"/>
          <w:szCs w:val="21"/>
        </w:rPr>
      </w:pPr>
      <w:bookmarkStart w:id="193" w:name="_Toc31855"/>
      <w:r>
        <w:rPr>
          <w:rFonts w:hint="eastAsia" w:ascii="宋体" w:hAnsi="宋体"/>
          <w:sz w:val="21"/>
          <w:szCs w:val="21"/>
        </w:rPr>
        <w:t>二、法定代表人身份证明书</w:t>
      </w:r>
      <w:bookmarkEnd w:id="193"/>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0"/>
        <w:rPr>
          <w:rFonts w:ascii="宋体" w:hAnsi="宋体"/>
          <w:sz w:val="21"/>
          <w:szCs w:val="21"/>
        </w:rPr>
      </w:pPr>
      <w:bookmarkStart w:id="194" w:name="_Toc26247"/>
      <w:r>
        <w:rPr>
          <w:rFonts w:hint="eastAsia" w:ascii="宋体" w:hAnsi="宋体"/>
          <w:sz w:val="21"/>
          <w:szCs w:val="21"/>
        </w:rPr>
        <w:t>三、授权委托书</w:t>
      </w:r>
      <w:bookmarkEnd w:id="194"/>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0"/>
        <w:rPr>
          <w:rFonts w:ascii="宋体" w:hAnsi="宋体"/>
          <w:sz w:val="21"/>
          <w:szCs w:val="21"/>
          <w:highlight w:val="none"/>
        </w:rPr>
      </w:pPr>
      <w:bookmarkStart w:id="195" w:name="_Toc30184"/>
      <w:r>
        <w:rPr>
          <w:rFonts w:hint="eastAsia" w:ascii="宋体" w:hAnsi="宋体"/>
          <w:sz w:val="21"/>
          <w:szCs w:val="21"/>
          <w:highlight w:val="none"/>
        </w:rPr>
        <w:t>四、</w:t>
      </w:r>
      <w:r>
        <w:rPr>
          <w:rFonts w:hint="eastAsia" w:hAnsi="宋体"/>
          <w:sz w:val="21"/>
          <w:szCs w:val="21"/>
          <w:highlight w:val="none"/>
        </w:rPr>
        <w:t>谈判单位资格条件证明文件</w:t>
      </w:r>
      <w:bookmarkEnd w:id="195"/>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0"/>
        <w:rPr>
          <w:rFonts w:hint="eastAsia" w:ascii="宋体" w:hAnsi="宋体" w:eastAsia="宋体"/>
          <w:sz w:val="21"/>
          <w:szCs w:val="21"/>
          <w:highlight w:val="none"/>
          <w:lang w:eastAsia="zh-CN"/>
        </w:rPr>
      </w:pPr>
      <w:bookmarkStart w:id="196" w:name="_Toc4407"/>
      <w:r>
        <w:rPr>
          <w:rFonts w:hint="eastAsia" w:ascii="宋体" w:hAnsi="宋体"/>
          <w:sz w:val="21"/>
          <w:szCs w:val="21"/>
          <w:highlight w:val="none"/>
        </w:rPr>
        <w:t>五、</w:t>
      </w:r>
      <w:r>
        <w:rPr>
          <w:rFonts w:hint="eastAsia" w:hAnsi="宋体"/>
          <w:bCs/>
          <w:sz w:val="21"/>
          <w:szCs w:val="21"/>
          <w:highlight w:val="none"/>
        </w:rPr>
        <w:t>服务方案</w:t>
      </w:r>
      <w:bookmarkEnd w:id="196"/>
      <w:r>
        <w:rPr>
          <w:rFonts w:hint="eastAsia" w:hAnsi="宋体"/>
          <w:bCs/>
          <w:sz w:val="21"/>
          <w:szCs w:val="21"/>
          <w:highlight w:val="none"/>
          <w:lang w:eastAsia="zh-CN"/>
        </w:rPr>
        <w:t>（如有）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0"/>
        <w:rPr>
          <w:rFonts w:hint="eastAsia" w:ascii="宋体" w:hAnsi="宋体"/>
          <w:sz w:val="21"/>
          <w:szCs w:val="21"/>
        </w:rPr>
      </w:pPr>
      <w:bookmarkStart w:id="197" w:name="_Toc2978"/>
      <w:r>
        <w:rPr>
          <w:rFonts w:hint="eastAsia" w:ascii="宋体" w:hAnsi="宋体"/>
          <w:sz w:val="21"/>
          <w:szCs w:val="21"/>
        </w:rPr>
        <w:t>六、报价一览表</w:t>
      </w:r>
      <w:bookmarkEnd w:id="197"/>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0"/>
        <w:rPr>
          <w:rFonts w:hint="eastAsia" w:ascii="宋体" w:hAnsi="宋体"/>
          <w:sz w:val="21"/>
          <w:szCs w:val="21"/>
        </w:rPr>
      </w:pPr>
      <w:r>
        <w:rPr>
          <w:rFonts w:hint="eastAsia" w:ascii="宋体" w:hAnsi="宋体"/>
          <w:sz w:val="21"/>
          <w:szCs w:val="21"/>
          <w:lang w:eastAsia="zh-CN"/>
        </w:rPr>
        <w:t>七</w:t>
      </w:r>
      <w:r>
        <w:rPr>
          <w:rFonts w:hint="eastAsia" w:ascii="宋体" w:hAnsi="宋体"/>
          <w:sz w:val="21"/>
          <w:szCs w:val="21"/>
        </w:rPr>
        <w:t>、其他资料（如有）</w:t>
      </w:r>
    </w:p>
    <w:p>
      <w:pPr>
        <w:keepNext w:val="0"/>
        <w:keepLines w:val="0"/>
        <w:pageBreakBefore w:val="0"/>
        <w:widowControl w:val="0"/>
        <w:kinsoku/>
        <w:wordWrap/>
        <w:overflowPunct/>
        <w:topLinePunct w:val="0"/>
        <w:bidi w:val="0"/>
        <w:spacing w:line="360" w:lineRule="auto"/>
        <w:ind w:left="0" w:leftChars="0" w:right="0" w:rightChars="0" w:firstLine="480" w:firstLineChars="200"/>
        <w:jc w:val="center"/>
        <w:rPr>
          <w:rFonts w:ascii="黑体" w:hAnsi="黑体" w:eastAsia="黑体"/>
          <w:b/>
          <w:sz w:val="32"/>
          <w:szCs w:val="32"/>
        </w:rPr>
      </w:pPr>
      <w:bookmarkStart w:id="213" w:name="_GoBack"/>
      <w:bookmarkEnd w:id="213"/>
      <w:r>
        <w:rPr>
          <w:rFonts w:hint="eastAsia" w:ascii="宋体" w:hAnsi="宋体"/>
          <w:sz w:val="24"/>
        </w:rPr>
        <w:br w:type="page"/>
      </w:r>
      <w:r>
        <w:rPr>
          <w:rFonts w:hint="eastAsia" w:ascii="宋体" w:hAnsi="宋体" w:eastAsia="宋体" w:cs="宋体"/>
          <w:b/>
          <w:sz w:val="32"/>
          <w:szCs w:val="32"/>
        </w:rPr>
        <w:t>一、谈判承诺书</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ascii="仿宋_GB2312" w:hAnsi="宋体" w:eastAsia="仿宋_GB2312"/>
          <w:sz w:val="24"/>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ascii="宋体" w:hAnsi="宋体"/>
          <w:szCs w:val="21"/>
        </w:rPr>
      </w:pPr>
      <w:r>
        <w:rPr>
          <w:rFonts w:hint="eastAsia" w:ascii="宋体" w:hAnsi="宋体"/>
          <w:szCs w:val="21"/>
        </w:rPr>
        <w:t>致(采购单位)：</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知悉参加竞争性谈判的风险，我方承诺接受谈判文件的全部条款且无任何异议。</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Ansi="宋体"/>
          <w:color w:val="auto"/>
        </w:rPr>
      </w:pPr>
      <w:r>
        <w:rPr>
          <w:rFonts w:hint="eastAsia" w:hAnsi="宋体"/>
          <w:color w:val="auto"/>
        </w:rPr>
        <w:t>一、</w:t>
      </w:r>
      <w:r>
        <w:rPr>
          <w:rFonts w:hint="eastAsia"/>
          <w:color w:val="auto"/>
        </w:rPr>
        <w:t>参与本项目竞争性谈判活动系本公司自愿行为。</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Ansi="宋体"/>
          <w:color w:val="auto"/>
        </w:rPr>
      </w:pPr>
      <w:r>
        <w:rPr>
          <w:rFonts w:hint="eastAsia" w:hAnsi="宋体"/>
          <w:color w:val="auto"/>
        </w:rPr>
        <w:t>二、我方同意在谈判文件中规定的提交响应文件截止时间起</w:t>
      </w:r>
      <w:r>
        <w:rPr>
          <w:rFonts w:hint="eastAsia" w:hAnsi="宋体"/>
          <w:color w:val="auto"/>
          <w:u w:val="single"/>
        </w:rPr>
        <w:t>180</w:t>
      </w:r>
      <w:r>
        <w:rPr>
          <w:rFonts w:hint="eastAsia" w:hAnsi="宋体"/>
          <w:color w:val="auto"/>
          <w:highlight w:val="none"/>
        </w:rPr>
        <w:t>日</w:t>
      </w:r>
      <w:r>
        <w:rPr>
          <w:rFonts w:hint="eastAsia" w:hAnsi="宋体"/>
          <w:color w:val="auto"/>
          <w:highlight w:val="none"/>
          <w:lang w:eastAsia="zh-CN"/>
        </w:rPr>
        <w:t>历天</w:t>
      </w:r>
      <w:r>
        <w:rPr>
          <w:rFonts w:hint="eastAsia" w:hAnsi="宋体"/>
          <w:color w:val="auto"/>
        </w:rPr>
        <w:t>(响应文件有效期)遵守本响应文件中的承诺且在此期限期满之前均具有法律约束力。</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Ansi="宋体"/>
          <w:bCs/>
          <w:color w:val="auto"/>
        </w:rPr>
      </w:pPr>
      <w:r>
        <w:rPr>
          <w:rFonts w:hint="eastAsia" w:hAnsi="宋体"/>
          <w:color w:val="auto"/>
        </w:rPr>
        <w:t>三、我方提交的响应文件均为正本份和副本份，电子文件（包括响应文件全部内容）份，并保证响应文件提供的数据和材料是真实、准确的，且无低于成本的恶意报价行为。否则，愿承担由此引起的一切</w:t>
      </w:r>
      <w:r>
        <w:rPr>
          <w:rFonts w:hint="eastAsia" w:hAnsi="宋体"/>
          <w:bCs/>
          <w:color w:val="auto"/>
        </w:rPr>
        <w:t>法律责任。</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Ansi="宋体"/>
          <w:color w:val="auto"/>
        </w:rPr>
      </w:pPr>
      <w:r>
        <w:rPr>
          <w:rFonts w:hint="eastAsia" w:hAnsi="宋体"/>
          <w:color w:val="auto"/>
        </w:rPr>
        <w:t>四、</w:t>
      </w:r>
      <w:r>
        <w:rPr>
          <w:rFonts w:hint="eastAsia"/>
          <w:color w:val="auto"/>
        </w:rPr>
        <w:t>遵守贵司各项管理制度和谈判现场纪律，服从现场工作人员管理，自觉维护贵司谈判活动秩序。</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color w:val="auto"/>
        </w:rPr>
      </w:pPr>
      <w:r>
        <w:rPr>
          <w:rFonts w:hint="eastAsia" w:hAnsi="宋体"/>
          <w:color w:val="auto"/>
        </w:rPr>
        <w:t>五、</w:t>
      </w:r>
      <w:r>
        <w:rPr>
          <w:rFonts w:hint="eastAsia"/>
          <w:color w:val="auto"/>
        </w:rPr>
        <w:t>保证没有组织、参与围标、串标行为。</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color w:val="auto"/>
        </w:rPr>
      </w:pPr>
      <w:r>
        <w:rPr>
          <w:rFonts w:hint="eastAsia"/>
          <w:color w:val="auto"/>
        </w:rPr>
        <w:t>六、不与采购单位或者谈判评审小组成员私下联络和串通以牟取中选；不以他人名义参与谈判或者以其他方式弄虚作假骗取中选；不在谈判结束后进行虚假、恶意质疑和投诉。</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Ansi="宋体"/>
          <w:color w:val="auto"/>
        </w:rPr>
      </w:pPr>
      <w:r>
        <w:rPr>
          <w:rFonts w:hint="eastAsia"/>
          <w:color w:val="auto"/>
        </w:rPr>
        <w:t>七、</w:t>
      </w:r>
      <w:r>
        <w:rPr>
          <w:rFonts w:hint="eastAsia" w:hAnsi="宋体"/>
          <w:color w:val="auto"/>
        </w:rPr>
        <w:t>我方承诺，若贵方需要，我方愿意提供任何与本次谈判有关的数据、情况和技术资料。</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Ansi="宋体"/>
          <w:color w:val="auto"/>
        </w:rPr>
      </w:pPr>
      <w:r>
        <w:rPr>
          <w:rFonts w:hint="eastAsia" w:hAnsi="宋体"/>
          <w:color w:val="auto"/>
        </w:rPr>
        <w:t>八、我方承诺遵守相关法律法规及贵司的有关规定，保证在获得成交资格后，按照谈判文件确定的事项签订合同，履行双方所签订的合同，并承担合同规定的责任和义务。</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Ansi="宋体"/>
          <w:color w:val="auto"/>
        </w:rPr>
      </w:pPr>
      <w:r>
        <w:rPr>
          <w:rFonts w:hint="eastAsia" w:hAnsi="宋体"/>
          <w:color w:val="auto"/>
        </w:rPr>
        <w:t>九、我方承诺在参与本次竞争性谈判过程中，若出现本文件第26条规定之情形，我方无条件接受条款规定作出的处罚。</w:t>
      </w: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color w:val="auto"/>
        </w:rPr>
      </w:pPr>
      <w:r>
        <w:rPr>
          <w:rFonts w:hint="eastAsia" w:hAnsi="宋体"/>
          <w:color w:val="auto"/>
        </w:rPr>
        <w:t>十、我方承诺完全响应本文件第四章“用户需求书”及第五章“合同格式条款”内的全部内容。</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hAnsi="宋体"/>
          <w:color w:val="auto"/>
        </w:rPr>
      </w:pPr>
      <w:r>
        <w:rPr>
          <w:rFonts w:hint="eastAsia"/>
          <w:color w:val="auto"/>
        </w:rPr>
        <w:t>十一、如有违反本承诺书内容的行为，愿意承担由此产生的法律责任及后果。</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ascii="宋体" w:hAnsi="宋体"/>
          <w:bCs/>
          <w:szCs w:val="21"/>
        </w:rPr>
      </w:pPr>
    </w:p>
    <w:p>
      <w:pPr>
        <w:pStyle w:val="25"/>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Ansi="宋体"/>
        </w:rPr>
      </w:pPr>
    </w:p>
    <w:p>
      <w:pPr>
        <w:keepNext w:val="0"/>
        <w:keepLines w:val="0"/>
        <w:pageBreakBefore w:val="0"/>
        <w:widowControl w:val="0"/>
        <w:kinsoku/>
        <w:wordWrap/>
        <w:overflowPunct/>
        <w:topLinePunct w:val="0"/>
        <w:bidi w:val="0"/>
        <w:spacing w:line="360" w:lineRule="auto"/>
        <w:ind w:left="0" w:leftChars="0" w:right="0" w:rightChars="0" w:firstLine="420" w:firstLineChars="200"/>
        <w:rPr>
          <w:u w:val="single"/>
        </w:rPr>
      </w:pPr>
      <w:r>
        <w:rPr>
          <w:rFonts w:hint="eastAsia"/>
        </w:rPr>
        <w:t>谈判单位名称：</w:t>
      </w:r>
      <w:r>
        <w:rPr>
          <w:rFonts w:hint="eastAsia"/>
          <w:u w:val="single"/>
        </w:rPr>
        <w:t xml:space="preserve">    （盖单位章）    </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hint="default" w:ascii="宋体" w:hAnsi="宋体" w:eastAsia="宋体"/>
          <w:szCs w:val="21"/>
          <w:lang w:val="en-US" w:eastAsia="zh-CN"/>
        </w:rPr>
      </w:pPr>
      <w:r>
        <w:rPr>
          <w:rFonts w:hint="eastAsia" w:ascii="宋体" w:hAnsi="宋体"/>
          <w:szCs w:val="21"/>
        </w:rPr>
        <w:t>法定</w:t>
      </w:r>
      <w:r>
        <w:rPr>
          <w:rFonts w:hint="eastAsia"/>
        </w:rPr>
        <w:t>代表</w:t>
      </w:r>
      <w:r>
        <w:rPr>
          <w:rFonts w:hint="eastAsia" w:ascii="宋体" w:hAnsi="宋体"/>
          <w:szCs w:val="21"/>
        </w:rPr>
        <w:t>人(签字或盖章)：</w:t>
      </w:r>
      <w:r>
        <w:rPr>
          <w:rFonts w:hint="eastAsia" w:ascii="宋体" w:hAnsi="宋体"/>
          <w:szCs w:val="21"/>
          <w:u w:val="single"/>
          <w:lang w:val="en-US" w:eastAsia="zh-CN"/>
        </w:rPr>
        <w:t xml:space="preserve">               </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二、法定代表人身份证明书</w:t>
      </w:r>
    </w:p>
    <w:p>
      <w:pPr>
        <w:keepNext w:val="0"/>
        <w:keepLines w:val="0"/>
        <w:pageBreakBefore w:val="0"/>
        <w:widowControl w:val="0"/>
        <w:kinsoku/>
        <w:wordWrap/>
        <w:overflowPunct/>
        <w:topLinePunct w:val="0"/>
        <w:bidi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left="0" w:leftChars="0" w:right="0" w:rightChars="0" w:firstLine="420" w:firstLineChars="200"/>
        <w:jc w:val="left"/>
        <w:rPr>
          <w:rFonts w:hint="default" w:ascii="宋体" w:hAnsi="宋体" w:eastAsia="宋体" w:cs="宋体"/>
          <w:kern w:val="0"/>
          <w:szCs w:val="21"/>
          <w:lang w:val="en-US" w:eastAsia="zh-CN"/>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left="0" w:leftChars="0" w:right="0" w:rightChars="0" w:firstLine="420" w:firstLineChars="200"/>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left="0" w:leftChars="0" w:right="0" w:rightChars="0" w:firstLine="420" w:firstLineChars="200"/>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lang w:val="en-US" w:eastAsia="zh-CN"/>
        </w:rPr>
        <w:t xml:space="preserve">                      </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成立日期：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日</w:t>
      </w: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left="0" w:leftChars="0" w:right="0" w:rightChars="0" w:firstLine="420" w:firstLineChars="200"/>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left="0" w:leftChars="0" w:right="0" w:rightChars="0" w:firstLine="420" w:firstLineChars="200"/>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left="0" w:leftChars="0" w:right="0" w:rightChars="0"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lang w:val="en-US" w:eastAsia="zh-CN"/>
        </w:rPr>
        <w:t xml:space="preserve">       </w:t>
      </w:r>
      <w:r>
        <w:rPr>
          <w:rFonts w:hint="eastAsia" w:ascii="宋体" w:hAnsi="宋体" w:cs="宋体"/>
          <w:kern w:val="0"/>
          <w:szCs w:val="21"/>
        </w:rPr>
        <w:t>性别：</w:t>
      </w:r>
      <w:r>
        <w:rPr>
          <w:rFonts w:hint="eastAsia" w:ascii="宋体" w:hAnsi="宋体" w:cs="宋体"/>
          <w:kern w:val="0"/>
          <w:szCs w:val="21"/>
          <w:u w:val="single"/>
          <w:lang w:val="en-US" w:eastAsia="zh-CN"/>
        </w:rPr>
        <w:t xml:space="preserve">   </w:t>
      </w:r>
      <w:r>
        <w:rPr>
          <w:rFonts w:hint="eastAsia" w:ascii="宋体" w:hAnsi="宋体" w:cs="宋体"/>
          <w:kern w:val="0"/>
          <w:szCs w:val="21"/>
        </w:rPr>
        <w:t>年龄：</w:t>
      </w:r>
      <w:r>
        <w:rPr>
          <w:rFonts w:hint="eastAsia" w:ascii="宋体" w:hAnsi="宋体" w:cs="宋体"/>
          <w:kern w:val="0"/>
          <w:szCs w:val="21"/>
          <w:u w:val="single"/>
          <w:lang w:val="en-US" w:eastAsia="zh-CN"/>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left="0" w:leftChars="0" w:right="0" w:rightChars="0" w:firstLine="420" w:firstLineChars="200"/>
        <w:jc w:val="left"/>
        <w:rPr>
          <w:rFonts w:ascii="宋体" w:hAnsi="宋体" w:cs="宋体"/>
          <w:kern w:val="0"/>
          <w:szCs w:val="21"/>
        </w:rPr>
      </w:pPr>
      <w:r>
        <w:rPr>
          <w:rFonts w:hint="eastAsia" w:ascii="宋体" w:hAnsi="宋体" w:cs="宋体"/>
          <w:kern w:val="0"/>
          <w:szCs w:val="21"/>
        </w:rPr>
        <w:t>特此证明。</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rPr>
          <w:rFonts w:ascii="宋体" w:hAnsi="宋体"/>
          <w:szCs w:val="21"/>
        </w:rPr>
      </w:pPr>
      <w:r>
        <w:rPr>
          <w:rFonts w:ascii="宋体" w:hAnsi="宋体" w:eastAsia="宋体" w:cs="Times New Roman"/>
          <w:kern w:val="2"/>
          <w:sz w:val="21"/>
          <w:szCs w:val="21"/>
          <w:lang w:val="en-US" w:eastAsia="zh-CN" w:bidi="ar-SA"/>
        </w:rPr>
        <w:pict>
          <v:rect id="Rectangle 7" o:spid="_x0000_s1042" o:spt="1" style="position:absolute;left:0pt;margin-left:222.1pt;margin-top:11.5pt;height:96.15pt;width:185.5pt;z-index:-25165721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eastAsia="宋体" w:cs="Times New Roman"/>
          <w:kern w:val="2"/>
          <w:sz w:val="21"/>
          <w:szCs w:val="21"/>
          <w:lang w:val="en-US" w:eastAsia="zh-CN" w:bidi="ar-SA"/>
        </w:rPr>
        <w:pict>
          <v:rect id="Rectangle 6" o:spid="_x0000_s1043" o:spt="1" style="position:absolute;left:0pt;margin-left:-8.8pt;margin-top:11.5pt;height:96.15pt;width:185.5pt;z-index:-25165824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keepNext w:val="0"/>
        <w:keepLines w:val="0"/>
        <w:pageBreakBefore w:val="0"/>
        <w:widowControl w:val="0"/>
        <w:kinsoku/>
        <w:wordWrap/>
        <w:overflowPunct/>
        <w:topLinePunct w:val="0"/>
        <w:bidi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0" w:firstLineChars="200"/>
        <w:jc w:val="left"/>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widowControl w:val="0"/>
        <w:kinsoku/>
        <w:wordWrap/>
        <w:overflowPunct/>
        <w:topLinePunct w:val="0"/>
        <w:bidi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center"/>
        <w:rPr>
          <w:rFonts w:ascii="黑体" w:hAnsi="宋体" w:eastAsia="黑体"/>
          <w:b/>
          <w:sz w:val="32"/>
          <w:szCs w:val="32"/>
        </w:rPr>
      </w:pPr>
      <w:r>
        <w:rPr>
          <w:rFonts w:ascii="黑体" w:hAnsi="华文中宋" w:eastAsia="黑体"/>
          <w:bCs/>
          <w:sz w:val="24"/>
        </w:rPr>
        <w:br w:type="page"/>
      </w:r>
      <w:r>
        <w:rPr>
          <w:rFonts w:hint="eastAsia" w:ascii="宋体" w:hAnsi="宋体" w:eastAsia="宋体" w:cs="宋体"/>
          <w:b/>
          <w:sz w:val="32"/>
          <w:szCs w:val="32"/>
        </w:rPr>
        <w:t>三、授权委托书</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2" w:firstLineChars="200"/>
        <w:jc w:val="center"/>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left="0" w:leftChars="0" w:right="0" w:rightChars="0"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s="宋体"/>
          <w:kern w:val="0"/>
          <w:szCs w:val="21"/>
        </w:rPr>
      </w:pP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s="宋体"/>
          <w:kern w:val="0"/>
          <w:szCs w:val="21"/>
        </w:rPr>
      </w:pP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s="宋体"/>
          <w:kern w:val="0"/>
          <w:szCs w:val="21"/>
        </w:rPr>
      </w:pP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cs="宋体"/>
          <w:kern w:val="0"/>
          <w:szCs w:val="21"/>
        </w:rPr>
      </w:pPr>
      <w:r>
        <w:rPr>
          <w:rFonts w:hint="eastAsia" w:ascii="宋体" w:hAnsi="宋体" w:cs="宋体"/>
          <w:kern w:val="0"/>
          <w:szCs w:val="21"/>
        </w:rPr>
        <w:t>代理人无转委托权。</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szCs w:val="21"/>
        </w:rPr>
      </w:pPr>
      <w:r>
        <w:rPr>
          <w:rFonts w:hint="eastAsia" w:ascii="宋体" w:hAnsi="宋体"/>
          <w:szCs w:val="21"/>
        </w:rPr>
        <w:t>本授权书于年月日签字生效，特此声明。</w:t>
      </w:r>
    </w:p>
    <w:p>
      <w:pPr>
        <w:keepNext w:val="0"/>
        <w:keepLines w:val="0"/>
        <w:pageBreakBefore w:val="0"/>
        <w:widowControl w:val="0"/>
        <w:kinsoku/>
        <w:wordWrap/>
        <w:overflowPunct/>
        <w:topLinePunct w:val="0"/>
        <w:bidi w:val="0"/>
        <w:adjustRightInd w:val="0"/>
        <w:snapToGrid w:val="0"/>
        <w:spacing w:beforeLines="50" w:line="360" w:lineRule="auto"/>
        <w:ind w:left="0" w:leftChars="0" w:right="0" w:rightChars="0" w:firstLine="420" w:firstLineChars="200"/>
        <w:rPr>
          <w:rFonts w:ascii="宋体" w:hAnsi="宋体"/>
          <w:szCs w:val="21"/>
        </w:rPr>
      </w:pPr>
      <w:r>
        <w:rPr>
          <w:rFonts w:ascii="宋体" w:hAnsi="宋体" w:eastAsia="宋体" w:cs="Times New Roman"/>
          <w:kern w:val="2"/>
          <w:sz w:val="21"/>
          <w:szCs w:val="21"/>
          <w:lang w:val="en-US" w:eastAsia="zh-CN" w:bidi="ar-SA"/>
        </w:rPr>
        <w:pict>
          <v:rect id="Rectangle 5" o:spid="_x0000_s1044" o:spt="1" style="position:absolute;left:0pt;margin-left:-9pt;margin-top:1.45pt;height:102.35pt;width:111.1pt;z-index:-25165619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eastAsia="宋体" w:cs="Times New Roman"/>
          <w:kern w:val="2"/>
          <w:sz w:val="21"/>
          <w:szCs w:val="21"/>
          <w:lang w:val="en-US" w:eastAsia="zh-CN" w:bidi="ar-SA"/>
        </w:rPr>
        <w:pict>
          <v:rect id="Rectangle 4" o:spid="_x0000_s1045" o:spt="1" style="position:absolute;left:0pt;margin-left:272.1pt;margin-top:0.3pt;height:100.1pt;width:122.5pt;z-index:-25165414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
                  <w:pPr>
                    <w:ind w:firstLine="211" w:firstLineChars="100"/>
                    <w:rPr>
                      <w:b/>
                      <w:color w:val="auto"/>
                    </w:rPr>
                  </w:pPr>
                  <w:r>
                    <w:rPr>
                      <w:rFonts w:hint="eastAsia"/>
                      <w:b/>
                      <w:color w:val="auto"/>
                    </w:rPr>
                    <w:t>附：</w:t>
                  </w:r>
                </w:p>
                <w:p>
                  <w:pPr>
                    <w:ind w:firstLine="211" w:firstLineChars="100"/>
                    <w:rPr>
                      <w:b/>
                      <w:color w:val="auto"/>
                    </w:rPr>
                  </w:pPr>
                  <w:r>
                    <w:rPr>
                      <w:rFonts w:hint="eastAsia"/>
                      <w:b/>
                      <w:color w:val="auto"/>
                    </w:rPr>
                    <w:t>营业执照副本复印件（法定代表人身份证明书中已有此附件）</w:t>
                  </w:r>
                </w:p>
                <w:p>
                  <w:pPr>
                    <w:rPr>
                      <w:highlight w:val="yellow"/>
                    </w:rPr>
                  </w:pPr>
                </w:p>
              </w:txbxContent>
            </v:textbox>
          </v:rect>
        </w:pict>
      </w:r>
      <w:r>
        <w:rPr>
          <w:rFonts w:ascii="宋体" w:hAnsi="宋体" w:eastAsia="宋体" w:cs="Times New Roman"/>
          <w:kern w:val="2"/>
          <w:sz w:val="21"/>
          <w:szCs w:val="21"/>
          <w:lang w:val="en-US" w:eastAsia="zh-CN" w:bidi="ar-SA"/>
        </w:rPr>
        <w:pict>
          <v:rect id="Rectangle 3" o:spid="_x0000_s1046" o:spt="1" style="position:absolute;left:0pt;flip:x;margin-left:133.45pt;margin-top:1.35pt;height:100.65pt;width:112.85pt;z-index:-25165516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22" w:firstLineChars="200"/>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r>
        <w:rPr>
          <w:rFonts w:hint="eastAsia" w:ascii="宋体" w:hAnsi="宋体"/>
          <w:szCs w:val="21"/>
        </w:rPr>
        <w:t>谈判单位名称（盖单位章）：</w:t>
      </w:r>
      <w:r>
        <w:rPr>
          <w:rFonts w:hint="eastAsia"/>
          <w:u w:val="single"/>
        </w:rPr>
        <w:t xml:space="preserve">    （盖单位章）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r>
        <w:rPr>
          <w:rFonts w:hint="eastAsia" w:ascii="宋体" w:hAnsi="宋体"/>
          <w:szCs w:val="21"/>
        </w:rPr>
        <w:t>法定代表人（亲笔签字）：</w:t>
      </w:r>
      <w:r>
        <w:rPr>
          <w:rFonts w:hint="eastAsia" w:ascii="宋体" w:hAnsi="宋体"/>
          <w:szCs w:val="21"/>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r>
        <w:rPr>
          <w:rFonts w:hint="eastAsia" w:ascii="宋体" w:hAnsi="宋体"/>
          <w:szCs w:val="21"/>
        </w:rPr>
        <w:t>委托代理人（亲笔签字）：</w:t>
      </w:r>
      <w:r>
        <w:rPr>
          <w:rFonts w:hint="eastAsia" w:ascii="宋体" w:hAnsi="宋体"/>
          <w:szCs w:val="21"/>
          <w:u w:val="single"/>
          <w:lang w:val="en-US" w:eastAsia="zh-CN"/>
        </w:rPr>
        <w:t xml:space="preserve">               </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szCs w:val="21"/>
        </w:rPr>
        <w:sectPr>
          <w:pgSz w:w="12240" w:h="15840"/>
          <w:pgMar w:top="1440" w:right="1800" w:bottom="1440" w:left="1800" w:header="720" w:footer="720" w:gutter="0"/>
          <w:pgNumType w:fmt="decimal"/>
          <w:cols w:space="720" w:num="1"/>
          <w:titlePg/>
          <w:rtlGutter w:val="0"/>
          <w:docGrid w:type="lines" w:linePitch="323"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日</w:t>
      </w:r>
    </w:p>
    <w:p>
      <w:pPr>
        <w:keepNext w:val="0"/>
        <w:keepLines w:val="0"/>
        <w:pageBreakBefore w:val="0"/>
        <w:widowControl w:val="0"/>
        <w:kinsoku/>
        <w:wordWrap/>
        <w:overflowPunct/>
        <w:topLinePunct w:val="0"/>
        <w:bidi w:val="0"/>
        <w:spacing w:line="360" w:lineRule="auto"/>
        <w:ind w:left="0" w:leftChars="0" w:right="0" w:rightChars="0" w:firstLine="643" w:firstLineChars="200"/>
        <w:jc w:val="center"/>
        <w:rPr>
          <w:rFonts w:ascii="黑体" w:eastAsia="黑体"/>
          <w:sz w:val="24"/>
        </w:rPr>
      </w:pPr>
      <w:r>
        <w:rPr>
          <w:rFonts w:hint="eastAsia" w:ascii="黑体" w:hAnsi="宋体" w:eastAsia="黑体"/>
          <w:b/>
          <w:sz w:val="32"/>
          <w:szCs w:val="32"/>
        </w:rPr>
        <w:t>四、谈判单位资格证明文件</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仿宋" w:hAnsi="仿宋" w:eastAsia="仿宋"/>
          <w:bCs/>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w:t>
      </w:r>
      <w:r>
        <w:rPr>
          <w:rFonts w:hint="eastAsia" w:ascii="宋体" w:hAnsi="宋体"/>
          <w:bCs/>
          <w:szCs w:val="21"/>
          <w:highlight w:val="none"/>
        </w:rPr>
        <w:t>证明文</w:t>
      </w:r>
      <w:r>
        <w:rPr>
          <w:rFonts w:hint="eastAsia" w:ascii="宋体" w:hAnsi="宋体"/>
          <w:bCs/>
          <w:color w:val="auto"/>
          <w:szCs w:val="21"/>
          <w:highlight w:val="none"/>
        </w:rPr>
        <w:t>件</w:t>
      </w:r>
      <w:r>
        <w:rPr>
          <w:rFonts w:hint="eastAsia" w:ascii="宋体" w:hAnsi="宋体"/>
          <w:bCs/>
          <w:szCs w:val="21"/>
          <w:highlight w:val="none"/>
        </w:rPr>
        <w:t>：</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hint="eastAsia" w:hAnsi="宋体"/>
          <w:iCs/>
          <w:color w:val="auto"/>
          <w:highlight w:val="none"/>
          <w:lang w:eastAsia="zh-CN"/>
        </w:rPr>
      </w:pPr>
      <w:r>
        <w:rPr>
          <w:rFonts w:hint="eastAsia" w:ascii="宋体" w:hAnsi="宋体" w:cs="宋体"/>
          <w:iCs/>
          <w:color w:val="auto"/>
          <w:highlight w:val="none"/>
        </w:rPr>
        <w:t>1</w:t>
      </w:r>
      <w:r>
        <w:rPr>
          <w:rFonts w:hint="eastAsia" w:ascii="宋体" w:hAnsi="宋体" w:cs="宋体"/>
          <w:iCs/>
          <w:color w:val="auto"/>
          <w:highlight w:val="none"/>
          <w:lang w:val="en-US" w:eastAsia="zh-CN"/>
        </w:rPr>
        <w:t>.</w:t>
      </w:r>
      <w:r>
        <w:rPr>
          <w:rFonts w:hint="eastAsia" w:hAnsi="宋体"/>
          <w:iCs/>
          <w:color w:val="auto"/>
          <w:highlight w:val="none"/>
        </w:rPr>
        <w:t>谈判单位须为具有独立法人资格、自主经营、独立核算的公司</w:t>
      </w:r>
      <w:r>
        <w:rPr>
          <w:rFonts w:hint="eastAsia" w:hAnsi="宋体"/>
          <w:iCs/>
          <w:color w:val="auto"/>
          <w:highlight w:val="none"/>
          <w:lang w:val="en-US" w:eastAsia="zh-CN"/>
        </w:rPr>
        <w:t>/</w:t>
      </w:r>
      <w:r>
        <w:rPr>
          <w:rFonts w:hint="eastAsia" w:hAnsi="宋体"/>
          <w:iCs/>
          <w:color w:val="auto"/>
          <w:highlight w:val="none"/>
          <w:lang w:eastAsia="zh-CN"/>
        </w:rPr>
        <w:t>单位</w:t>
      </w:r>
      <w:r>
        <w:rPr>
          <w:rFonts w:hint="eastAsia" w:hAnsi="宋体"/>
          <w:iCs/>
          <w:color w:val="auto"/>
          <w:highlight w:val="none"/>
        </w:rPr>
        <w:t>。</w:t>
      </w:r>
      <w:r>
        <w:rPr>
          <w:rFonts w:hint="eastAsia" w:hAnsi="宋体"/>
          <w:iCs/>
          <w:color w:val="auto"/>
          <w:highlight w:val="yellow"/>
        </w:rPr>
        <w:t>须提供营业执照</w:t>
      </w:r>
      <w:r>
        <w:rPr>
          <w:rFonts w:hint="eastAsia" w:hAnsi="宋体"/>
          <w:iCs/>
          <w:color w:val="auto"/>
          <w:highlight w:val="yellow"/>
          <w:lang w:eastAsia="zh-CN"/>
        </w:rPr>
        <w:t>副本</w:t>
      </w:r>
      <w:r>
        <w:rPr>
          <w:rFonts w:hint="eastAsia" w:hAnsi="宋体"/>
          <w:iCs/>
          <w:color w:val="auto"/>
          <w:highlight w:val="yellow"/>
        </w:rPr>
        <w:t>复印件（须加盖谈判单位公章）或事业单位法人证书副</w:t>
      </w:r>
      <w:r>
        <w:rPr>
          <w:rFonts w:hint="eastAsia" w:hAnsi="宋体"/>
          <w:iCs/>
          <w:color w:val="auto"/>
          <w:highlight w:val="yellow"/>
          <w:lang w:eastAsia="zh-CN"/>
        </w:rPr>
        <w:t>本</w:t>
      </w:r>
      <w:r>
        <w:rPr>
          <w:rFonts w:hint="eastAsia" w:hAnsi="宋体"/>
          <w:iCs/>
          <w:color w:val="auto"/>
          <w:highlight w:val="yellow"/>
        </w:rPr>
        <w:t>复印件</w:t>
      </w:r>
      <w:r>
        <w:rPr>
          <w:rFonts w:hint="eastAsia" w:hAnsi="宋体"/>
          <w:iCs/>
          <w:color w:val="auto"/>
          <w:highlight w:val="yellow"/>
          <w:lang w:eastAsia="zh-CN"/>
        </w:rPr>
        <w:t>（</w:t>
      </w:r>
      <w:r>
        <w:rPr>
          <w:rFonts w:hint="eastAsia" w:hAnsi="宋体"/>
          <w:iCs/>
          <w:color w:val="auto"/>
          <w:highlight w:val="yellow"/>
        </w:rPr>
        <w:t>须加盖谈判单位公章</w:t>
      </w:r>
      <w:r>
        <w:rPr>
          <w:rFonts w:hint="eastAsia" w:hAnsi="宋体"/>
          <w:iCs/>
          <w:color w:val="auto"/>
          <w:highlight w:val="yellow"/>
          <w:lang w:eastAsia="zh-CN"/>
        </w:rPr>
        <w:t>）</w:t>
      </w:r>
      <w:r>
        <w:rPr>
          <w:rFonts w:hint="eastAsia" w:hAnsi="宋体"/>
          <w:iCs/>
          <w:color w:val="auto"/>
          <w:highlight w:val="yellow"/>
        </w:rPr>
        <w:t>。</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hint="eastAsia" w:ascii="宋体" w:hAnsi="宋体" w:eastAsia="宋体"/>
          <w:color w:val="auto"/>
          <w:szCs w:val="21"/>
          <w:highlight w:val="none"/>
          <w:lang w:eastAsia="zh-CN"/>
        </w:rPr>
      </w:pPr>
      <w:r>
        <w:rPr>
          <w:rFonts w:hint="eastAsia" w:ascii="宋体" w:hAnsi="宋体" w:cs="宋体"/>
          <w:iCs/>
          <w:color w:val="auto"/>
          <w:highlight w:val="none"/>
        </w:rPr>
        <w:t>2</w:t>
      </w:r>
      <w:r>
        <w:rPr>
          <w:rFonts w:hint="eastAsia" w:ascii="宋体" w:hAnsi="宋体" w:cs="宋体"/>
          <w:iCs/>
          <w:color w:val="auto"/>
          <w:highlight w:val="none"/>
          <w:lang w:val="en-US" w:eastAsia="zh-CN"/>
        </w:rPr>
        <w:t>.</w:t>
      </w:r>
      <w:r>
        <w:rPr>
          <w:rFonts w:hint="eastAsia" w:ascii="宋体" w:hAnsi="宋体"/>
          <w:color w:val="auto"/>
          <w:szCs w:val="21"/>
          <w:highlight w:val="none"/>
        </w:rPr>
        <w:t>谈判单位须</w:t>
      </w:r>
      <w:r>
        <w:rPr>
          <w:rFonts w:hint="eastAsia" w:ascii="宋体" w:hAnsi="宋体"/>
          <w:color w:val="auto"/>
          <w:szCs w:val="21"/>
          <w:highlight w:val="none"/>
          <w:lang w:eastAsia="zh-CN"/>
        </w:rPr>
        <w:t>提供</w:t>
      </w:r>
      <w:r>
        <w:rPr>
          <w:rFonts w:hint="eastAsia" w:ascii="宋体" w:hAnsi="宋体"/>
          <w:color w:val="auto"/>
          <w:szCs w:val="21"/>
          <w:highlight w:val="none"/>
        </w:rPr>
        <w:t>安全生产监督管理部门颁发的职业卫生技术服务机构乙级</w:t>
      </w:r>
      <w:r>
        <w:rPr>
          <w:rFonts w:hint="eastAsia" w:ascii="宋体" w:hAnsi="宋体"/>
          <w:color w:val="auto"/>
          <w:szCs w:val="21"/>
          <w:highlight w:val="none"/>
          <w:lang w:eastAsia="zh-CN"/>
        </w:rPr>
        <w:t>及</w:t>
      </w:r>
      <w:r>
        <w:rPr>
          <w:rFonts w:hint="eastAsia" w:ascii="宋体" w:hAnsi="宋体"/>
          <w:color w:val="auto"/>
          <w:szCs w:val="21"/>
          <w:highlight w:val="none"/>
        </w:rPr>
        <w:t>以上资质证书</w:t>
      </w:r>
      <w:r>
        <w:rPr>
          <w:rFonts w:hint="eastAsia" w:hAnsi="宋体"/>
          <w:color w:val="auto"/>
          <w:highlight w:val="none"/>
          <w:u w:val="none"/>
        </w:rPr>
        <w:t>，须提供证书原件</w:t>
      </w:r>
      <w:r>
        <w:rPr>
          <w:rFonts w:hint="eastAsia" w:hAnsi="宋体"/>
          <w:color w:val="auto"/>
          <w:highlight w:val="none"/>
          <w:u w:val="none"/>
          <w:lang w:eastAsia="zh-CN"/>
        </w:rPr>
        <w:t>及复印件。</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lang w:val="en-US" w:eastAsia="zh-CN"/>
        </w:rPr>
        <w:t>3.</w:t>
      </w:r>
      <w:r>
        <w:rPr>
          <w:rFonts w:hint="eastAsia" w:ascii="宋体" w:hAnsi="宋体"/>
          <w:color w:val="000000"/>
          <w:szCs w:val="21"/>
          <w:highlight w:val="none"/>
        </w:rPr>
        <w:t>谈判单位在本项目响应文件递交截止之日前36个月内须</w:t>
      </w:r>
      <w:r>
        <w:rPr>
          <w:rFonts w:hint="eastAsia" w:ascii="宋体" w:hAnsi="宋体"/>
          <w:color w:val="000000"/>
          <w:szCs w:val="21"/>
          <w:highlight w:val="none"/>
          <w:lang w:eastAsia="zh-CN"/>
        </w:rPr>
        <w:t>提供</w:t>
      </w:r>
      <w:r>
        <w:rPr>
          <w:rFonts w:hint="eastAsia" w:ascii="宋体" w:hAnsi="宋体"/>
          <w:color w:val="000000"/>
          <w:szCs w:val="21"/>
          <w:highlight w:val="none"/>
        </w:rPr>
        <w:t>职业病危害控制效果评价或职业病危害现状评价报告编制项目业绩。不接受联合体业绩、港澳台或境外业绩。</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业绩证明材料以同时提供的合同复印件和发票（开票金额不少于合同金额的10%）复印件（均须加盖谈判单位公章）为准，业绩金额以合同中金额为准，时间以合同中甲方签字时间为准</w:t>
      </w:r>
    </w:p>
    <w:p>
      <w:pPr>
        <w:keepNext w:val="0"/>
        <w:keepLines w:val="0"/>
        <w:pageBreakBefore w:val="0"/>
        <w:widowControl w:val="0"/>
        <w:kinsoku/>
        <w:wordWrap/>
        <w:overflowPunct/>
        <w:topLinePunct w:val="0"/>
        <w:bidi w:val="0"/>
        <w:spacing w:line="360" w:lineRule="auto"/>
        <w:ind w:left="0" w:leftChars="0" w:right="0" w:rightChars="0" w:firstLine="420" w:firstLineChars="200"/>
        <w:textAlignment w:val="auto"/>
        <w:rPr>
          <w:rFonts w:ascii="宋体" w:hAnsi="宋体" w:cs="宋体"/>
          <w:kern w:val="0"/>
          <w:szCs w:val="21"/>
          <w:highlight w:val="none"/>
        </w:rPr>
      </w:pPr>
      <w:r>
        <w:rPr>
          <w:rFonts w:hint="eastAsia" w:ascii="宋体" w:hAnsi="宋体"/>
          <w:color w:val="000000"/>
          <w:szCs w:val="21"/>
          <w:highlight w:val="none"/>
          <w:lang w:val="en-US" w:eastAsia="zh-CN"/>
        </w:rPr>
        <w:t>4.</w:t>
      </w:r>
      <w:r>
        <w:rPr>
          <w:rFonts w:hint="eastAsia" w:ascii="宋体" w:hAnsi="宋体"/>
          <w:color w:val="000000"/>
          <w:szCs w:val="21"/>
          <w:highlight w:val="none"/>
        </w:rPr>
        <w:t>谈判单位认为与本项目</w:t>
      </w:r>
      <w:r>
        <w:rPr>
          <w:rFonts w:hint="eastAsia" w:ascii="宋体" w:hAnsi="宋体" w:cs="宋体"/>
          <w:kern w:val="0"/>
          <w:szCs w:val="21"/>
          <w:highlight w:val="none"/>
        </w:rPr>
        <w:t>资格条件有关的其它证明文件（如有，格式自拟）。</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Cs w:val="21"/>
        </w:rPr>
      </w:pPr>
      <w:r>
        <w:rPr>
          <w:rFonts w:hint="eastAsia" w:ascii="宋体" w:hAnsi="宋体"/>
          <w:b/>
          <w:bCs/>
          <w:szCs w:val="21"/>
        </w:rPr>
        <w:t>备注：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bCs/>
          <w:szCs w:val="21"/>
        </w:rPr>
      </w:pPr>
      <w:r>
        <w:rPr>
          <w:rFonts w:hint="eastAsia" w:ascii="宋体" w:hAnsi="宋体"/>
          <w:b/>
          <w:bCs/>
          <w:szCs w:val="21"/>
        </w:rPr>
        <w:t>1</w:t>
      </w:r>
      <w:r>
        <w:rPr>
          <w:rFonts w:hint="eastAsia" w:ascii="宋体" w:hAnsi="宋体"/>
          <w:b/>
          <w:bCs/>
          <w:szCs w:val="21"/>
          <w:lang w:val="en-US" w:eastAsia="zh-CN"/>
        </w:rPr>
        <w:t>.</w:t>
      </w:r>
      <w:r>
        <w:rPr>
          <w:rFonts w:hint="eastAsia" w:ascii="宋体" w:hAnsi="宋体"/>
          <w:b/>
          <w:bCs/>
          <w:szCs w:val="21"/>
        </w:rPr>
        <w:t>上述证明文件复印件均须加盖谈判单位公章。</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hint="eastAsia" w:ascii="宋体" w:hAnsi="宋体"/>
          <w:b/>
          <w:bCs/>
          <w:szCs w:val="21"/>
          <w:highlight w:val="yellow"/>
        </w:rPr>
        <w:sectPr>
          <w:pgSz w:w="12240" w:h="15840"/>
          <w:pgMar w:top="1440" w:right="1800" w:bottom="1440" w:left="1800" w:header="720" w:footer="720" w:gutter="0"/>
          <w:pgNumType w:fmt="decimal"/>
          <w:cols w:space="720" w:num="1"/>
          <w:titlePg/>
          <w:rtlGutter w:val="0"/>
          <w:docGrid w:type="lines" w:linePitch="323" w:charSpace="0"/>
        </w:sectPr>
      </w:pPr>
      <w:r>
        <w:rPr>
          <w:rFonts w:hint="eastAsia" w:ascii="宋体" w:hAnsi="宋体"/>
          <w:b/>
          <w:bCs/>
          <w:szCs w:val="21"/>
          <w:highlight w:val="yellow"/>
        </w:rPr>
        <w:t>2</w:t>
      </w:r>
      <w:r>
        <w:rPr>
          <w:rFonts w:hint="eastAsia" w:ascii="宋体" w:hAnsi="宋体"/>
          <w:b/>
          <w:bCs/>
          <w:szCs w:val="21"/>
          <w:highlight w:val="yellow"/>
          <w:lang w:val="en-US" w:eastAsia="zh-CN"/>
        </w:rPr>
        <w:t>.</w:t>
      </w:r>
      <w:r>
        <w:rPr>
          <w:rFonts w:hint="eastAsia" w:ascii="宋体" w:hAnsi="宋体"/>
          <w:b/>
          <w:bCs/>
          <w:szCs w:val="21"/>
          <w:highlight w:val="yellow"/>
        </w:rPr>
        <w:t>上述证明文件原件须用文件袋单独包装，在响应文件递交的同时一并提交。</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jc w:val="center"/>
        <w:rPr>
          <w:rFonts w:ascii="黑体" w:hAnsi="宋体" w:eastAsia="黑体"/>
          <w:b/>
          <w:bCs/>
          <w:sz w:val="32"/>
          <w:szCs w:val="32"/>
        </w:rPr>
      </w:pPr>
      <w:r>
        <w:rPr>
          <w:rFonts w:hint="eastAsia" w:ascii="黑体" w:hAnsi="宋体" w:eastAsia="黑体"/>
          <w:b/>
          <w:sz w:val="32"/>
          <w:szCs w:val="32"/>
        </w:rPr>
        <w:t>五、</w:t>
      </w:r>
      <w:r>
        <w:rPr>
          <w:rFonts w:hint="eastAsia" w:ascii="黑体" w:hAnsi="宋体" w:eastAsia="黑体"/>
          <w:b/>
          <w:bCs/>
          <w:sz w:val="32"/>
          <w:szCs w:val="32"/>
        </w:rPr>
        <w:t>服务方案</w:t>
      </w:r>
      <w:r>
        <w:rPr>
          <w:rFonts w:hint="eastAsia" w:ascii="黑体" w:hAnsi="宋体" w:eastAsia="黑体"/>
          <w:b/>
          <w:bCs/>
          <w:sz w:val="32"/>
          <w:szCs w:val="32"/>
          <w:highlight w:val="none"/>
          <w:lang w:eastAsia="zh-CN"/>
        </w:rPr>
        <w:t>（如有）</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jc w:val="center"/>
        <w:rPr>
          <w:rFonts w:ascii="黑体" w:hAnsi="宋体" w:eastAsia="黑体"/>
          <w:b/>
          <w:bCs/>
          <w:sz w:val="32"/>
          <w:szCs w:val="32"/>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562" w:firstLineChars="200"/>
        <w:jc w:val="center"/>
        <w:rPr>
          <w:rFonts w:ascii="宋体" w:hAnsi="宋体"/>
          <w:b/>
          <w:bCs/>
          <w:sz w:val="28"/>
          <w:szCs w:val="28"/>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textAlignment w:val="auto"/>
        <w:rPr>
          <w:rFonts w:ascii="宋体" w:hAnsi="宋体"/>
          <w:b/>
          <w:szCs w:val="21"/>
        </w:rPr>
      </w:pPr>
      <w:r>
        <w:rPr>
          <w:rFonts w:hint="eastAsia" w:ascii="宋体" w:hAnsi="宋体"/>
          <w:b/>
          <w:szCs w:val="21"/>
          <w:lang w:val="en-US" w:eastAsia="zh-CN"/>
        </w:rPr>
        <w:t>1</w:t>
      </w:r>
      <w:r>
        <w:rPr>
          <w:rFonts w:hint="eastAsia" w:ascii="宋体" w:hAnsi="宋体"/>
          <w:b/>
          <w:szCs w:val="21"/>
        </w:rPr>
        <w:t>．服务方案说明</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.1</w:t>
      </w:r>
      <w:r>
        <w:rPr>
          <w:rFonts w:hint="eastAsia" w:ascii="宋体" w:hAnsi="宋体"/>
          <w:szCs w:val="21"/>
          <w:highlight w:val="none"/>
          <w:lang w:eastAsia="zh-CN"/>
        </w:rPr>
        <w:t>谈判单位</w:t>
      </w:r>
      <w:r>
        <w:rPr>
          <w:rFonts w:hint="eastAsia" w:ascii="宋体" w:hAnsi="宋体"/>
          <w:szCs w:val="21"/>
        </w:rPr>
        <w:t>应根据“用户需求书”规定编写服务方案或服务大纲。</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.2服务方案或服务大纲应包括：(1)服务目标、范围和任务；(2)服务方案；(3)服务团队组织安排计划；(4)工作流程；(5)进度计划及保证措施；(6)质量保证措施；(7)合理化建议；(8)其他。</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pStyle w:val="27"/>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outlineLvl w:val="0"/>
        <w:rPr>
          <w:rFonts w:ascii="宋体" w:hAnsi="宋体"/>
          <w:bCs/>
          <w:sz w:val="21"/>
          <w:szCs w:val="21"/>
        </w:rPr>
      </w:pPr>
      <w:bookmarkStart w:id="198" w:name="_Toc2524"/>
      <w:bookmarkStart w:id="199" w:name="_Toc8554"/>
      <w:bookmarkStart w:id="200" w:name="_Toc29652"/>
      <w:r>
        <w:rPr>
          <w:rFonts w:hint="eastAsia" w:ascii="宋体" w:hAnsi="宋体"/>
          <w:sz w:val="21"/>
          <w:szCs w:val="21"/>
        </w:rPr>
        <w:t>谈判单位名称：</w:t>
      </w:r>
      <w:r>
        <w:rPr>
          <w:rFonts w:hint="eastAsia" w:ascii="宋体" w:hAnsi="宋体"/>
          <w:sz w:val="21"/>
          <w:szCs w:val="21"/>
          <w:u w:val="single"/>
        </w:rPr>
        <w:t xml:space="preserve">    （盖单位章）</w:t>
      </w:r>
      <w:bookmarkEnd w:id="198"/>
      <w:bookmarkEnd w:id="199"/>
      <w:bookmarkEnd w:id="200"/>
      <w:r>
        <w:rPr>
          <w:rFonts w:hint="eastAsia" w:ascii="宋体" w:hAnsi="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outlineLvl w:val="0"/>
        <w:rPr>
          <w:rFonts w:ascii="宋体" w:hAnsi="宋体"/>
          <w:szCs w:val="21"/>
        </w:rPr>
      </w:pPr>
      <w:bookmarkStart w:id="201" w:name="_Toc10577"/>
      <w:bookmarkStart w:id="202" w:name="_Toc6287"/>
      <w:bookmarkStart w:id="203" w:name="_Toc8996"/>
      <w:r>
        <w:rPr>
          <w:rFonts w:hint="eastAsia" w:ascii="宋体" w:hAnsi="宋体"/>
          <w:szCs w:val="21"/>
        </w:rPr>
        <w:t>法定代表人或其委托代理人(签字或盖章)：</w:t>
      </w:r>
      <w:bookmarkEnd w:id="201"/>
      <w:bookmarkEnd w:id="202"/>
      <w:bookmarkEnd w:id="203"/>
      <w:r>
        <w:rPr>
          <w:rFonts w:hint="eastAsia" w:ascii="宋体" w:hAnsi="宋体"/>
          <w:szCs w:val="21"/>
          <w:u w:val="single"/>
          <w:lang w:val="en-US" w:eastAsia="zh-CN"/>
        </w:rPr>
        <w:t xml:space="preserve">               </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日</w:t>
      </w:r>
    </w:p>
    <w:p>
      <w:pPr>
        <w:keepNext w:val="0"/>
        <w:keepLines w:val="0"/>
        <w:pageBreakBefore w:val="0"/>
        <w:widowControl w:val="0"/>
        <w:kinsoku/>
        <w:wordWrap/>
        <w:overflowPunct/>
        <w:topLinePunct w:val="0"/>
        <w:bidi w:val="0"/>
        <w:spacing w:line="360" w:lineRule="auto"/>
        <w:ind w:left="0" w:leftChars="0" w:right="0" w:rightChars="0" w:firstLine="480" w:firstLineChars="200"/>
        <w:jc w:val="center"/>
        <w:rPr>
          <w:rFonts w:ascii="黑体" w:hAnsi="宋体" w:eastAsia="黑体"/>
          <w:b/>
          <w:sz w:val="32"/>
          <w:szCs w:val="32"/>
        </w:rPr>
      </w:pPr>
      <w:r>
        <w:rPr>
          <w:rFonts w:ascii="宋体" w:hAnsi="宋体"/>
          <w:sz w:val="24"/>
        </w:rPr>
        <w:br w:type="page"/>
      </w:r>
      <w:r>
        <w:rPr>
          <w:rFonts w:hint="eastAsia" w:ascii="黑体" w:hAnsi="宋体" w:eastAsia="黑体" w:cs="Times New Roman"/>
          <w:b/>
          <w:bCs/>
          <w:sz w:val="32"/>
          <w:szCs w:val="32"/>
          <w:lang w:eastAsia="zh-CN"/>
        </w:rPr>
        <w:t>六</w:t>
      </w:r>
      <w:r>
        <w:rPr>
          <w:rFonts w:hint="eastAsia" w:ascii="黑体" w:hAnsi="宋体" w:eastAsia="黑体" w:cs="Times New Roman"/>
          <w:b/>
          <w:bCs/>
          <w:sz w:val="32"/>
          <w:szCs w:val="32"/>
        </w:rPr>
        <w:t>、</w:t>
      </w:r>
      <w:r>
        <w:rPr>
          <w:rFonts w:hint="eastAsia" w:ascii="黑体" w:hAnsi="宋体" w:eastAsia="黑体"/>
          <w:b/>
          <w:bCs/>
          <w:sz w:val="32"/>
          <w:szCs w:val="32"/>
        </w:rPr>
        <w:t>报价一览表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right"/>
        <w:rPr>
          <w:rFonts w:ascii="黑体" w:hAnsi="宋体" w:eastAsia="黑体"/>
          <w:sz w:val="24"/>
        </w:rPr>
      </w:pPr>
    </w:p>
    <w:tbl>
      <w:tblPr>
        <w:tblStyle w:val="46"/>
        <w:tblW w:w="98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atLeast"/>
        </w:trPr>
        <w:tc>
          <w:tcPr>
            <w:tcW w:w="1807" w:type="dxa"/>
            <w:vAlign w:val="center"/>
          </w:tcPr>
          <w:p>
            <w:pPr>
              <w:keepNext w:val="0"/>
              <w:keepLines w:val="0"/>
              <w:pageBreakBefore w:val="0"/>
              <w:widowControl w:val="0"/>
              <w:tabs>
                <w:tab w:val="left" w:pos="403"/>
                <w:tab w:val="center" w:pos="3781"/>
              </w:tabs>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szCs w:val="21"/>
              </w:rPr>
            </w:pPr>
            <w:r>
              <w:rPr>
                <w:rFonts w:ascii="宋体" w:hAnsi="宋体"/>
                <w:szCs w:val="21"/>
              </w:rPr>
              <w:t>项目名称</w:t>
            </w:r>
          </w:p>
        </w:tc>
        <w:tc>
          <w:tcPr>
            <w:tcW w:w="8033"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1807" w:type="dxa"/>
            <w:vAlign w:val="center"/>
          </w:tcPr>
          <w:p>
            <w:pPr>
              <w:keepNext w:val="0"/>
              <w:keepLines w:val="0"/>
              <w:pageBreakBefore w:val="0"/>
              <w:widowControl w:val="0"/>
              <w:tabs>
                <w:tab w:val="left" w:pos="403"/>
                <w:tab w:val="center" w:pos="3781"/>
              </w:tabs>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szCs w:val="21"/>
              </w:rPr>
            </w:pPr>
            <w:r>
              <w:rPr>
                <w:rFonts w:hint="eastAsia" w:ascii="宋体" w:hAnsi="宋体"/>
                <w:szCs w:val="21"/>
              </w:rPr>
              <w:t>项目</w:t>
            </w:r>
            <w:r>
              <w:rPr>
                <w:rFonts w:ascii="宋体" w:hAnsi="宋体"/>
                <w:szCs w:val="21"/>
              </w:rPr>
              <w:t>编号</w:t>
            </w:r>
          </w:p>
        </w:tc>
        <w:tc>
          <w:tcPr>
            <w:tcW w:w="8033"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szCs w:val="21"/>
              </w:rPr>
            </w:pPr>
            <w:r>
              <w:rPr>
                <w:rFonts w:hint="eastAsia" w:ascii="宋体" w:hAnsi="宋体"/>
                <w:szCs w:val="21"/>
              </w:rPr>
              <w:t>服务期限</w:t>
            </w:r>
          </w:p>
        </w:tc>
        <w:tc>
          <w:tcPr>
            <w:tcW w:w="8033"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b/>
                <w:szCs w:val="21"/>
              </w:rPr>
            </w:pPr>
            <w:r>
              <w:rPr>
                <w:rFonts w:hint="eastAsia" w:ascii="宋体" w:hAnsi="宋体"/>
                <w:b/>
                <w:color w:val="auto"/>
                <w:szCs w:val="21"/>
              </w:rPr>
              <w:t>谈判</w:t>
            </w:r>
            <w:r>
              <w:rPr>
                <w:rFonts w:ascii="宋体" w:hAnsi="宋体"/>
                <w:b/>
                <w:color w:val="auto"/>
                <w:szCs w:val="21"/>
              </w:rPr>
              <w:t>总</w:t>
            </w:r>
            <w:r>
              <w:rPr>
                <w:rFonts w:ascii="宋体" w:hAnsi="宋体"/>
                <w:b/>
                <w:szCs w:val="21"/>
              </w:rPr>
              <w:t>报价</w:t>
            </w:r>
          </w:p>
        </w:tc>
        <w:tc>
          <w:tcPr>
            <w:tcW w:w="4017"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szCs w:val="21"/>
                <w:highlight w:val="none"/>
              </w:rPr>
            </w:pPr>
            <w:r>
              <w:rPr>
                <w:rFonts w:hint="eastAsia" w:ascii="宋体" w:hAnsi="宋体"/>
                <w:szCs w:val="21"/>
                <w:highlight w:val="none"/>
              </w:rPr>
              <w:t>大写：</w:t>
            </w:r>
            <w:r>
              <w:rPr>
                <w:rFonts w:hint="eastAsia" w:ascii="宋体" w:hAnsi="宋体"/>
                <w:szCs w:val="21"/>
                <w:highlight w:val="none"/>
                <w:u w:val="single"/>
                <w:lang w:val="en-US" w:eastAsia="zh-CN"/>
              </w:rPr>
              <w:t xml:space="preserve">              </w:t>
            </w:r>
            <w:r>
              <w:rPr>
                <w:rFonts w:hint="eastAsia" w:ascii="宋体" w:hAnsi="宋体"/>
                <w:szCs w:val="21"/>
                <w:highlight w:val="none"/>
              </w:rPr>
              <w:t>元/年</w:t>
            </w:r>
          </w:p>
        </w:tc>
        <w:tc>
          <w:tcPr>
            <w:tcW w:w="4016"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szCs w:val="21"/>
                <w:highlight w:val="none"/>
              </w:rPr>
            </w:pPr>
            <w:r>
              <w:rPr>
                <w:rFonts w:hint="eastAsia" w:ascii="宋体" w:hAnsi="宋体"/>
                <w:szCs w:val="21"/>
                <w:highlight w:val="none"/>
              </w:rPr>
              <w:t>小写：</w:t>
            </w:r>
            <w:r>
              <w:rPr>
                <w:rFonts w:hint="eastAsia" w:ascii="宋体" w:hAnsi="宋体"/>
                <w:szCs w:val="21"/>
                <w:highlight w:val="none"/>
                <w:u w:val="single"/>
                <w:lang w:val="en-US" w:eastAsia="zh-CN"/>
              </w:rPr>
              <w:t xml:space="preserve">              </w:t>
            </w:r>
            <w:r>
              <w:rPr>
                <w:rFonts w:hint="eastAsia" w:ascii="宋体" w:hAnsi="宋体"/>
                <w:szCs w:val="21"/>
                <w:highlight w:val="none"/>
              </w:rPr>
              <w:t>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1" w:hRule="atLeast"/>
        </w:trPr>
        <w:tc>
          <w:tcPr>
            <w:tcW w:w="1807" w:type="dxa"/>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szCs w:val="21"/>
              </w:rPr>
            </w:pPr>
            <w:r>
              <w:rPr>
                <w:rFonts w:ascii="宋体" w:hAnsi="宋体"/>
                <w:szCs w:val="21"/>
              </w:rPr>
              <w:t>备  注</w:t>
            </w:r>
          </w:p>
        </w:tc>
        <w:tc>
          <w:tcPr>
            <w:tcW w:w="8033" w:type="dxa"/>
            <w:gridSpan w:val="2"/>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ascii="宋体" w:hAnsi="宋体"/>
                <w:szCs w:val="21"/>
              </w:rPr>
            </w:pPr>
          </w:p>
        </w:tc>
      </w:tr>
    </w:tbl>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b/>
          <w:color w:val="auto"/>
          <w:szCs w:val="21"/>
        </w:rPr>
      </w:pPr>
      <w:r>
        <w:rPr>
          <w:rFonts w:hint="eastAsia" w:ascii="宋体" w:hAnsi="宋体"/>
          <w:b/>
          <w:color w:val="auto"/>
          <w:szCs w:val="21"/>
        </w:rPr>
        <w:t>1.所有报价保留小数点后两位，小数点后第三位“四舍五入”。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2" w:firstLineChars="200"/>
        <w:rPr>
          <w:rFonts w:ascii="宋体" w:hAnsi="宋体"/>
          <w:color w:val="auto"/>
          <w:szCs w:val="21"/>
        </w:rPr>
      </w:pPr>
      <w:r>
        <w:rPr>
          <w:rFonts w:hint="eastAsia" w:ascii="宋体" w:hAnsi="宋体"/>
          <w:b/>
          <w:color w:val="auto"/>
          <w:szCs w:val="21"/>
        </w:rPr>
        <w:t>2.本表内“谈判总报价”是包含了所有隐含的管理费、税金和利润等其他费用的报价。</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rPr>
          <w:rFonts w:ascii="宋体" w:hAnsi="宋体"/>
          <w:szCs w:val="21"/>
        </w:rPr>
      </w:pPr>
    </w:p>
    <w:p>
      <w:pPr>
        <w:pStyle w:val="27"/>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outlineLvl w:val="0"/>
        <w:rPr>
          <w:rFonts w:ascii="宋体" w:hAnsi="宋体"/>
          <w:bCs/>
          <w:sz w:val="21"/>
          <w:szCs w:val="21"/>
        </w:rPr>
      </w:pPr>
      <w:bookmarkStart w:id="204" w:name="_Toc26371"/>
      <w:bookmarkStart w:id="205" w:name="_Toc22197"/>
      <w:bookmarkStart w:id="206" w:name="_Toc15367"/>
      <w:r>
        <w:rPr>
          <w:rFonts w:hint="eastAsia" w:ascii="宋体" w:hAnsi="宋体"/>
          <w:sz w:val="21"/>
          <w:szCs w:val="21"/>
        </w:rPr>
        <w:t>谈判单位名称：</w:t>
      </w:r>
      <w:r>
        <w:rPr>
          <w:rFonts w:hint="eastAsia" w:ascii="宋体" w:hAnsi="宋体"/>
          <w:sz w:val="21"/>
          <w:szCs w:val="21"/>
          <w:u w:val="single"/>
        </w:rPr>
        <w:t xml:space="preserve">    （盖单位章）</w:t>
      </w:r>
      <w:bookmarkEnd w:id="204"/>
      <w:bookmarkEnd w:id="205"/>
      <w:bookmarkEnd w:id="206"/>
      <w:r>
        <w:rPr>
          <w:rFonts w:hint="eastAsia" w:ascii="宋体" w:hAnsi="宋体"/>
          <w:sz w:val="21"/>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outlineLvl w:val="0"/>
        <w:rPr>
          <w:rFonts w:ascii="宋体" w:hAnsi="宋体"/>
          <w:szCs w:val="21"/>
        </w:rPr>
      </w:pPr>
      <w:bookmarkStart w:id="207" w:name="_Toc14381"/>
      <w:bookmarkStart w:id="208" w:name="_Toc26095"/>
      <w:bookmarkStart w:id="209" w:name="_Toc7637"/>
      <w:r>
        <w:rPr>
          <w:rFonts w:hint="eastAsia" w:ascii="宋体" w:hAnsi="宋体"/>
          <w:szCs w:val="21"/>
        </w:rPr>
        <w:t>法定代表人或其委托代理人(签字或盖章)：</w:t>
      </w:r>
      <w:bookmarkEnd w:id="207"/>
      <w:bookmarkEnd w:id="208"/>
      <w:bookmarkEnd w:id="209"/>
      <w:r>
        <w:rPr>
          <w:rFonts w:hint="eastAsia" w:ascii="宋体" w:hAnsi="宋体"/>
          <w:szCs w:val="21"/>
          <w:u w:val="single"/>
          <w:lang w:val="en-US" w:eastAsia="zh-CN"/>
        </w:rPr>
        <w:t xml:space="preserve">               </w:t>
      </w: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643" w:firstLineChars="200"/>
        <w:outlineLvl w:val="0"/>
        <w:rPr>
          <w:rFonts w:ascii="黑体" w:eastAsia="黑体"/>
          <w:b/>
          <w:sz w:val="32"/>
          <w:szCs w:val="32"/>
        </w:rPr>
        <w:sectPr>
          <w:pgSz w:w="12240" w:h="15840"/>
          <w:pgMar w:top="1440" w:right="1800" w:bottom="1440" w:left="1800" w:header="720" w:footer="720" w:gutter="0"/>
          <w:pgNumType w:fmt="decimal"/>
          <w:cols w:space="720" w:num="1"/>
          <w:titlePg/>
          <w:rtlGutter w:val="0"/>
          <w:docGrid w:type="lines" w:linePitch="323" w:charSpace="0"/>
        </w:sectPr>
      </w:pPr>
    </w:p>
    <w:p>
      <w:pPr>
        <w:keepNext w:val="0"/>
        <w:keepLines w:val="0"/>
        <w:pageBreakBefore w:val="0"/>
        <w:widowControl w:val="0"/>
        <w:kinsoku/>
        <w:wordWrap/>
        <w:overflowPunct/>
        <w:topLinePunct w:val="0"/>
        <w:bidi w:val="0"/>
        <w:spacing w:line="360" w:lineRule="auto"/>
        <w:ind w:left="0" w:leftChars="0" w:right="0" w:rightChars="0" w:firstLine="420" w:firstLineChars="200"/>
        <w:rPr>
          <w:rFonts w:ascii="仿宋_GB2312" w:hAnsi="仿宋_GB2312" w:eastAsia="仿宋_GB2312" w:cs="仿宋_GB2312"/>
          <w:color w:val="000000"/>
        </w:rPr>
      </w:pPr>
    </w:p>
    <w:p>
      <w:pPr>
        <w:keepNext w:val="0"/>
        <w:keepLines w:val="0"/>
        <w:pageBreakBefore w:val="0"/>
        <w:widowControl w:val="0"/>
        <w:kinsoku/>
        <w:wordWrap/>
        <w:overflowPunct/>
        <w:topLinePunct w:val="0"/>
        <w:bidi w:val="0"/>
        <w:spacing w:line="360" w:lineRule="auto"/>
        <w:ind w:left="0" w:leftChars="0" w:right="0" w:rightChars="0" w:firstLine="643" w:firstLineChars="200"/>
        <w:jc w:val="center"/>
        <w:outlineLvl w:val="0"/>
        <w:rPr>
          <w:rFonts w:ascii="黑体" w:hAnsi="宋体" w:eastAsia="黑体"/>
          <w:b/>
          <w:sz w:val="32"/>
          <w:szCs w:val="32"/>
        </w:rPr>
      </w:pPr>
      <w:bookmarkStart w:id="210" w:name="_Toc8265"/>
      <w:r>
        <w:rPr>
          <w:rFonts w:hint="eastAsia" w:ascii="黑体" w:hAnsi="宋体" w:eastAsia="黑体"/>
          <w:b/>
          <w:sz w:val="32"/>
          <w:szCs w:val="32"/>
          <w:lang w:eastAsia="zh-CN"/>
        </w:rPr>
        <w:t>七</w:t>
      </w:r>
      <w:r>
        <w:rPr>
          <w:rFonts w:hint="eastAsia" w:ascii="黑体" w:hAnsi="宋体" w:eastAsia="黑体"/>
          <w:b/>
          <w:sz w:val="32"/>
          <w:szCs w:val="32"/>
        </w:rPr>
        <w:t>、其他资料(如有)</w:t>
      </w:r>
      <w:bookmarkEnd w:id="210"/>
    </w:p>
    <w:p>
      <w:pPr>
        <w:keepNext w:val="0"/>
        <w:keepLines w:val="0"/>
        <w:pageBreakBefore w:val="0"/>
        <w:widowControl w:val="0"/>
        <w:kinsoku/>
        <w:wordWrap/>
        <w:overflowPunct/>
        <w:topLinePunct w:val="0"/>
        <w:bidi w:val="0"/>
        <w:adjustRightInd w:val="0"/>
        <w:snapToGrid w:val="0"/>
        <w:spacing w:beforeLines="50" w:line="360" w:lineRule="auto"/>
        <w:ind w:left="0" w:leftChars="0" w:right="0" w:rightChars="0" w:firstLine="560" w:firstLineChars="200"/>
        <w:jc w:val="center"/>
        <w:outlineLvl w:val="0"/>
        <w:rPr>
          <w:rFonts w:ascii="宋体" w:hAnsi="宋体"/>
          <w:sz w:val="28"/>
          <w:szCs w:val="28"/>
        </w:rPr>
      </w:pPr>
    </w:p>
    <w:p>
      <w:pPr>
        <w:keepNext w:val="0"/>
        <w:keepLines w:val="0"/>
        <w:pageBreakBefore w:val="0"/>
        <w:widowControl w:val="0"/>
        <w:kinsoku/>
        <w:wordWrap/>
        <w:overflowPunct/>
        <w:topLinePunct w:val="0"/>
        <w:bidi w:val="0"/>
        <w:adjustRightInd w:val="0"/>
        <w:snapToGrid w:val="0"/>
        <w:spacing w:beforeLines="50" w:line="360" w:lineRule="auto"/>
        <w:ind w:left="0" w:leftChars="0" w:right="0" w:rightChars="0" w:firstLine="420" w:firstLineChars="200"/>
        <w:jc w:val="center"/>
        <w:outlineLvl w:val="0"/>
        <w:rPr>
          <w:rFonts w:ascii="宋体" w:hAnsi="宋体"/>
          <w:szCs w:val="21"/>
        </w:rPr>
      </w:pPr>
      <w:bookmarkStart w:id="211" w:name="_Toc3706"/>
      <w:bookmarkStart w:id="212" w:name="_Toc15601"/>
      <w:r>
        <w:rPr>
          <w:rFonts w:hint="eastAsia" w:ascii="宋体" w:hAnsi="宋体"/>
          <w:szCs w:val="21"/>
        </w:rPr>
        <w:t>谈判单位认为需要提供的其他报价资料，格式自拟。</w:t>
      </w:r>
      <w:bookmarkEnd w:id="211"/>
      <w:bookmarkEnd w:id="212"/>
    </w:p>
    <w:sectPr>
      <w:pgSz w:w="12240" w:h="15840"/>
      <w:pgMar w:top="1440" w:right="1800" w:bottom="1440" w:left="1800" w:header="720" w:footer="720" w:gutter="0"/>
      <w:pgNumType w:fmt="decimal"/>
      <w:cols w:space="720" w:num="1"/>
      <w:titlePg/>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auto"/>
    <w:pitch w:val="default"/>
    <w:sig w:usb0="E00002FF" w:usb1="400004FF" w:usb2="00000000" w:usb3="00000000" w:csb0="2000019F"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10006FF" w:usb1="4000205B" w:usb2="00000010" w:usb3="00000000" w:csb0="2000019F" w:csb1="00000000"/>
  </w:font>
  <w:font w:name="Calisto MT">
    <w:altName w:val="Segoe Print"/>
    <w:panose1 w:val="02040603050505030304"/>
    <w:charset w:val="00"/>
    <w:family w:val="auto"/>
    <w:pitch w:val="default"/>
    <w:sig w:usb0="00000000" w:usb1="00000000" w:usb2="00000000" w:usb3="00000000" w:csb0="20000001" w:csb1="00000000"/>
  </w:font>
  <w:font w:name="华文细黑">
    <w:altName w:val="微软雅黑"/>
    <w:panose1 w:val="02010600040101010101"/>
    <w:charset w:val="86"/>
    <w:family w:val="auto"/>
    <w:pitch w:val="default"/>
    <w:sig w:usb0="00000000" w:usb1="0000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Arail">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ascii="Times New Roman" w:hAnsi="Times New Roman" w:eastAsia="宋体" w:cs="Times New Roman"/>
        <w:kern w:val="2"/>
        <w:sz w:val="18"/>
        <w:szCs w:val="18"/>
        <w:lang w:val="en-US" w:eastAsia="zh-CN" w:bidi="ar-SA"/>
      </w:rPr>
      <w:pict>
        <v:shape id="Quad Arrow 4" o:spid="_x0000_s2051"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9</w:t>
                </w:r>
                <w:r>
                  <w:rPr>
                    <w:lang w:val="zh-CN"/>
                  </w:rPr>
                  <w:fldChar w:fldCharType="end"/>
                </w:r>
              </w:p>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ascii="Times New Roman" w:hAnsi="Times New Roman" w:eastAsia="宋体" w:cs="Times New Roman"/>
        <w:kern w:val="2"/>
        <w:sz w:val="18"/>
        <w:szCs w:val="18"/>
        <w:lang w:val="en-US" w:eastAsia="zh-CN" w:bidi="ar-SA"/>
      </w:rPr>
      <w:pict>
        <v:shape id="Quad Arrow 8" o:spid="_x0000_s2057" o:spt="202" type="#_x0000_t202" style="position:absolute;left:0pt;margin-top:0pt;height:144pt;width:144pt;mso-position-horizontal:center;mso-position-horizontal-relative:margin;mso-wrap-style:none;z-index:25166950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ascii="Times New Roman" w:hAnsi="Times New Roman" w:eastAsia="宋体" w:cs="Times New Roman"/>
        <w:kern w:val="2"/>
        <w:sz w:val="18"/>
        <w:szCs w:val="18"/>
        <w:lang w:val="en-US" w:eastAsia="zh-CN" w:bidi="ar-SA"/>
      </w:rPr>
      <w:pict>
        <v:shape id="Quad Arrow 14" o:spid="_x0000_s2053" o:spt="202" type="#_x0000_t202"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ascii="Times New Roman" w:hAnsi="Times New Roman" w:eastAsia="宋体" w:cs="Times New Roman"/>
        <w:kern w:val="2"/>
        <w:sz w:val="18"/>
        <w:szCs w:val="18"/>
        <w:lang w:val="en-US" w:eastAsia="zh-CN" w:bidi="ar-SA"/>
      </w:rPr>
      <w:pict>
        <v:shape id="文本框 13" o:spid="_x0000_s2056"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ascii="Times New Roman" w:hAnsi="Times New Roman" w:eastAsia="宋体" w:cs="Times New Roman"/>
        <w:kern w:val="2"/>
        <w:sz w:val="18"/>
        <w:szCs w:val="18"/>
        <w:lang w:val="en-US" w:eastAsia="zh-CN" w:bidi="ar-SA"/>
      </w:rPr>
      <w:pict>
        <v:shape id="Quad Arrow 11" o:spid="_x0000_s2054" o:spt="202" type="#_x0000_t202"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7BCDA"/>
    <w:multiLevelType w:val="singleLevel"/>
    <w:tmpl w:val="A2B7BCDA"/>
    <w:lvl w:ilvl="0" w:tentative="0">
      <w:start w:val="3"/>
      <w:numFmt w:val="chineseCounting"/>
      <w:suff w:val="space"/>
      <w:lvlText w:val="第%1部分"/>
      <w:lvlJc w:val="left"/>
      <w:rPr>
        <w:rFonts w:hint="eastAsia"/>
      </w:rPr>
    </w:lvl>
  </w:abstractNum>
  <w:abstractNum w:abstractNumId="1">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3C0A8C9C"/>
    <w:multiLevelType w:val="singleLevel"/>
    <w:tmpl w:val="3C0A8C9C"/>
    <w:lvl w:ilvl="0" w:tentative="0">
      <w:start w:val="10"/>
      <w:numFmt w:val="decimal"/>
      <w:suff w:val="space"/>
      <w:lvlText w:val="%1、"/>
      <w:lvlJc w:val="left"/>
    </w:lvl>
  </w:abstractNum>
  <w:abstractNum w:abstractNumId="3">
    <w:nsid w:val="491E8A5F"/>
    <w:multiLevelType w:val="singleLevel"/>
    <w:tmpl w:val="491E8A5F"/>
    <w:lvl w:ilvl="0" w:tentative="0">
      <w:start w:val="4"/>
      <w:numFmt w:val="chineseCounting"/>
      <w:suff w:val="space"/>
      <w:lvlText w:val="第%1章"/>
      <w:lvlJc w:val="left"/>
      <w:rPr>
        <w:rFonts w:hint="eastAsia"/>
      </w:rPr>
    </w:lvl>
  </w:abstractNum>
  <w:abstractNum w:abstractNumId="4">
    <w:nsid w:val="59E5D341"/>
    <w:multiLevelType w:val="singleLevel"/>
    <w:tmpl w:val="59E5D341"/>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9"/>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70784A"/>
    <w:rsid w:val="00005EC9"/>
    <w:rsid w:val="00006D21"/>
    <w:rsid w:val="00016902"/>
    <w:rsid w:val="000274C6"/>
    <w:rsid w:val="00052640"/>
    <w:rsid w:val="00063D15"/>
    <w:rsid w:val="00074928"/>
    <w:rsid w:val="00091C9D"/>
    <w:rsid w:val="000C106E"/>
    <w:rsid w:val="00115FE6"/>
    <w:rsid w:val="001453A1"/>
    <w:rsid w:val="00162D59"/>
    <w:rsid w:val="00186162"/>
    <w:rsid w:val="00195655"/>
    <w:rsid w:val="001C23BF"/>
    <w:rsid w:val="002069C8"/>
    <w:rsid w:val="002139EB"/>
    <w:rsid w:val="0022188F"/>
    <w:rsid w:val="00222DFA"/>
    <w:rsid w:val="00224DF9"/>
    <w:rsid w:val="00230A1A"/>
    <w:rsid w:val="002314A3"/>
    <w:rsid w:val="002523FD"/>
    <w:rsid w:val="00255546"/>
    <w:rsid w:val="00286014"/>
    <w:rsid w:val="002B1D56"/>
    <w:rsid w:val="003102A2"/>
    <w:rsid w:val="00331810"/>
    <w:rsid w:val="00380064"/>
    <w:rsid w:val="00381105"/>
    <w:rsid w:val="003958B2"/>
    <w:rsid w:val="0039632C"/>
    <w:rsid w:val="003B1109"/>
    <w:rsid w:val="003D080C"/>
    <w:rsid w:val="003F46A7"/>
    <w:rsid w:val="004014FD"/>
    <w:rsid w:val="00423B85"/>
    <w:rsid w:val="00453EE9"/>
    <w:rsid w:val="00473865"/>
    <w:rsid w:val="0048093D"/>
    <w:rsid w:val="00495DBC"/>
    <w:rsid w:val="00495F57"/>
    <w:rsid w:val="00504DED"/>
    <w:rsid w:val="00526589"/>
    <w:rsid w:val="00545140"/>
    <w:rsid w:val="0055214F"/>
    <w:rsid w:val="005556A5"/>
    <w:rsid w:val="0056143E"/>
    <w:rsid w:val="0058754B"/>
    <w:rsid w:val="005C688B"/>
    <w:rsid w:val="005E6BBB"/>
    <w:rsid w:val="00641E72"/>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511F3"/>
    <w:rsid w:val="008B6242"/>
    <w:rsid w:val="008C7C9F"/>
    <w:rsid w:val="00915948"/>
    <w:rsid w:val="00923E97"/>
    <w:rsid w:val="00976388"/>
    <w:rsid w:val="009A5642"/>
    <w:rsid w:val="009B5270"/>
    <w:rsid w:val="009C10AF"/>
    <w:rsid w:val="009D41D7"/>
    <w:rsid w:val="009D7D4A"/>
    <w:rsid w:val="009E03FD"/>
    <w:rsid w:val="00A34DC1"/>
    <w:rsid w:val="00A41E73"/>
    <w:rsid w:val="00A618F2"/>
    <w:rsid w:val="00A61CCE"/>
    <w:rsid w:val="00A92B7C"/>
    <w:rsid w:val="00AA1709"/>
    <w:rsid w:val="00AB013C"/>
    <w:rsid w:val="00AD758B"/>
    <w:rsid w:val="00AF11ED"/>
    <w:rsid w:val="00B01BA0"/>
    <w:rsid w:val="00B51FCB"/>
    <w:rsid w:val="00B74689"/>
    <w:rsid w:val="00B82298"/>
    <w:rsid w:val="00C0069B"/>
    <w:rsid w:val="00C20479"/>
    <w:rsid w:val="00C532E5"/>
    <w:rsid w:val="00C57914"/>
    <w:rsid w:val="00C6008B"/>
    <w:rsid w:val="00C758E3"/>
    <w:rsid w:val="00CB534B"/>
    <w:rsid w:val="00CE51F2"/>
    <w:rsid w:val="00CE631C"/>
    <w:rsid w:val="00CE703D"/>
    <w:rsid w:val="00CF0192"/>
    <w:rsid w:val="00D164FE"/>
    <w:rsid w:val="00D31733"/>
    <w:rsid w:val="00D43330"/>
    <w:rsid w:val="00D84A7F"/>
    <w:rsid w:val="00DA51BD"/>
    <w:rsid w:val="00DF363F"/>
    <w:rsid w:val="00E32EEF"/>
    <w:rsid w:val="00E77817"/>
    <w:rsid w:val="00E944EE"/>
    <w:rsid w:val="00EF6911"/>
    <w:rsid w:val="00F37996"/>
    <w:rsid w:val="00F410E0"/>
    <w:rsid w:val="00F579E9"/>
    <w:rsid w:val="00FA6734"/>
    <w:rsid w:val="00FE3699"/>
    <w:rsid w:val="016E73A8"/>
    <w:rsid w:val="01DE6B70"/>
    <w:rsid w:val="02016232"/>
    <w:rsid w:val="028D51BD"/>
    <w:rsid w:val="03D609D8"/>
    <w:rsid w:val="03ED3E80"/>
    <w:rsid w:val="04072F21"/>
    <w:rsid w:val="04266FF5"/>
    <w:rsid w:val="05894214"/>
    <w:rsid w:val="062F084E"/>
    <w:rsid w:val="06C32324"/>
    <w:rsid w:val="070C59FF"/>
    <w:rsid w:val="073C0D51"/>
    <w:rsid w:val="08023E55"/>
    <w:rsid w:val="08C565F2"/>
    <w:rsid w:val="09664C98"/>
    <w:rsid w:val="097D1C20"/>
    <w:rsid w:val="097F42B9"/>
    <w:rsid w:val="09D61CB2"/>
    <w:rsid w:val="0A9A0228"/>
    <w:rsid w:val="0BF55579"/>
    <w:rsid w:val="0C164A2F"/>
    <w:rsid w:val="0D66668B"/>
    <w:rsid w:val="0DC8414C"/>
    <w:rsid w:val="0DEF2D5E"/>
    <w:rsid w:val="0E616540"/>
    <w:rsid w:val="0EE35C4D"/>
    <w:rsid w:val="0FEE6040"/>
    <w:rsid w:val="10703D88"/>
    <w:rsid w:val="110C2C29"/>
    <w:rsid w:val="11FB259E"/>
    <w:rsid w:val="12281DA5"/>
    <w:rsid w:val="123A3214"/>
    <w:rsid w:val="136544CD"/>
    <w:rsid w:val="13796109"/>
    <w:rsid w:val="1411188B"/>
    <w:rsid w:val="14AB387C"/>
    <w:rsid w:val="15D00CD9"/>
    <w:rsid w:val="15DD7FEE"/>
    <w:rsid w:val="15ED6A1A"/>
    <w:rsid w:val="18120B9A"/>
    <w:rsid w:val="184738E0"/>
    <w:rsid w:val="1893797B"/>
    <w:rsid w:val="18EB4CFD"/>
    <w:rsid w:val="19035318"/>
    <w:rsid w:val="19630DF4"/>
    <w:rsid w:val="1A80468D"/>
    <w:rsid w:val="1B2E6483"/>
    <w:rsid w:val="1B324E6A"/>
    <w:rsid w:val="1C3228C1"/>
    <w:rsid w:val="1D5C448C"/>
    <w:rsid w:val="1E981D4A"/>
    <w:rsid w:val="1EFC3574"/>
    <w:rsid w:val="1FD401CA"/>
    <w:rsid w:val="20512691"/>
    <w:rsid w:val="219C6F36"/>
    <w:rsid w:val="22001CA7"/>
    <w:rsid w:val="23217DAC"/>
    <w:rsid w:val="233E41F0"/>
    <w:rsid w:val="23540F1C"/>
    <w:rsid w:val="23E30A60"/>
    <w:rsid w:val="23F8119B"/>
    <w:rsid w:val="24967E12"/>
    <w:rsid w:val="24BC37AA"/>
    <w:rsid w:val="2658296F"/>
    <w:rsid w:val="26662701"/>
    <w:rsid w:val="267F0FB7"/>
    <w:rsid w:val="26B0428E"/>
    <w:rsid w:val="26D60619"/>
    <w:rsid w:val="26D67C30"/>
    <w:rsid w:val="273B23BD"/>
    <w:rsid w:val="27405291"/>
    <w:rsid w:val="2888133C"/>
    <w:rsid w:val="29210A38"/>
    <w:rsid w:val="2951072C"/>
    <w:rsid w:val="29AD5174"/>
    <w:rsid w:val="29FE6640"/>
    <w:rsid w:val="2A1C4185"/>
    <w:rsid w:val="2AC97A0D"/>
    <w:rsid w:val="2C074F20"/>
    <w:rsid w:val="2C162F55"/>
    <w:rsid w:val="2C3C6E9F"/>
    <w:rsid w:val="2C7627E2"/>
    <w:rsid w:val="2D0954A4"/>
    <w:rsid w:val="2D8D261C"/>
    <w:rsid w:val="2DDB7325"/>
    <w:rsid w:val="2EA33208"/>
    <w:rsid w:val="30F77CED"/>
    <w:rsid w:val="31B61A82"/>
    <w:rsid w:val="32B27CA8"/>
    <w:rsid w:val="32BC60F3"/>
    <w:rsid w:val="32F7027C"/>
    <w:rsid w:val="3326112B"/>
    <w:rsid w:val="33AB69E0"/>
    <w:rsid w:val="33BD1A5D"/>
    <w:rsid w:val="343B7C3F"/>
    <w:rsid w:val="348F0A67"/>
    <w:rsid w:val="349537D0"/>
    <w:rsid w:val="359D78EF"/>
    <w:rsid w:val="36586AB4"/>
    <w:rsid w:val="36630339"/>
    <w:rsid w:val="36E403EC"/>
    <w:rsid w:val="38907664"/>
    <w:rsid w:val="38DE4586"/>
    <w:rsid w:val="392B2144"/>
    <w:rsid w:val="393442DF"/>
    <w:rsid w:val="39E27939"/>
    <w:rsid w:val="3B235613"/>
    <w:rsid w:val="3BC74370"/>
    <w:rsid w:val="3C263F3D"/>
    <w:rsid w:val="3CB459C9"/>
    <w:rsid w:val="3D350E98"/>
    <w:rsid w:val="3E7850AB"/>
    <w:rsid w:val="3ECD75DF"/>
    <w:rsid w:val="3FED00A7"/>
    <w:rsid w:val="401F311B"/>
    <w:rsid w:val="40BE1148"/>
    <w:rsid w:val="422E542C"/>
    <w:rsid w:val="425B2511"/>
    <w:rsid w:val="42A637B4"/>
    <w:rsid w:val="434660D0"/>
    <w:rsid w:val="4431133A"/>
    <w:rsid w:val="4575004E"/>
    <w:rsid w:val="457B4715"/>
    <w:rsid w:val="45BD7EF6"/>
    <w:rsid w:val="469965DF"/>
    <w:rsid w:val="46E17929"/>
    <w:rsid w:val="48605FB4"/>
    <w:rsid w:val="4A164FC6"/>
    <w:rsid w:val="4AC5638E"/>
    <w:rsid w:val="4BC844E4"/>
    <w:rsid w:val="4CF400BB"/>
    <w:rsid w:val="4D40298C"/>
    <w:rsid w:val="4D6E4698"/>
    <w:rsid w:val="4DB24FC1"/>
    <w:rsid w:val="4E8548FC"/>
    <w:rsid w:val="4EC90D3E"/>
    <w:rsid w:val="4EEF295D"/>
    <w:rsid w:val="4F792F65"/>
    <w:rsid w:val="51322546"/>
    <w:rsid w:val="51482C9B"/>
    <w:rsid w:val="522D2330"/>
    <w:rsid w:val="52F421A7"/>
    <w:rsid w:val="5322696F"/>
    <w:rsid w:val="5444354A"/>
    <w:rsid w:val="548A000A"/>
    <w:rsid w:val="550C1056"/>
    <w:rsid w:val="56C20F2D"/>
    <w:rsid w:val="57477B2B"/>
    <w:rsid w:val="574F0046"/>
    <w:rsid w:val="57C86EED"/>
    <w:rsid w:val="583D5903"/>
    <w:rsid w:val="58F11BFD"/>
    <w:rsid w:val="596D221D"/>
    <w:rsid w:val="598409DC"/>
    <w:rsid w:val="59BC25A2"/>
    <w:rsid w:val="59D37CF1"/>
    <w:rsid w:val="5AA747AA"/>
    <w:rsid w:val="5ADF6442"/>
    <w:rsid w:val="5B1146F6"/>
    <w:rsid w:val="5B1D7FDB"/>
    <w:rsid w:val="5B95287A"/>
    <w:rsid w:val="5C524815"/>
    <w:rsid w:val="5CDA0CDF"/>
    <w:rsid w:val="5D396783"/>
    <w:rsid w:val="5D481133"/>
    <w:rsid w:val="5D4F4FA5"/>
    <w:rsid w:val="5DA1750E"/>
    <w:rsid w:val="5EB1616D"/>
    <w:rsid w:val="60F765D6"/>
    <w:rsid w:val="61583AE8"/>
    <w:rsid w:val="624A6D8F"/>
    <w:rsid w:val="62A85CDD"/>
    <w:rsid w:val="62CC2A90"/>
    <w:rsid w:val="62E35C5C"/>
    <w:rsid w:val="632A666E"/>
    <w:rsid w:val="6336440C"/>
    <w:rsid w:val="643A1B9E"/>
    <w:rsid w:val="64546A26"/>
    <w:rsid w:val="65D24928"/>
    <w:rsid w:val="65E83D26"/>
    <w:rsid w:val="65FC519A"/>
    <w:rsid w:val="66585984"/>
    <w:rsid w:val="670D79CE"/>
    <w:rsid w:val="67392F67"/>
    <w:rsid w:val="673B1F5E"/>
    <w:rsid w:val="677F4A59"/>
    <w:rsid w:val="685925FD"/>
    <w:rsid w:val="69CE2E46"/>
    <w:rsid w:val="69EF1903"/>
    <w:rsid w:val="6A636C96"/>
    <w:rsid w:val="6ABE21AD"/>
    <w:rsid w:val="6B776B5F"/>
    <w:rsid w:val="6B96184C"/>
    <w:rsid w:val="6B9A5005"/>
    <w:rsid w:val="6CED62AE"/>
    <w:rsid w:val="6CF25E26"/>
    <w:rsid w:val="6F6A71BB"/>
    <w:rsid w:val="6F850583"/>
    <w:rsid w:val="6FBC3B21"/>
    <w:rsid w:val="6FF33E1A"/>
    <w:rsid w:val="702F5C21"/>
    <w:rsid w:val="710E6F5D"/>
    <w:rsid w:val="71252D0C"/>
    <w:rsid w:val="71E4774E"/>
    <w:rsid w:val="730A11F0"/>
    <w:rsid w:val="738F320C"/>
    <w:rsid w:val="73952AC6"/>
    <w:rsid w:val="74410A18"/>
    <w:rsid w:val="760667A9"/>
    <w:rsid w:val="76660401"/>
    <w:rsid w:val="76B624F7"/>
    <w:rsid w:val="770C4A8E"/>
    <w:rsid w:val="77684BEC"/>
    <w:rsid w:val="781264F1"/>
    <w:rsid w:val="791D1490"/>
    <w:rsid w:val="79547B6C"/>
    <w:rsid w:val="79EE69A0"/>
    <w:rsid w:val="7A375F45"/>
    <w:rsid w:val="7A8377CB"/>
    <w:rsid w:val="7A851190"/>
    <w:rsid w:val="7AB93CAD"/>
    <w:rsid w:val="7AD51802"/>
    <w:rsid w:val="7B625890"/>
    <w:rsid w:val="7C996C5E"/>
    <w:rsid w:val="7D3149F1"/>
    <w:rsid w:val="7D920E34"/>
    <w:rsid w:val="7DAE2B75"/>
    <w:rsid w:val="7DDC42F1"/>
    <w:rsid w:val="7DF00C43"/>
    <w:rsid w:val="7E3A378B"/>
    <w:rsid w:val="7E5343A3"/>
    <w:rsid w:val="7E5366E5"/>
    <w:rsid w:val="7FAF69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unhideWhenUsed/>
    <w:qFormat/>
    <w:uiPriority w:val="1"/>
  </w:style>
  <w:style w:type="table" w:default="1" w:styleId="46">
    <w:name w:val="Normal Table"/>
    <w:unhideWhenUsed/>
    <w:qFormat/>
    <w:uiPriority w:val="99"/>
    <w:pPr>
      <w:widowControl/>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99"/>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0"/>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0"/>
    <w:pPr>
      <w:widowControl w:val="0"/>
      <w:jc w:val="both"/>
    </w:pPr>
    <w:rPr>
      <w:rFonts w:ascii="宋体" w:hAnsi="宋体" w:eastAsia="宋体" w:cs="宋体"/>
      <w:color w:val="000000"/>
      <w:kern w:val="2"/>
      <w:sz w:val="21"/>
      <w:szCs w:val="21"/>
      <w:u w:val="none"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No Spacing"/>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List Paragraph"/>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basedOn w:val="48"/>
    <w:link w:val="31"/>
    <w:qFormat/>
    <w:uiPriority w:val="0"/>
    <w:rPr>
      <w:sz w:val="18"/>
      <w:szCs w:val="18"/>
    </w:rPr>
  </w:style>
  <w:style w:type="character" w:customStyle="1" w:styleId="217">
    <w:name w:val="页脚 Char"/>
    <w:basedOn w:val="48"/>
    <w:link w:val="30"/>
    <w:qFormat/>
    <w:uiPriority w:val="0"/>
    <w:rPr>
      <w:sz w:val="18"/>
      <w:szCs w:val="18"/>
    </w:rPr>
  </w:style>
  <w:style w:type="character" w:customStyle="1" w:styleId="218">
    <w:name w:val="标题 1 Char1"/>
    <w:basedOn w:val="48"/>
    <w:link w:val="3"/>
    <w:qFormat/>
    <w:uiPriority w:val="0"/>
    <w:rPr>
      <w:rFonts w:ascii="Times New Roman" w:hAnsi="Times New Roman" w:eastAsia="宋体" w:cs="Times New Roman"/>
      <w:b/>
      <w:bCs/>
      <w:kern w:val="0"/>
      <w:sz w:val="24"/>
      <w:szCs w:val="20"/>
    </w:rPr>
  </w:style>
  <w:style w:type="character" w:customStyle="1" w:styleId="219">
    <w:name w:val="标题 2 Char1"/>
    <w:basedOn w:val="48"/>
    <w:link w:val="4"/>
    <w:qFormat/>
    <w:uiPriority w:val="0"/>
    <w:rPr>
      <w:rFonts w:ascii="Arial" w:hAnsi="Arial" w:eastAsia="宋体" w:cs="Times New Roman"/>
      <w:b/>
      <w:bCs/>
      <w:kern w:val="0"/>
      <w:sz w:val="24"/>
      <w:szCs w:val="32"/>
    </w:rPr>
  </w:style>
  <w:style w:type="character" w:customStyle="1" w:styleId="220">
    <w:name w:val="标题 3 Char1"/>
    <w:basedOn w:val="48"/>
    <w:link w:val="5"/>
    <w:qFormat/>
    <w:uiPriority w:val="0"/>
    <w:rPr>
      <w:rFonts w:ascii="Times New Roman" w:hAnsi="Times New Roman" w:eastAsia="宋体" w:cs="Times New Roman"/>
      <w:b/>
      <w:bCs/>
      <w:kern w:val="0"/>
      <w:sz w:val="32"/>
      <w:szCs w:val="32"/>
    </w:rPr>
  </w:style>
  <w:style w:type="character" w:customStyle="1" w:styleId="221">
    <w:name w:val="标题 4 Char1"/>
    <w:basedOn w:val="48"/>
    <w:link w:val="6"/>
    <w:qFormat/>
    <w:uiPriority w:val="0"/>
    <w:rPr>
      <w:rFonts w:ascii="Arial" w:hAnsi="Arial" w:eastAsia="黑体" w:cs="Times New Roman"/>
      <w:b/>
      <w:bCs/>
      <w:kern w:val="0"/>
      <w:sz w:val="28"/>
      <w:szCs w:val="28"/>
    </w:rPr>
  </w:style>
  <w:style w:type="character" w:customStyle="1" w:styleId="222">
    <w:name w:val="标题 5 Char1"/>
    <w:basedOn w:val="48"/>
    <w:link w:val="7"/>
    <w:qFormat/>
    <w:uiPriority w:val="0"/>
    <w:rPr>
      <w:rFonts w:ascii="Times New Roman" w:hAnsi="Times New Roman" w:eastAsia="宋体" w:cs="Times New Roman"/>
      <w:b/>
      <w:bCs/>
      <w:kern w:val="0"/>
      <w:sz w:val="28"/>
      <w:szCs w:val="28"/>
    </w:rPr>
  </w:style>
  <w:style w:type="character" w:customStyle="1" w:styleId="223">
    <w:name w:val="标题 6 Char1"/>
    <w:basedOn w:val="48"/>
    <w:link w:val="8"/>
    <w:qFormat/>
    <w:uiPriority w:val="0"/>
    <w:rPr>
      <w:rFonts w:ascii="Arial" w:hAnsi="Arial" w:eastAsia="黑体" w:cs="Times New Roman"/>
      <w:b/>
      <w:bCs/>
      <w:kern w:val="0"/>
      <w:sz w:val="24"/>
      <w:szCs w:val="24"/>
    </w:rPr>
  </w:style>
  <w:style w:type="character" w:customStyle="1" w:styleId="224">
    <w:name w:val="标题 7 Char1"/>
    <w:basedOn w:val="48"/>
    <w:link w:val="9"/>
    <w:qFormat/>
    <w:uiPriority w:val="0"/>
    <w:rPr>
      <w:rFonts w:ascii="Times New Roman" w:hAnsi="Times New Roman" w:eastAsia="宋体" w:cs="Times New Roman"/>
      <w:b/>
      <w:bCs/>
      <w:kern w:val="0"/>
      <w:sz w:val="24"/>
      <w:szCs w:val="24"/>
    </w:rPr>
  </w:style>
  <w:style w:type="character" w:customStyle="1" w:styleId="225">
    <w:name w:val="标题 8 Char1"/>
    <w:basedOn w:val="48"/>
    <w:link w:val="10"/>
    <w:qFormat/>
    <w:uiPriority w:val="0"/>
    <w:rPr>
      <w:rFonts w:ascii="Arial" w:hAnsi="Arial" w:eastAsia="黑体" w:cs="Times New Roman"/>
      <w:kern w:val="0"/>
      <w:sz w:val="24"/>
      <w:szCs w:val="24"/>
    </w:rPr>
  </w:style>
  <w:style w:type="character" w:customStyle="1" w:styleId="226">
    <w:name w:val="标题 9 Char1"/>
    <w:basedOn w:val="48"/>
    <w:link w:val="11"/>
    <w:qFormat/>
    <w:uiPriority w:val="0"/>
    <w:rPr>
      <w:rFonts w:ascii="Arial" w:hAnsi="Arial" w:eastAsia="黑体" w:cs="Times New Roman"/>
      <w:kern w:val="0"/>
      <w:sz w:val="20"/>
      <w:szCs w:val="21"/>
    </w:rPr>
  </w:style>
  <w:style w:type="character" w:customStyle="1" w:styleId="227">
    <w:name w:val="正文文本 2 Char"/>
    <w:basedOn w:val="48"/>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0"/>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basedOn w:val="48"/>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basedOn w:val="48"/>
    <w:link w:val="43"/>
    <w:qFormat/>
    <w:uiPriority w:val="0"/>
    <w:rPr>
      <w:rFonts w:ascii="Cambria" w:hAnsi="Cambria" w:eastAsia="宋体" w:cs="Times New Roman"/>
      <w:b/>
      <w:sz w:val="32"/>
      <w:szCs w:val="24"/>
    </w:rPr>
  </w:style>
  <w:style w:type="character" w:customStyle="1" w:styleId="255">
    <w:name w:val="正文文本缩进 2 Char"/>
    <w:basedOn w:val="48"/>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basedOn w:val="48"/>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Char"/>
    <w:basedOn w:val="48"/>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basedOn w:val="48"/>
    <w:link w:val="40"/>
    <w:qFormat/>
    <w:uiPriority w:val="0"/>
    <w:rPr>
      <w:rFonts w:ascii="Arial" w:hAnsi="Arial" w:eastAsia="宋体" w:cs="Arial"/>
      <w:kern w:val="0"/>
      <w:sz w:val="24"/>
      <w:szCs w:val="24"/>
    </w:rPr>
  </w:style>
  <w:style w:type="character" w:customStyle="1" w:styleId="268">
    <w:name w:val="称呼 Char"/>
    <w:basedOn w:val="48"/>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basedOn w:val="48"/>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basedOn w:val="48"/>
    <w:link w:val="34"/>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首行缩进 Char"/>
    <w:basedOn w:val="326"/>
    <w:link w:val="45"/>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1" textRotate="1"/>
    <customShpInfo spid="_x0000_s2057" textRotate="1"/>
    <customShpInfo spid="_x0000_s2053" textRotate="1"/>
    <customShpInfo spid="_x0000_s2056" textRotate="1"/>
    <customShpInfo spid="_x0000_s2054" textRotate="1"/>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2290</Words>
  <Characters>13056</Characters>
  <Lines>108</Lines>
  <Paragraphs>30</Paragraphs>
  <TotalTime>164</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2018-06-05T08:48:00Z</dcterms:created>
  <dc:creator>李 毅</dc:creator>
  <cp:lastModifiedBy>Administrator</cp:lastModifiedBy>
  <cp:lastPrinted>2019-07-25T06:26:00Z</cp:lastPrinted>
  <dcterms:modified xsi:type="dcterms:W3CDTF">2019-09-16T06:07:22Z</dcterms:modified>
  <dc:title>长沙市轨道交通运营有限公司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