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rPr>
      </w:pPr>
    </w:p>
    <w:p>
      <w:pPr>
        <w:pStyle w:val="25"/>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adjustRightInd w:val="0"/>
        <w:snapToGrid w:val="0"/>
        <w:spacing w:before="161"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长沙市轨道交通3、4、5号线运营期2020年-2021年特种设备（起重机械类、场内专用机动车辆类）委外维修保养项目</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ascii="宋体" w:hAnsi="宋体" w:cs="Courier New"/>
          <w:b/>
          <w:sz w:val="32"/>
          <w:szCs w:val="21"/>
          <w:u w:val="single"/>
        </w:rPr>
        <w:t>长沙市轨道交通</w:t>
      </w:r>
      <w:r>
        <w:rPr>
          <w:rFonts w:hint="eastAsia" w:ascii="宋体" w:hAnsi="宋体" w:cs="Courier New"/>
          <w:b/>
          <w:sz w:val="32"/>
          <w:szCs w:val="21"/>
          <w:u w:val="single"/>
        </w:rPr>
        <w:t>三号线建设发展有限公司</w:t>
      </w:r>
    </w:p>
    <w:p>
      <w:pPr>
        <w:pStyle w:val="2"/>
        <w:ind w:firstLine="1928" w:firstLineChars="600"/>
        <w:rPr>
          <w:rFonts w:ascii="宋体" w:hAnsi="宋体" w:cs="Courier New"/>
          <w:b/>
          <w:sz w:val="32"/>
          <w:szCs w:val="21"/>
          <w:u w:val="single"/>
        </w:rPr>
      </w:pPr>
      <w:r>
        <w:rPr>
          <w:rFonts w:ascii="宋体" w:hAnsi="宋体" w:cs="Courier New"/>
          <w:b/>
          <w:sz w:val="32"/>
          <w:szCs w:val="21"/>
          <w:u w:val="single"/>
        </w:rPr>
        <w:t>长沙市轨道交通</w:t>
      </w:r>
      <w:r>
        <w:rPr>
          <w:rFonts w:hint="eastAsia" w:ascii="宋体" w:hAnsi="宋体" w:cs="Courier New"/>
          <w:b/>
          <w:sz w:val="32"/>
          <w:szCs w:val="21"/>
          <w:u w:val="single"/>
        </w:rPr>
        <w:t>四号线建设发展有限公司</w:t>
      </w:r>
    </w:p>
    <w:p>
      <w:pPr>
        <w:ind w:firstLine="2249" w:firstLineChars="700"/>
      </w:pPr>
      <w:r>
        <w:rPr>
          <w:rFonts w:ascii="宋体" w:hAnsi="宋体" w:cs="Courier New"/>
          <w:b/>
          <w:sz w:val="32"/>
          <w:szCs w:val="21"/>
          <w:u w:val="single"/>
        </w:rPr>
        <w:t>长沙市轨道交通</w:t>
      </w:r>
      <w:r>
        <w:rPr>
          <w:rFonts w:hint="eastAsia" w:ascii="宋体" w:hAnsi="宋体" w:cs="Courier New"/>
          <w:b/>
          <w:sz w:val="32"/>
          <w:szCs w:val="21"/>
          <w:u w:val="single"/>
        </w:rPr>
        <w:t>五号线建设发展有限公司</w:t>
      </w:r>
    </w:p>
    <w:p>
      <w:pPr>
        <w:pStyle w:val="45"/>
        <w:spacing w:line="360" w:lineRule="auto"/>
        <w:ind w:firstLine="0" w:firstLineChars="0"/>
      </w:pPr>
      <w:r>
        <w:rPr>
          <w:rFonts w:hint="eastAsia"/>
        </w:rPr>
        <w:t xml:space="preserve"> </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谈判项目编号：</w:t>
      </w:r>
      <w:r>
        <w:rPr>
          <w:rFonts w:hint="eastAsia" w:ascii="宋体" w:hAnsi="宋体" w:cs="Courier New"/>
          <w:b/>
          <w:sz w:val="32"/>
          <w:szCs w:val="21"/>
          <w:u w:val="single"/>
        </w:rPr>
        <w:t>长轨运服采【2019】25号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十二</w:t>
      </w:r>
      <w:r>
        <w:rPr>
          <w:rFonts w:hint="eastAsia" w:hAnsi="宋体"/>
          <w:b/>
          <w:sz w:val="32"/>
        </w:rPr>
        <w:t>月</w:t>
      </w:r>
    </w:p>
    <w:p>
      <w:pPr>
        <w:pStyle w:val="25"/>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rPr>
          <w:rFonts w:hint="eastAsia"/>
        </w:rPr>
      </w:pPr>
      <w:bookmarkStart w:id="0" w:name="_Toc18373"/>
      <w:bookmarkStart w:id="1" w:name="_Toc14263"/>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rPr>
        <w:fldChar w:fldCharType="begin"/>
      </w:r>
      <w:r>
        <w:rPr>
          <w:rFonts w:hint="eastAsia"/>
        </w:rPr>
        <w:instrText xml:space="preserve">TOC \o "1-2" \h \u </w:instrText>
      </w:r>
      <w:r>
        <w:rPr>
          <w:rFonts w:hint="eastAsia"/>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_Toc27897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_Toc27897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_Toc3321 </w:instrText>
      </w:r>
      <w:r>
        <w:rPr>
          <w:rFonts w:hint="eastAsia" w:ascii="宋体" w:hAnsi="宋体" w:eastAsia="宋体" w:cs="宋体"/>
        </w:rPr>
        <w:fldChar w:fldCharType="separate"/>
      </w:r>
      <w:r>
        <w:rPr>
          <w:rFonts w:hint="eastAsia" w:ascii="宋体" w:hAnsi="宋体" w:eastAsia="宋体" w:cs="宋体"/>
          <w:bCs w:val="0"/>
          <w:szCs w:val="32"/>
        </w:rPr>
        <w:t>第二章  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_Toc3321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_Toc9091 </w:instrText>
      </w:r>
      <w:r>
        <w:rPr>
          <w:rFonts w:hint="eastAsia" w:ascii="宋体" w:hAnsi="宋体" w:eastAsia="宋体" w:cs="宋体"/>
        </w:rPr>
        <w:fldChar w:fldCharType="separate"/>
      </w:r>
      <w:r>
        <w:rPr>
          <w:rFonts w:hint="eastAsia" w:ascii="宋体" w:hAnsi="宋体" w:eastAsia="宋体" w:cs="宋体"/>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_Toc9091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_Toc2613 </w:instrText>
      </w:r>
      <w:r>
        <w:rPr>
          <w:rFonts w:hint="eastAsia" w:ascii="宋体" w:hAnsi="宋体" w:eastAsia="宋体" w:cs="宋体"/>
        </w:rPr>
        <w:fldChar w:fldCharType="separate"/>
      </w:r>
      <w:r>
        <w:rPr>
          <w:rFonts w:hint="eastAsia" w:ascii="宋体" w:hAnsi="宋体" w:eastAsia="宋体" w:cs="宋体"/>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_Toc27999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_Toc27999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_Toc31632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_Toc31632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_Toc29091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_Toc29091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_Toc5736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_Toc5736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_Toc6220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_Toc6220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_Toc29306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_Toc29306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_Toc29452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_Toc29452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_Toc30707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_Toc30707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_Toc31132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_Toc31132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_Toc5878 </w:instrText>
      </w:r>
      <w:r>
        <w:rPr>
          <w:rFonts w:hint="eastAsia" w:ascii="宋体" w:hAnsi="宋体" w:eastAsia="宋体" w:cs="宋体"/>
        </w:rPr>
        <w:fldChar w:fldCharType="separate"/>
      </w:r>
      <w:r>
        <w:rPr>
          <w:rFonts w:hint="eastAsia" w:ascii="宋体" w:hAnsi="宋体" w:eastAsia="宋体" w:cs="宋体"/>
          <w:bCs w:val="0"/>
          <w:szCs w:val="32"/>
        </w:rPr>
        <w:t>第四章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_Toc5878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_Toc7576 </w:instrText>
      </w:r>
      <w:r>
        <w:rPr>
          <w:rFonts w:hint="eastAsia" w:ascii="宋体" w:hAnsi="宋体" w:eastAsia="宋体" w:cs="宋体"/>
        </w:rPr>
        <w:fldChar w:fldCharType="separate"/>
      </w:r>
      <w:r>
        <w:rPr>
          <w:rFonts w:hint="eastAsia" w:ascii="宋体" w:hAnsi="宋体" w:eastAsia="宋体" w:cs="宋体"/>
          <w:bCs w:val="0"/>
          <w:szCs w:val="32"/>
        </w:rPr>
        <w:t>第五章  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_Toc7576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_Toc23700 </w:instrText>
      </w:r>
      <w:r>
        <w:rPr>
          <w:rFonts w:hint="eastAsia" w:ascii="宋体" w:hAnsi="宋体" w:eastAsia="宋体" w:cs="宋体"/>
        </w:rPr>
        <w:fldChar w:fldCharType="separate"/>
      </w:r>
      <w:r>
        <w:rPr>
          <w:rFonts w:hint="eastAsia" w:ascii="宋体" w:hAnsi="宋体" w:eastAsia="宋体" w:cs="宋体"/>
          <w:bCs w:val="0"/>
          <w:szCs w:val="32"/>
        </w:rPr>
        <w:t>第六章  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_Toc23700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_Toc6695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_Toc6695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_Toc22601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_Toc22601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_Toc17922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_Toc17922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_Toc7790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_Toc7790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_Toc8854 </w:instrText>
      </w:r>
      <w:r>
        <w:rPr>
          <w:rFonts w:hint="eastAsia" w:ascii="宋体" w:hAnsi="宋体" w:eastAsia="宋体" w:cs="宋体"/>
        </w:rPr>
        <w:fldChar w:fldCharType="separate"/>
      </w:r>
      <w:r>
        <w:rPr>
          <w:rFonts w:hint="eastAsia" w:ascii="宋体" w:hAnsi="宋体" w:eastAsia="宋体" w:cs="宋体"/>
          <w:szCs w:val="32"/>
        </w:rPr>
        <w:t>五、</w:t>
      </w:r>
      <w:r>
        <w:rPr>
          <w:rFonts w:hint="eastAsia" w:ascii="宋体" w:hAnsi="宋体" w:eastAsia="宋体" w:cs="宋体"/>
          <w:bCs/>
          <w:szCs w:val="32"/>
        </w:rPr>
        <w:t>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_Toc8854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_Toc22346 </w:instrText>
      </w:r>
      <w:r>
        <w:rPr>
          <w:rFonts w:hint="eastAsia" w:ascii="宋体" w:hAnsi="宋体" w:eastAsia="宋体" w:cs="宋体"/>
        </w:rPr>
        <w:fldChar w:fldCharType="separate"/>
      </w:r>
      <w:r>
        <w:rPr>
          <w:rFonts w:hint="eastAsia" w:ascii="宋体" w:hAnsi="宋体" w:eastAsia="宋体" w:cs="宋体"/>
          <w:bCs/>
          <w:szCs w:val="32"/>
        </w:rPr>
        <w:t>六、报价一览表(一标段)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_Toc22346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_Toc1964 </w:instrText>
      </w:r>
      <w:r>
        <w:rPr>
          <w:rFonts w:hint="eastAsia" w:ascii="宋体" w:hAnsi="宋体" w:eastAsia="宋体" w:cs="宋体"/>
        </w:rPr>
        <w:fldChar w:fldCharType="separate"/>
      </w:r>
      <w:r>
        <w:rPr>
          <w:rFonts w:hint="eastAsia" w:ascii="宋体" w:hAnsi="宋体" w:cs="宋体"/>
          <w:szCs w:val="32"/>
          <w:lang w:val="en-US" w:eastAsia="zh-CN"/>
        </w:rPr>
        <w:t>七</w:t>
      </w:r>
      <w:r>
        <w:rPr>
          <w:rFonts w:hint="eastAsia" w:ascii="宋体" w:hAnsi="宋体" w:eastAsia="宋体" w:cs="宋体"/>
          <w:szCs w:val="32"/>
        </w:rPr>
        <w:t>、其他资料(如有)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_Toc1964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cs="宋体"/>
          <w:lang w:val="en-US" w:eastAsia="zh-CN"/>
        </w:rPr>
        <w:t>0</w:t>
      </w:r>
      <w:r>
        <w:rPr>
          <w:rFonts w:hint="eastAsia" w:ascii="宋体" w:hAnsi="宋体" w:eastAsia="宋体" w:cs="宋体"/>
        </w:rPr>
        <w:fldChar w:fldCharType="end"/>
      </w:r>
      <w:r>
        <w:rPr>
          <w:rFonts w:hint="eastAsia" w:ascii="宋体" w:hAnsi="宋体" w:eastAsia="宋体" w:cs="宋体"/>
        </w:rPr>
        <w:fldChar w:fldCharType="end"/>
      </w:r>
    </w:p>
    <w:p>
      <w:pPr>
        <w:rPr>
          <w:rFonts w:hint="eastAsia"/>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rPr>
        <w:fldChar w:fldCharType="end"/>
      </w:r>
    </w:p>
    <w:p>
      <w:pPr>
        <w:pStyle w:val="3"/>
        <w:keepNext w:val="0"/>
        <w:spacing w:line="360" w:lineRule="auto"/>
        <w:ind w:firstLine="643" w:firstLineChars="200"/>
        <w:rPr>
          <w:rFonts w:ascii="宋体" w:hAnsi="宋体" w:cs="宋体"/>
          <w:sz w:val="32"/>
          <w:szCs w:val="32"/>
        </w:rPr>
      </w:pPr>
      <w:bookmarkStart w:id="2" w:name="_Toc27897"/>
      <w:r>
        <w:rPr>
          <w:rFonts w:hint="eastAsia" w:ascii="宋体" w:hAnsi="宋体" w:cs="宋体"/>
          <w:sz w:val="32"/>
          <w:szCs w:val="32"/>
        </w:rPr>
        <w:t>第一章  谈判邀请公告</w:t>
      </w:r>
      <w:bookmarkEnd w:id="0"/>
      <w:bookmarkEnd w:id="1"/>
      <w:bookmarkEnd w:id="2"/>
    </w:p>
    <w:p>
      <w:pPr>
        <w:spacing w:line="360" w:lineRule="auto"/>
        <w:ind w:firstLine="420" w:firstLineChars="200"/>
        <w:jc w:val="left"/>
        <w:rPr>
          <w:rFonts w:ascii="宋体" w:hAnsi="宋体" w:cs="宋体"/>
          <w:iCs/>
          <w:u w:val="single"/>
        </w:rPr>
      </w:pPr>
      <w:r>
        <w:rPr>
          <w:rFonts w:ascii="宋体"/>
          <w:color w:val="000000"/>
          <w:u w:val="single"/>
        </w:rPr>
        <w:t>湖南龙武工程项目管理有限公司</w:t>
      </w:r>
      <w:r>
        <w:rPr>
          <w:rFonts w:hint="eastAsia" w:ascii="宋体" w:hAnsi="宋体" w:cs="宋体"/>
        </w:rPr>
        <w:t>受</w:t>
      </w:r>
      <w:r>
        <w:rPr>
          <w:rFonts w:hint="eastAsia" w:ascii="宋体"/>
          <w:color w:val="000000"/>
          <w:u w:val="single"/>
        </w:rPr>
        <w:t>长沙市轨道交通三号线建设发展有限公司、长沙市轨道交通四号线建设发展有限公司、长沙市轨道交通五号线建设发展有限公司</w:t>
      </w:r>
      <w:r>
        <w:rPr>
          <w:rFonts w:hint="eastAsia" w:ascii="宋体" w:hAnsi="宋体" w:cs="宋体"/>
        </w:rPr>
        <w:t>的委托，</w:t>
      </w:r>
      <w:r>
        <w:rPr>
          <w:rFonts w:hint="eastAsia" w:ascii="宋体" w:hAnsi="宋体" w:cs="宋体"/>
          <w:iCs/>
        </w:rPr>
        <w:t>对</w:t>
      </w:r>
      <w:r>
        <w:rPr>
          <w:rFonts w:hint="eastAsia" w:ascii="宋体" w:hAnsi="宋体" w:cs="宋体"/>
          <w:szCs w:val="21"/>
          <w:u w:val="single"/>
        </w:rPr>
        <w:t>长沙市轨道交通3、4、5号线运营期2020年-2021年特种设备（起重机械类、场内专用机动车辆类）委外维修保养项目</w:t>
      </w:r>
      <w:r>
        <w:rPr>
          <w:rFonts w:hint="eastAsia" w:ascii="宋体" w:hAnsi="宋体" w:cs="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u w:val="single"/>
        </w:rPr>
      </w:pPr>
      <w:r>
        <w:rPr>
          <w:rFonts w:hint="eastAsia" w:hAnsi="宋体" w:cs="宋体"/>
          <w:iCs/>
        </w:rPr>
        <w:t>1.项目名称：</w:t>
      </w:r>
      <w:r>
        <w:rPr>
          <w:rFonts w:hint="eastAsia" w:hAnsi="宋体" w:cs="宋体"/>
          <w:u w:val="single"/>
        </w:rPr>
        <w:t>长沙市轨道交通3、4、5号线运营期2020年-2021年特种设备（起重机械类、场内专用机动车辆类）委外维修保养项目</w:t>
      </w:r>
    </w:p>
    <w:p>
      <w:pPr>
        <w:pStyle w:val="25"/>
        <w:adjustRightInd w:val="0"/>
        <w:snapToGrid w:val="0"/>
        <w:spacing w:line="360" w:lineRule="auto"/>
        <w:ind w:firstLine="420" w:firstLineChars="200"/>
        <w:rPr>
          <w:rFonts w:hAnsi="宋体" w:cs="宋体"/>
          <w:iCs/>
        </w:rPr>
      </w:pPr>
      <w:r>
        <w:rPr>
          <w:rFonts w:hint="eastAsia" w:hAnsi="宋体" w:cs="宋体"/>
          <w:iCs/>
        </w:rPr>
        <w:t>2.谈判</w:t>
      </w:r>
      <w:r>
        <w:rPr>
          <w:rFonts w:hint="eastAsia"/>
        </w:rPr>
        <w:t>最高投标限价</w:t>
      </w:r>
      <w:r>
        <w:rPr>
          <w:rFonts w:hint="eastAsia" w:hAnsi="宋体" w:cs="宋体"/>
          <w:iCs/>
        </w:rPr>
        <w:t xml:space="preserve">： </w:t>
      </w:r>
      <w:r>
        <w:rPr>
          <w:rFonts w:hint="eastAsia" w:hAnsi="宋体" w:cs="宋体"/>
        </w:rPr>
        <w:t>582153.00</w:t>
      </w:r>
      <w:r>
        <w:rPr>
          <w:rFonts w:hint="eastAsia" w:hAnsi="宋体" w:cs="宋体"/>
          <w:iCs/>
        </w:rPr>
        <w:t>元  其中第一标段：</w:t>
      </w:r>
      <w:r>
        <w:rPr>
          <w:rFonts w:hint="eastAsia" w:hAnsi="宋体" w:cs="宋体"/>
        </w:rPr>
        <w:t>181870.00</w:t>
      </w:r>
      <w:r>
        <w:rPr>
          <w:rFonts w:hint="eastAsia" w:hAnsi="宋体" w:cs="宋体"/>
          <w:iCs/>
        </w:rPr>
        <w:t>元；第二标段：</w:t>
      </w:r>
      <w:r>
        <w:rPr>
          <w:rFonts w:hint="eastAsia" w:hAnsi="宋体" w:cs="宋体"/>
        </w:rPr>
        <w:t>400283.00</w:t>
      </w:r>
      <w:r>
        <w:rPr>
          <w:rFonts w:hint="eastAsia" w:hAnsi="宋体" w:cs="宋体"/>
          <w:iCs/>
        </w:rPr>
        <w:t>元。</w:t>
      </w:r>
    </w:p>
    <w:p>
      <w:pPr>
        <w:spacing w:line="360" w:lineRule="auto"/>
        <w:ind w:firstLine="420" w:firstLineChars="200"/>
        <w:jc w:val="left"/>
        <w:rPr>
          <w:rFonts w:ascii="宋体" w:hAnsi="宋体" w:cs="宋体"/>
          <w:iCs/>
          <w:u w:val="single"/>
        </w:rPr>
      </w:pPr>
      <w:r>
        <w:rPr>
          <w:rFonts w:hint="eastAsia" w:ascii="宋体" w:hAnsi="宋体" w:cs="宋体"/>
          <w:iCs/>
          <w:szCs w:val="21"/>
        </w:rPr>
        <w:t>3.谈判内容：</w:t>
      </w:r>
      <w:r>
        <w:rPr>
          <w:rFonts w:hint="eastAsia" w:ascii="宋体" w:hAnsi="宋体" w:cs="宋体"/>
          <w:color w:val="000000"/>
          <w:szCs w:val="21"/>
        </w:rPr>
        <w:t>主要为长沙市轨道交通5号线运营期特种设备起重机、移动式空压机类设备委外维修保养，</w:t>
      </w:r>
      <w:r>
        <w:rPr>
          <w:rFonts w:hint="eastAsia" w:ascii="宋体" w:hAnsi="宋体" w:cs="宋体"/>
          <w:szCs w:val="21"/>
        </w:rPr>
        <w:t>长沙市轨道交通3、4、5号线运营期特种设备场内机动车类委外维修保养。</w:t>
      </w:r>
      <w:r>
        <w:rPr>
          <w:rFonts w:hint="eastAsia" w:ascii="宋体" w:hAnsi="宋体" w:cs="宋体"/>
          <w:iCs/>
          <w:szCs w:val="21"/>
        </w:rPr>
        <w:t>（具体详见用户需求书）</w:t>
      </w:r>
    </w:p>
    <w:p>
      <w:pPr>
        <w:spacing w:line="360" w:lineRule="auto"/>
        <w:ind w:firstLine="420" w:firstLineChars="200"/>
        <w:jc w:val="left"/>
        <w:rPr>
          <w:rFonts w:ascii="宋体" w:hAnsi="宋体" w:cs="宋体"/>
          <w:iCs/>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标段划分：二个标段，其中：</w:t>
      </w:r>
    </w:p>
    <w:p>
      <w:pPr>
        <w:pStyle w:val="45"/>
        <w:rPr>
          <w:rFonts w:hAnsi="Calibri"/>
          <w:color w:val="000000"/>
          <w:szCs w:val="21"/>
        </w:rPr>
      </w:pPr>
      <w:r>
        <w:rPr>
          <w:rFonts w:hint="eastAsia" w:hAnsi="Calibri"/>
          <w:color w:val="000000"/>
          <w:szCs w:val="21"/>
        </w:rPr>
        <w:t>第一标段：主要为</w:t>
      </w:r>
      <w:r>
        <w:rPr>
          <w:rFonts w:hint="eastAsia" w:ascii="宋体" w:hAnsi="Calibri"/>
          <w:color w:val="000000"/>
          <w:szCs w:val="21"/>
        </w:rPr>
        <w:t>长沙市轨道交通5号线运营期特种设备起重机、移动式空压机类设备委外维</w:t>
      </w:r>
      <w:r>
        <w:rPr>
          <w:rFonts w:hint="eastAsia" w:hAnsi="Calibri"/>
          <w:color w:val="000000"/>
          <w:szCs w:val="21"/>
        </w:rPr>
        <w:t>修保养；</w:t>
      </w:r>
    </w:p>
    <w:p>
      <w:pPr>
        <w:pStyle w:val="45"/>
        <w:rPr>
          <w:rFonts w:hAnsi="Calibri"/>
          <w:color w:val="000000"/>
          <w:szCs w:val="21"/>
        </w:rPr>
      </w:pPr>
      <w:r>
        <w:rPr>
          <w:rFonts w:hint="eastAsia" w:hAnsi="Calibri"/>
          <w:color w:val="000000"/>
          <w:szCs w:val="21"/>
        </w:rPr>
        <w:t>第二标段：</w:t>
      </w:r>
      <w:r>
        <w:rPr>
          <w:rFonts w:hint="eastAsia" w:ascii="宋体" w:hAnsi="宋体" w:cs="宋体"/>
          <w:szCs w:val="21"/>
        </w:rPr>
        <w:t>主要为长沙市轨道交通3、4、5号线运营期特种设备场内机动车类委外维修保养。</w:t>
      </w:r>
    </w:p>
    <w:p>
      <w:pPr>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服务期限：</w:t>
      </w:r>
      <w:r>
        <w:rPr>
          <w:rFonts w:hint="eastAsia" w:ascii="宋体" w:hAnsi="宋体" w:cs="宋体"/>
          <w:szCs w:val="21"/>
        </w:rPr>
        <w:t>本项目服务期限暂定为2020年4月1日至2021年3月31日，总计12个月。（实际服务时间以供应商接到招标人发出的开工令起算，一标段：12个月，二标段：12个月。）</w:t>
      </w:r>
      <w:r>
        <w:rPr>
          <w:rFonts w:hint="eastAsia" w:ascii="宋体" w:hAnsi="宋体" w:cs="宋体"/>
        </w:rPr>
        <w:t>（具体详见用户需求书）</w:t>
      </w:r>
      <w:r>
        <w:rPr>
          <w:rFonts w:hint="eastAsia" w:ascii="宋体" w:hAnsi="宋体" w:cs="宋体"/>
          <w:iCs/>
        </w:rPr>
        <w:t>。</w:t>
      </w:r>
    </w:p>
    <w:p>
      <w:pPr>
        <w:pStyle w:val="2"/>
        <w:spacing w:line="360" w:lineRule="auto"/>
        <w:rPr>
          <w:rFonts w:ascii="宋体" w:hAnsi="宋体" w:cs="宋体"/>
          <w:iCs/>
        </w:rPr>
      </w:pPr>
      <w:r>
        <w:rPr>
          <w:rFonts w:hint="eastAsia" w:ascii="宋体" w:hAnsi="宋体" w:cs="宋体"/>
          <w:iCs/>
        </w:rPr>
        <w:t>6.质保期：从设备检修或故障处理作业完成后交付投标人之日起，提供不少于30天的质保。（具体详见用户需求书）。</w:t>
      </w:r>
    </w:p>
    <w:p>
      <w:pPr>
        <w:spacing w:line="360" w:lineRule="auto"/>
        <w:ind w:firstLine="420" w:firstLineChars="200"/>
        <w:jc w:val="left"/>
        <w:rPr>
          <w:rFonts w:ascii="宋体" w:hAnsi="宋体" w:cs="宋体"/>
          <w:color w:val="000000"/>
          <w:szCs w:val="21"/>
        </w:rPr>
      </w:pPr>
      <w:r>
        <w:rPr>
          <w:rFonts w:ascii="宋体" w:hAnsi="宋体" w:cs="宋体"/>
          <w:iCs/>
        </w:rPr>
        <w:t>7</w:t>
      </w:r>
      <w:r>
        <w:rPr>
          <w:rFonts w:hint="eastAsia" w:ascii="宋体" w:hAnsi="宋体" w:cs="宋体"/>
          <w:iCs/>
          <w:szCs w:val="21"/>
        </w:rPr>
        <w:t>.采购范围：</w:t>
      </w:r>
      <w:r>
        <w:rPr>
          <w:rFonts w:hint="eastAsia" w:ascii="宋体" w:hAnsi="宋体" w:cs="宋体"/>
          <w:color w:val="000000"/>
          <w:szCs w:val="21"/>
        </w:rPr>
        <w:t>一标段（起重机械类）：主要为长沙市轨道交通5号线运营期特种设备起重机、移动式空压机类设备委外维修保养，包括5号线水渡河车辆段13台起重机（含驾驶舱空调、大车轨道调整）1年的计划性检修(含滑触线)（1年13台设备维修保养均含10次月检、1次半年检、1次年检共12次服务）、故障修、定期检验（年审换证）、验收；12台移动式空压机1年的计划性检修（1年12台设备维修保养均含10次月检、1次半年检、1次年检共12次服务）、故障修、压力容器定期检验（年审换证）、安全附件定期检验、验收等工作全过程。（具体详见用户需求书）</w:t>
      </w:r>
    </w:p>
    <w:p>
      <w:pPr>
        <w:spacing w:line="360" w:lineRule="auto"/>
        <w:ind w:firstLine="420" w:firstLineChars="200"/>
        <w:jc w:val="left"/>
        <w:rPr>
          <w:rFonts w:ascii="宋体" w:hAnsi="宋体" w:cs="宋体"/>
          <w:bCs/>
          <w:szCs w:val="21"/>
          <w:u w:val="single"/>
        </w:rPr>
      </w:pPr>
      <w:r>
        <w:rPr>
          <w:rFonts w:hint="eastAsia" w:ascii="宋体" w:hAnsi="宋体" w:cs="宋体"/>
          <w:color w:val="000000"/>
          <w:szCs w:val="21"/>
        </w:rPr>
        <w:t>二标段（场内专用机动车辆类）：主要为长沙市轨道交通3、4、5号线运营期特种设备场内机动车类委外维修保养，包括3号线洋湖垸车辆段及龙湘停车场18台场内机动车辆，4号线星城车辆段及黄榔停车场13台场内机动车辆,5号线水渡河车辆段8台场内机动车辆共1年的计划性检修（1年39台设备维修保养均含10次月检、1次半年检、1次年检共12次服务）、故障修、定期检验（年审换证）、验收等所有工作和各类服务等全过程。（具体详见用户需求书）</w:t>
      </w:r>
    </w:p>
    <w:p>
      <w:pPr>
        <w:pStyle w:val="25"/>
        <w:adjustRightInd w:val="0"/>
        <w:snapToGrid w:val="0"/>
        <w:spacing w:line="360" w:lineRule="auto"/>
        <w:ind w:firstLine="422" w:firstLineChars="200"/>
        <w:rPr>
          <w:rFonts w:hAnsi="宋体"/>
          <w:b/>
          <w:iCs/>
        </w:rPr>
      </w:pPr>
      <w:r>
        <w:rPr>
          <w:rFonts w:hint="eastAsia" w:hAnsi="宋体"/>
          <w:b/>
          <w:iCs/>
        </w:rPr>
        <w:t>二、资格要求</w:t>
      </w:r>
    </w:p>
    <w:p>
      <w:pPr>
        <w:spacing w:line="360" w:lineRule="auto"/>
        <w:ind w:firstLine="525" w:firstLineChars="250"/>
        <w:rPr>
          <w:rFonts w:ascii="宋体" w:hAnsi="宋体" w:cs="宋体"/>
        </w:rPr>
      </w:pPr>
      <w:r>
        <w:rPr>
          <w:rFonts w:hint="eastAsia" w:ascii="宋体" w:hAnsi="宋体" w:cs="宋体"/>
        </w:rPr>
        <w:t>1.谈判单位须为具有独立法人资格、自主经营、独立核算的公司。</w:t>
      </w:r>
    </w:p>
    <w:p>
      <w:pPr>
        <w:spacing w:line="360" w:lineRule="auto"/>
        <w:ind w:firstLine="525" w:firstLineChars="250"/>
        <w:rPr>
          <w:rFonts w:ascii="宋体" w:hAnsi="宋体" w:cs="宋体"/>
        </w:rPr>
      </w:pPr>
      <w:r>
        <w:rPr>
          <w:rFonts w:hint="eastAsia" w:ascii="宋体" w:hAnsi="宋体" w:cs="宋体"/>
        </w:rPr>
        <w:t>2.第一标段：谈判单位须具有质量技术监督部门核发的有效期内的《特种设备制造许可证》(起重机械)或《特种设备安装改造维修许可证》(起重机械)。</w:t>
      </w:r>
    </w:p>
    <w:p>
      <w:pPr>
        <w:spacing w:line="360" w:lineRule="auto"/>
        <w:ind w:firstLine="525" w:firstLineChars="250"/>
        <w:rPr>
          <w:rFonts w:ascii="宋体" w:hAnsi="宋体" w:cs="宋体"/>
        </w:rPr>
      </w:pPr>
      <w:r>
        <w:rPr>
          <w:rFonts w:hint="eastAsia" w:ascii="宋体" w:hAnsi="宋体" w:cs="宋体"/>
        </w:rPr>
        <w:t>第二标段：谈判单位须具有质量技术监督部门核发的有效期内的《特种设备制造许可证》(场内专用机动车辆)或《特种设备安装改造维修许可证》(场内专用机动车辆)原件。须提供以上资质证书原件。</w:t>
      </w:r>
    </w:p>
    <w:p>
      <w:pPr>
        <w:spacing w:line="360" w:lineRule="auto"/>
        <w:ind w:firstLine="420"/>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谈判单位在本项目响应文件递交截止之日前36个月内须具有特种设备或轨道交通工艺检修类设备维修保养服务业绩。不接受联合体业绩、港澳台或境外业绩。</w:t>
      </w:r>
    </w:p>
    <w:p>
      <w:pPr>
        <w:spacing w:line="360" w:lineRule="auto"/>
        <w:ind w:firstLine="420"/>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525" w:firstLineChars="250"/>
        <w:rPr>
          <w:rFonts w:ascii="宋体" w:hAnsi="宋体" w:cs="宋体"/>
        </w:rPr>
      </w:pPr>
      <w:r>
        <w:rPr>
          <w:rFonts w:hint="eastAsia" w:ascii="宋体" w:hAnsi="宋体" w:cs="宋体"/>
        </w:rPr>
        <w:t>4.本项目谈判不接受联合体形式参与。</w:t>
      </w:r>
    </w:p>
    <w:p>
      <w:pPr>
        <w:spacing w:line="360" w:lineRule="auto"/>
        <w:ind w:firstLine="525" w:firstLineChars="250"/>
        <w:rPr>
          <w:rFonts w:ascii="宋体" w:hAnsi="宋体" w:cs="宋体"/>
        </w:rPr>
      </w:pPr>
      <w:r>
        <w:rPr>
          <w:rFonts w:hint="eastAsia" w:ascii="宋体" w:hAnsi="宋体" w:cs="宋体"/>
        </w:rPr>
        <w:t>5.被长沙市轨道交通集团函告禁止在一定期限内参与轨道公司项目投标或谈判的单位按函告内容执行。</w:t>
      </w:r>
    </w:p>
    <w:p>
      <w:pPr>
        <w:spacing w:line="360" w:lineRule="auto"/>
        <w:ind w:firstLine="424" w:firstLineChars="201"/>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ascii="宋体" w:hAnsi="宋体" w:cs="Courier New"/>
          <w:iCs/>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w:t>
      </w:r>
      <w:r>
        <w:rPr>
          <w:rFonts w:hint="eastAsia" w:ascii="宋体" w:hAnsi="宋体"/>
          <w:szCs w:val="21"/>
          <w:u w:val="single"/>
          <w:lang w:val="en-US" w:eastAsia="zh-CN"/>
        </w:rPr>
        <w:t>2019</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lang w:val="en-US" w:eastAsia="zh-CN"/>
        </w:rPr>
        <w:t>24</w:t>
      </w:r>
      <w:r>
        <w:rPr>
          <w:rFonts w:hint="eastAsia" w:ascii="宋体" w:hAnsi="宋体"/>
          <w:szCs w:val="21"/>
          <w:u w:val="single"/>
        </w:rPr>
        <w:t xml:space="preserve"> </w:t>
      </w:r>
      <w:r>
        <w:rPr>
          <w:rFonts w:hint="eastAsia" w:ascii="宋体" w:hAnsi="宋体"/>
          <w:szCs w:val="21"/>
        </w:rPr>
        <w:t xml:space="preserve">日至 </w:t>
      </w:r>
      <w:r>
        <w:rPr>
          <w:rFonts w:hint="eastAsia" w:ascii="宋体" w:hAnsi="宋体"/>
          <w:szCs w:val="21"/>
          <w:u w:val="single"/>
          <w:lang w:val="en-US" w:eastAsia="zh-CN"/>
        </w:rPr>
        <w:t>2019</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u w:val="single"/>
        </w:rPr>
        <w:t xml:space="preserve"> </w:t>
      </w:r>
      <w:r>
        <w:rPr>
          <w:rFonts w:hint="eastAsia" w:ascii="宋体" w:hAnsi="宋体"/>
          <w:szCs w:val="21"/>
          <w:u w:val="single"/>
          <w:lang w:val="en-US" w:eastAsia="zh-CN"/>
        </w:rPr>
        <w:t>2019</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31</w:t>
      </w:r>
      <w:r>
        <w:rPr>
          <w:rFonts w:hint="eastAsia" w:ascii="宋体" w:hAnsi="宋体"/>
          <w:szCs w:val="21"/>
          <w:u w:val="single"/>
        </w:rPr>
        <w:t xml:space="preserve"> </w:t>
      </w:r>
      <w:r>
        <w:rPr>
          <w:rFonts w:hint="eastAsia" w:ascii="宋体" w:hAnsi="宋体"/>
          <w:szCs w:val="21"/>
        </w:rPr>
        <w:t>日</w:t>
      </w:r>
      <w:r>
        <w:rPr>
          <w:rFonts w:hint="eastAsia" w:ascii="宋体" w:hAnsi="宋体" w:cs="Courier New"/>
          <w:iCs/>
          <w:szCs w:val="21"/>
        </w:rPr>
        <w:t>17：00时（含）前（节假日除外）以书面形式（经法定代表人签字或盖章，并加盖单位公章）递交至采购代理机构。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u w:val="single"/>
          <w:lang w:val="en-US" w:eastAsia="zh-CN"/>
        </w:rPr>
        <w:t>2020</w:t>
      </w:r>
      <w:r>
        <w:rPr>
          <w:rFonts w:ascii="宋体" w:hAnsi="宋体"/>
          <w:bCs/>
          <w:szCs w:val="21"/>
        </w:rPr>
        <w:t>年</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ascii="宋体" w:hAnsi="宋体"/>
          <w:bCs/>
          <w:szCs w:val="21"/>
        </w:rPr>
        <w:t>月</w:t>
      </w:r>
      <w:r>
        <w:rPr>
          <w:rFonts w:hint="eastAsia" w:ascii="宋体" w:hAnsi="宋体"/>
          <w:bCs/>
          <w:szCs w:val="21"/>
          <w:u w:val="single"/>
        </w:rPr>
        <w:t xml:space="preserve"> </w:t>
      </w:r>
      <w:r>
        <w:rPr>
          <w:rFonts w:hint="eastAsia" w:ascii="宋体" w:hAnsi="宋体"/>
          <w:bCs/>
          <w:szCs w:val="21"/>
          <w:u w:val="single"/>
          <w:lang w:val="en-US" w:eastAsia="zh-CN"/>
        </w:rPr>
        <w:t>3</w:t>
      </w:r>
      <w:r>
        <w:rPr>
          <w:rFonts w:hint="eastAsia" w:ascii="宋体" w:hAnsi="宋体"/>
          <w:bCs/>
          <w:szCs w:val="21"/>
          <w:u w:val="single"/>
        </w:rPr>
        <w:t xml:space="preserve"> </w:t>
      </w:r>
      <w:r>
        <w:rPr>
          <w:rFonts w:ascii="宋体" w:hAnsi="宋体"/>
          <w:bCs/>
          <w:szCs w:val="21"/>
        </w:rPr>
        <w:t>日</w:t>
      </w:r>
      <w:r>
        <w:rPr>
          <w:rFonts w:hint="eastAsia" w:ascii="宋体" w:hAnsi="宋体"/>
          <w:bCs/>
          <w:szCs w:val="21"/>
          <w:u w:val="single"/>
        </w:rPr>
        <w:t>14</w:t>
      </w:r>
      <w:r>
        <w:rPr>
          <w:rFonts w:ascii="宋体" w:hAnsi="宋体"/>
          <w:bCs/>
          <w:szCs w:val="21"/>
        </w:rPr>
        <w:t>时</w:t>
      </w:r>
      <w:r>
        <w:rPr>
          <w:rFonts w:hint="eastAsia" w:ascii="宋体" w:hAnsi="宋体"/>
          <w:bCs/>
          <w:szCs w:val="21"/>
          <w:u w:val="single"/>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spacing w:line="360" w:lineRule="auto"/>
        <w:ind w:firstLine="424" w:firstLineChars="201"/>
        <w:rPr>
          <w:rFonts w:ascii="宋体" w:hAnsi="宋体"/>
          <w:b/>
          <w:bCs/>
          <w:szCs w:val="21"/>
        </w:rPr>
      </w:pPr>
      <w:r>
        <w:rPr>
          <w:rFonts w:hint="eastAsia" w:ascii="宋体" w:hAnsi="宋体"/>
          <w:b/>
          <w:bCs/>
          <w:szCs w:val="21"/>
        </w:rPr>
        <w:t>七、中标原则</w:t>
      </w:r>
    </w:p>
    <w:p>
      <w:pPr>
        <w:spacing w:line="360" w:lineRule="auto"/>
        <w:ind w:firstLine="420" w:firstLineChars="200"/>
        <w:rPr>
          <w:rFonts w:ascii="宋体" w:hAnsi="宋体" w:cs="宋体"/>
        </w:rPr>
      </w:pPr>
      <w:r>
        <w:rPr>
          <w:rFonts w:hint="eastAsia" w:ascii="宋体" w:hAnsi="宋体" w:cs="宋体"/>
        </w:rPr>
        <w:t>同一投标人可以同时参加本项目</w:t>
      </w:r>
      <w:r>
        <w:rPr>
          <w:rFonts w:hint="eastAsia" w:ascii="宋体" w:hAnsi="宋体" w:cs="宋体"/>
          <w:u w:val="single"/>
        </w:rPr>
        <w:t xml:space="preserve"> 2 </w:t>
      </w:r>
      <w:r>
        <w:rPr>
          <w:rFonts w:hint="eastAsia" w:ascii="宋体" w:hAnsi="宋体" w:cs="宋体"/>
        </w:rPr>
        <w:t>个标段的投标，但同一投标人最多只允许在本项目中中一个标段；若同一投标人在</w:t>
      </w:r>
      <w:r>
        <w:rPr>
          <w:rFonts w:hint="eastAsia" w:ascii="宋体" w:hAnsi="宋体" w:cs="宋体"/>
          <w:u w:val="single"/>
        </w:rPr>
        <w:t xml:space="preserve"> 2 </w:t>
      </w:r>
      <w:r>
        <w:rPr>
          <w:rFonts w:hint="eastAsia" w:ascii="宋体" w:hAnsi="宋体" w:cs="宋体"/>
        </w:rPr>
        <w:t>个标段中同时排名第一时，则须选择中标金额高的标段为其中标标段；若出现其排名第一的</w:t>
      </w:r>
      <w:r>
        <w:rPr>
          <w:rFonts w:hint="eastAsia" w:ascii="宋体" w:hAnsi="宋体" w:cs="宋体"/>
          <w:u w:val="single"/>
        </w:rPr>
        <w:t xml:space="preserve"> 2 </w:t>
      </w:r>
      <w:r>
        <w:rPr>
          <w:rFonts w:hint="eastAsia" w:ascii="宋体" w:hAnsi="宋体" w:cs="宋体"/>
        </w:rPr>
        <w:t>个标段中标金额相同的情形，则须选择最高投标限价高的标段为其中标标段，其放弃的标段由排名其后的中标候选人替补。</w:t>
      </w:r>
    </w:p>
    <w:p>
      <w:pPr>
        <w:spacing w:line="360" w:lineRule="auto"/>
        <w:ind w:firstLine="422" w:firstLineChars="200"/>
        <w:rPr>
          <w:rFonts w:ascii="黑体" w:hAnsi="黑体" w:eastAsia="黑体" w:cs="黑体"/>
          <w:b/>
          <w:sz w:val="24"/>
        </w:rPr>
      </w:pPr>
      <w:r>
        <w:rPr>
          <w:rFonts w:hint="eastAsia" w:ascii="宋体" w:hAnsi="宋体" w:cs="Courier New"/>
          <w:b/>
          <w:iCs/>
          <w:szCs w:val="21"/>
        </w:rPr>
        <w:t>八、采购单位及其委托的采购代理机构的名称、地址和联系方法</w:t>
      </w:r>
    </w:p>
    <w:p>
      <w:pPr>
        <w:adjustRightInd w:val="0"/>
        <w:snapToGrid w:val="0"/>
        <w:spacing w:line="360" w:lineRule="auto"/>
        <w:ind w:firstLine="420" w:firstLineChars="200"/>
        <w:rPr>
          <w:rFonts w:ascii="宋体" w:hAnsi="宋体"/>
          <w:szCs w:val="21"/>
        </w:rPr>
      </w:pPr>
      <w:r>
        <w:rPr>
          <w:rFonts w:hint="eastAsia" w:ascii="宋体" w:hAnsi="宋体"/>
          <w:szCs w:val="21"/>
        </w:rPr>
        <w:t>采购单位：</w:t>
      </w:r>
      <w:r>
        <w:rPr>
          <w:rFonts w:ascii="宋体" w:hAnsi="宋体" w:cs="宋体"/>
          <w:iCs/>
          <w:szCs w:val="21"/>
        </w:rPr>
        <w:t>长沙市轨道交通运营有限公司</w:t>
      </w:r>
    </w:p>
    <w:p>
      <w:pPr>
        <w:adjustRightInd w:val="0"/>
        <w:snapToGrid w:val="0"/>
        <w:spacing w:line="360" w:lineRule="auto"/>
        <w:ind w:firstLine="420" w:firstLineChars="200"/>
        <w:rPr>
          <w:rFonts w:ascii="宋体" w:hAnsi="宋体"/>
          <w:szCs w:val="21"/>
          <w:u w:val="single"/>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p>
    <w:p>
      <w:pPr>
        <w:adjustRightInd w:val="0"/>
        <w:snapToGrid w:val="0"/>
        <w:spacing w:line="360" w:lineRule="auto"/>
        <w:ind w:firstLine="420" w:firstLineChars="200"/>
        <w:rPr>
          <w:rFonts w:ascii="宋体" w:hAnsi="宋体"/>
          <w:bCs/>
          <w:szCs w:val="21"/>
        </w:rPr>
      </w:pPr>
      <w:r>
        <w:rPr>
          <w:rFonts w:hint="eastAsia" w:ascii="宋体" w:hAnsi="宋体"/>
          <w:bCs/>
          <w:szCs w:val="21"/>
        </w:rPr>
        <w:t>联系人：</w:t>
      </w:r>
      <w:r>
        <w:rPr>
          <w:rFonts w:hint="eastAsia" w:ascii="宋体" w:hAnsi="宋体"/>
          <w:szCs w:val="21"/>
        </w:rPr>
        <w:t>杨工</w:t>
      </w:r>
    </w:p>
    <w:p>
      <w:pPr>
        <w:adjustRightInd w:val="0"/>
        <w:snapToGrid w:val="0"/>
        <w:spacing w:line="360" w:lineRule="auto"/>
        <w:ind w:firstLine="420" w:firstLineChars="200"/>
        <w:rPr>
          <w:rFonts w:ascii="宋体" w:hAnsi="宋体"/>
          <w:bCs/>
          <w:szCs w:val="21"/>
        </w:rPr>
      </w:pPr>
      <w:r>
        <w:rPr>
          <w:rFonts w:hint="eastAsia" w:ascii="宋体" w:hAnsi="宋体"/>
          <w:bCs/>
          <w:szCs w:val="21"/>
        </w:rPr>
        <w:t>电  话：</w:t>
      </w:r>
      <w:r>
        <w:rPr>
          <w:rFonts w:hint="eastAsia" w:ascii="宋体" w:hAnsi="宋体"/>
          <w:szCs w:val="21"/>
        </w:rPr>
        <w:t>0731-86852347</w:t>
      </w:r>
    </w:p>
    <w:p>
      <w:pPr>
        <w:adjustRightInd w:val="0"/>
        <w:snapToGrid w:val="0"/>
        <w:spacing w:line="360" w:lineRule="auto"/>
        <w:ind w:firstLine="420" w:firstLineChars="200"/>
        <w:rPr>
          <w:rFonts w:ascii="宋体" w:hAnsi="宋体"/>
          <w:szCs w:val="21"/>
        </w:rPr>
      </w:pPr>
      <w:r>
        <w:rPr>
          <w:rFonts w:hint="eastAsia" w:ascii="宋体" w:hAnsi="宋体"/>
          <w:bCs/>
          <w:szCs w:val="21"/>
        </w:rPr>
        <w:t>监督举报电话：</w:t>
      </w:r>
      <w:r>
        <w:rPr>
          <w:rFonts w:hint="eastAsia" w:ascii="宋体" w:hAnsi="宋体"/>
          <w:szCs w:val="21"/>
        </w:rPr>
        <w:t>0731-86852247</w:t>
      </w:r>
    </w:p>
    <w:p>
      <w:pPr>
        <w:adjustRightInd w:val="0"/>
        <w:snapToGrid w:val="0"/>
        <w:spacing w:line="360" w:lineRule="auto"/>
        <w:ind w:firstLine="420" w:firstLineChars="200"/>
        <w:rPr>
          <w:rFonts w:ascii="宋体" w:hAnsi="宋体"/>
          <w:szCs w:val="21"/>
        </w:rPr>
      </w:pPr>
      <w:r>
        <w:rPr>
          <w:rFonts w:hint="eastAsia" w:ascii="宋体" w:hAnsi="宋体"/>
          <w:szCs w:val="21"/>
        </w:rPr>
        <w:t>联系人：文工</w:t>
      </w:r>
    </w:p>
    <w:p>
      <w:pPr>
        <w:adjustRightInd w:val="0"/>
        <w:snapToGrid w:val="0"/>
        <w:spacing w:line="360" w:lineRule="auto"/>
        <w:ind w:firstLine="422" w:firstLineChars="200"/>
        <w:rPr>
          <w:rFonts w:ascii="宋体" w:hAnsi="宋体"/>
          <w:szCs w:val="21"/>
        </w:rPr>
      </w:pPr>
      <w:r>
        <w:rPr>
          <w:rFonts w:hint="eastAsia" w:ascii="宋体" w:hAnsi="宋体"/>
          <w:b/>
          <w:bCs/>
          <w:szCs w:val="21"/>
        </w:rPr>
        <w:t>采购代理机构：湖南龙武工程项目管理有限公司</w:t>
      </w:r>
    </w:p>
    <w:p>
      <w:pPr>
        <w:adjustRightInd w:val="0"/>
        <w:snapToGrid w:val="0"/>
        <w:spacing w:line="360" w:lineRule="auto"/>
        <w:ind w:firstLine="420" w:firstLineChars="200"/>
        <w:rPr>
          <w:rFonts w:ascii="宋体" w:hAnsi="宋体"/>
          <w:szCs w:val="21"/>
        </w:rPr>
      </w:pPr>
      <w:r>
        <w:rPr>
          <w:rFonts w:hint="eastAsia" w:ascii="宋体" w:hAnsi="宋体"/>
          <w:szCs w:val="21"/>
        </w:rPr>
        <w:t>地  址：</w:t>
      </w:r>
      <w:r>
        <w:rPr>
          <w:rFonts w:hint="eastAsia" w:ascii="宋体" w:hAnsi="宋体" w:cs="宋体"/>
          <w:szCs w:val="21"/>
        </w:rPr>
        <w:t>长沙市芙蓉区八一路399号壹号座品B座1604</w:t>
      </w:r>
    </w:p>
    <w:p>
      <w:pPr>
        <w:adjustRightInd w:val="0"/>
        <w:snapToGrid w:val="0"/>
        <w:spacing w:line="360" w:lineRule="auto"/>
        <w:ind w:firstLine="420" w:firstLineChars="200"/>
        <w:rPr>
          <w:rFonts w:ascii="宋体" w:hAnsi="宋体"/>
          <w:szCs w:val="21"/>
        </w:rPr>
      </w:pPr>
      <w:r>
        <w:rPr>
          <w:rFonts w:hint="eastAsia" w:ascii="宋体" w:hAnsi="宋体"/>
          <w:szCs w:val="21"/>
        </w:rPr>
        <w:t>联系人：曹新权、郭钰</w:t>
      </w:r>
    </w:p>
    <w:p>
      <w:pPr>
        <w:spacing w:line="360" w:lineRule="auto"/>
        <w:ind w:firstLine="420" w:firstLineChars="200"/>
        <w:rPr>
          <w:rFonts w:ascii="宋体" w:hAnsi="宋体"/>
          <w:szCs w:val="21"/>
        </w:rPr>
      </w:pPr>
      <w:r>
        <w:rPr>
          <w:rFonts w:hint="eastAsia" w:ascii="宋体" w:hAnsi="宋体"/>
          <w:szCs w:val="21"/>
        </w:rPr>
        <w:t>电  话：</w:t>
      </w:r>
      <w:r>
        <w:rPr>
          <w:rFonts w:hint="eastAsia" w:ascii="宋体" w:hAnsi="宋体" w:cs="宋体"/>
          <w:szCs w:val="21"/>
        </w:rPr>
        <w:t>0731-85868178、15111192821</w:t>
      </w:r>
    </w:p>
    <w:p>
      <w:pPr>
        <w:spacing w:line="360" w:lineRule="auto"/>
        <w:ind w:firstLine="420" w:firstLineChars="200"/>
        <w:jc w:val="right"/>
        <w:rPr>
          <w:rFonts w:ascii="宋体" w:hAnsi="宋体"/>
          <w:szCs w:val="21"/>
        </w:rPr>
      </w:pPr>
      <w:r>
        <w:rPr>
          <w:rFonts w:hint="eastAsia" w:ascii="宋体" w:hAnsi="宋体"/>
          <w:szCs w:val="21"/>
        </w:rPr>
        <w:t xml:space="preserve"> 2019年12月2</w:t>
      </w:r>
      <w:r>
        <w:rPr>
          <w:rFonts w:hint="eastAsia" w:ascii="宋体" w:hAnsi="宋体"/>
          <w:szCs w:val="21"/>
          <w:lang w:val="en-US" w:eastAsia="zh-CN"/>
        </w:rPr>
        <w:t>4</w:t>
      </w:r>
      <w:r>
        <w:rPr>
          <w:rFonts w:hint="eastAsia" w:ascii="宋体" w:hAnsi="宋体"/>
          <w:szCs w:val="21"/>
        </w:rPr>
        <w:t>日</w:t>
      </w:r>
    </w:p>
    <w:p>
      <w:pPr>
        <w:pStyle w:val="3"/>
        <w:keepNext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3" w:name="_Toc22014"/>
      <w:bookmarkStart w:id="4" w:name="_Toc3321"/>
      <w:bookmarkStart w:id="5" w:name="_Toc5436"/>
      <w:r>
        <w:rPr>
          <w:rFonts w:hint="eastAsia" w:ascii="宋体" w:hAnsi="宋体" w:cs="宋体"/>
          <w:bCs w:val="0"/>
          <w:sz w:val="32"/>
          <w:szCs w:val="32"/>
        </w:rPr>
        <w:t>第二章  谈判须知</w:t>
      </w:r>
      <w:bookmarkEnd w:id="3"/>
      <w:bookmarkEnd w:id="4"/>
      <w:bookmarkEnd w:id="5"/>
    </w:p>
    <w:p>
      <w:pPr>
        <w:pStyle w:val="4"/>
        <w:keepNext w:val="0"/>
        <w:keepLines w:val="0"/>
        <w:ind w:firstLine="643" w:firstLineChars="200"/>
        <w:jc w:val="center"/>
        <w:rPr>
          <w:rFonts w:ascii="宋体" w:hAnsi="宋体" w:cs="宋体"/>
          <w:sz w:val="32"/>
        </w:rPr>
      </w:pPr>
      <w:bookmarkStart w:id="6" w:name="_Toc9091"/>
      <w:bookmarkStart w:id="7" w:name="_Toc22770"/>
      <w:bookmarkStart w:id="8" w:name="_Toc30353"/>
      <w:r>
        <w:rPr>
          <w:rFonts w:hint="eastAsia" w:ascii="宋体" w:hAnsi="宋体" w:cs="宋体"/>
          <w:sz w:val="32"/>
        </w:rPr>
        <w:t>谈判须知前附表</w:t>
      </w:r>
      <w:bookmarkEnd w:id="6"/>
      <w:bookmarkEnd w:id="7"/>
      <w:bookmarkEnd w:id="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4"/>
        <w:gridCol w:w="7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28" w:type="dxa"/>
            <w:vAlign w:val="center"/>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28" w:type="dxa"/>
            <w:vAlign w:val="center"/>
          </w:tcPr>
          <w:p>
            <w:pPr>
              <w:pStyle w:val="25"/>
              <w:adjustRightInd w:val="0"/>
              <w:snapToGrid w:val="0"/>
              <w:spacing w:line="360" w:lineRule="auto"/>
              <w:rPr>
                <w:rFonts w:hAnsi="宋体" w:cs="宋体"/>
              </w:rPr>
            </w:pPr>
            <w:r>
              <w:rPr>
                <w:rFonts w:hint="eastAsia" w:hAnsi="宋体" w:cs="宋体"/>
              </w:rPr>
              <w:t>长沙市轨道交通3、4、5号线运营期2020年-2021年特种设备（起重机械类、场内专用机动车辆类）委外维修保养项目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28" w:type="dxa"/>
            <w:vAlign w:val="center"/>
          </w:tcPr>
          <w:p>
            <w:pPr>
              <w:adjustRightInd w:val="0"/>
              <w:snapToGrid w:val="0"/>
              <w:spacing w:line="360" w:lineRule="auto"/>
              <w:rPr>
                <w:rFonts w:ascii="宋体"/>
                <w:color w:val="000000"/>
              </w:rPr>
            </w:pPr>
            <w:r>
              <w:rPr>
                <w:rFonts w:hint="eastAsia" w:ascii="宋体"/>
                <w:color w:val="000000"/>
              </w:rPr>
              <w:t>长沙市轨道交通三号线建设发展有限公司</w:t>
            </w:r>
          </w:p>
          <w:p>
            <w:pPr>
              <w:adjustRightInd w:val="0"/>
              <w:snapToGrid w:val="0"/>
              <w:spacing w:line="360" w:lineRule="auto"/>
              <w:rPr>
                <w:rFonts w:ascii="宋体"/>
                <w:color w:val="000000"/>
              </w:rPr>
            </w:pPr>
            <w:r>
              <w:rPr>
                <w:rFonts w:hint="eastAsia" w:ascii="宋体"/>
                <w:color w:val="000000"/>
              </w:rPr>
              <w:t>长沙市轨道交通四号线建设发展有限公司</w:t>
            </w:r>
          </w:p>
          <w:p>
            <w:pPr>
              <w:adjustRightInd w:val="0"/>
              <w:snapToGrid w:val="0"/>
              <w:spacing w:line="360" w:lineRule="auto"/>
              <w:rPr>
                <w:rFonts w:ascii="宋体" w:hAnsi="宋体" w:cs="宋体"/>
                <w:iCs/>
                <w:szCs w:val="21"/>
              </w:rPr>
            </w:pPr>
            <w:r>
              <w:rPr>
                <w:rFonts w:hint="eastAsia" w:ascii="宋体"/>
                <w:color w:val="000000"/>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28" w:type="dxa"/>
            <w:vAlign w:val="center"/>
          </w:tcPr>
          <w:p>
            <w:pPr>
              <w:adjustRightInd w:val="0"/>
              <w:snapToGrid w:val="0"/>
              <w:spacing w:line="360" w:lineRule="auto"/>
              <w:rPr>
                <w:rFonts w:ascii="宋体" w:hAnsi="宋体" w:cs="宋体"/>
                <w:iCs/>
                <w:szCs w:val="21"/>
              </w:rPr>
            </w:pPr>
            <w:r>
              <w:rPr>
                <w:rFonts w:hint="eastAsia"/>
              </w:rPr>
              <w:t>湖南龙武工程项目管理有限公司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w:t>
            </w:r>
            <w:r>
              <w:rPr>
                <w:rFonts w:ascii="宋体" w:hAnsi="宋体"/>
                <w:b/>
                <w:szCs w:val="21"/>
              </w:rPr>
              <w:t>最高投标限价</w:t>
            </w:r>
          </w:p>
        </w:tc>
        <w:tc>
          <w:tcPr>
            <w:tcW w:w="7728" w:type="dxa"/>
            <w:vAlign w:val="center"/>
          </w:tcPr>
          <w:p>
            <w:pPr>
              <w:adjustRightInd w:val="0"/>
              <w:snapToGrid w:val="0"/>
              <w:spacing w:line="360" w:lineRule="auto"/>
              <w:rPr>
                <w:rFonts w:ascii="宋体" w:hAnsi="宋体" w:cs="宋体"/>
                <w:iCs/>
                <w:szCs w:val="21"/>
              </w:rPr>
            </w:pPr>
            <w:r>
              <w:rPr>
                <w:rFonts w:hAnsi="宋体" w:cs="宋体"/>
              </w:rPr>
              <w:t>582153.00</w:t>
            </w:r>
            <w:r>
              <w:rPr>
                <w:rFonts w:hint="eastAsia" w:hAnsi="宋体" w:cs="宋体"/>
                <w:iCs/>
              </w:rPr>
              <w:t>元</w:t>
            </w:r>
            <w:r>
              <w:rPr>
                <w:rFonts w:hAnsi="宋体" w:cs="宋体"/>
                <w:iCs/>
              </w:rPr>
              <w:t xml:space="preserve">  </w:t>
            </w:r>
            <w:r>
              <w:rPr>
                <w:rFonts w:hint="eastAsia" w:hAnsi="宋体" w:cs="宋体"/>
                <w:iCs/>
              </w:rPr>
              <w:t>其中第一标段：</w:t>
            </w:r>
            <w:r>
              <w:rPr>
                <w:rFonts w:hAnsi="宋体" w:cs="宋体"/>
              </w:rPr>
              <w:t>181870.00</w:t>
            </w:r>
            <w:r>
              <w:rPr>
                <w:rFonts w:hint="eastAsia" w:hAnsi="宋体" w:cs="宋体"/>
                <w:iCs/>
              </w:rPr>
              <w:t>元；第二标段：</w:t>
            </w:r>
            <w:r>
              <w:rPr>
                <w:rFonts w:hAnsi="宋体" w:cs="宋体"/>
              </w:rPr>
              <w:t>400283.00</w:t>
            </w:r>
            <w:r>
              <w:rPr>
                <w:rFonts w:hint="eastAsia" w:hAnsi="宋体" w:cs="宋体"/>
                <w:iCs/>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28" w:type="dxa"/>
            <w:tcBorders>
              <w:bottom w:val="single" w:color="auto" w:sz="6" w:space="0"/>
            </w:tcBorders>
            <w:vAlign w:val="center"/>
          </w:tcPr>
          <w:p>
            <w:pPr>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24" w:type="dxa"/>
            <w:vAlign w:val="center"/>
          </w:tcPr>
          <w:p>
            <w:pPr>
              <w:adjustRightInd w:val="0"/>
              <w:snapToGrid w:val="0"/>
              <w:spacing w:line="360" w:lineRule="auto"/>
              <w:jc w:val="center"/>
              <w:rPr>
                <w:rFonts w:ascii="宋体" w:hAnsi="宋体"/>
                <w:b/>
                <w:szCs w:val="21"/>
                <w:highlight w:val="yellow"/>
              </w:rPr>
            </w:pPr>
            <w:r>
              <w:rPr>
                <w:rFonts w:hint="eastAsia" w:ascii="宋体" w:hAnsi="宋体"/>
                <w:b/>
                <w:szCs w:val="21"/>
              </w:rPr>
              <w:t>资格要求</w:t>
            </w:r>
          </w:p>
        </w:tc>
        <w:tc>
          <w:tcPr>
            <w:tcW w:w="7728" w:type="dxa"/>
            <w:tcBorders>
              <w:top w:val="single" w:color="auto" w:sz="6" w:space="0"/>
              <w:bottom w:val="single" w:color="auto" w:sz="4" w:space="0"/>
            </w:tcBorders>
            <w:vAlign w:val="center"/>
          </w:tcPr>
          <w:p>
            <w:pPr>
              <w:spacing w:line="360" w:lineRule="auto"/>
              <w:jc w:val="left"/>
              <w:rPr>
                <w:rFonts w:ascii="宋体" w:hAnsi="宋体" w:cs="宋体"/>
              </w:rPr>
            </w:pPr>
            <w:r>
              <w:rPr>
                <w:rFonts w:hint="eastAsia" w:ascii="宋体" w:hAnsi="宋体" w:cs="宋体"/>
              </w:rPr>
              <w:t>1.谈判单位须为具有独立法人资格、自主经营、独立核算的公司。</w:t>
            </w:r>
          </w:p>
          <w:p>
            <w:pPr>
              <w:spacing w:line="360" w:lineRule="auto"/>
              <w:jc w:val="left"/>
              <w:rPr>
                <w:rFonts w:ascii="宋体" w:hAnsi="宋体" w:cs="宋体"/>
              </w:rPr>
            </w:pPr>
            <w:r>
              <w:rPr>
                <w:rFonts w:hint="eastAsia" w:ascii="宋体" w:hAnsi="宋体" w:cs="宋体"/>
              </w:rPr>
              <w:t>2.第一标段：谈判单位须具有质量技术监督部门核发的有效期内的</w:t>
            </w:r>
            <w:r>
              <w:rPr>
                <w:rFonts w:hint="eastAsia" w:ascii="宋体" w:hAnsi="宋体" w:cs="仿宋_GB2312"/>
              </w:rPr>
              <w:t>《特种设备制造许可证》(起重机械)或《特种设备安装改造维修许可证》(起重机械)。</w:t>
            </w:r>
          </w:p>
          <w:p>
            <w:pPr>
              <w:spacing w:line="360" w:lineRule="auto"/>
              <w:jc w:val="left"/>
              <w:rPr>
                <w:rFonts w:ascii="宋体" w:hAnsi="宋体" w:cs="宋体"/>
              </w:rPr>
            </w:pPr>
            <w:r>
              <w:rPr>
                <w:rFonts w:hint="eastAsia" w:ascii="宋体" w:hAnsi="宋体" w:cs="宋体"/>
              </w:rPr>
              <w:t>第二标段：谈判单位须具有质量技术监督部门核发的有效期内的</w:t>
            </w:r>
            <w:r>
              <w:rPr>
                <w:rFonts w:hint="eastAsia" w:ascii="宋体" w:hAnsi="宋体" w:cs="仿宋_GB2312"/>
              </w:rPr>
              <w:t>《特种设备制造许可证》(场内</w:t>
            </w:r>
            <w:r>
              <w:rPr>
                <w:rFonts w:hint="eastAsia" w:hAnsi="Calibri"/>
                <w:color w:val="000000"/>
              </w:rPr>
              <w:t>专用</w:t>
            </w:r>
            <w:r>
              <w:rPr>
                <w:rFonts w:hint="eastAsia" w:ascii="宋体" w:hAnsi="宋体" w:cs="仿宋_GB2312"/>
              </w:rPr>
              <w:t>机动车辆)或《特种设备安装改造维修许可证》(场内</w:t>
            </w:r>
            <w:r>
              <w:rPr>
                <w:rFonts w:hint="eastAsia" w:hAnsi="Calibri"/>
                <w:color w:val="000000"/>
              </w:rPr>
              <w:t>专用</w:t>
            </w:r>
            <w:r>
              <w:rPr>
                <w:rFonts w:hint="eastAsia" w:ascii="宋体" w:hAnsi="宋体" w:cs="仿宋_GB2312"/>
              </w:rPr>
              <w:t>机动车辆)原件。</w:t>
            </w:r>
            <w:r>
              <w:rPr>
                <w:rFonts w:hint="eastAsia" w:ascii="宋体" w:hAnsi="宋体" w:cs="宋体"/>
              </w:rPr>
              <w:t>须提供以上资质证书原件。</w:t>
            </w:r>
          </w:p>
          <w:p>
            <w:pPr>
              <w:spacing w:line="360" w:lineRule="auto"/>
              <w:rPr>
                <w:rFonts w:ascii="宋体" w:hAnsi="宋体" w:cs="宋体"/>
              </w:rPr>
            </w:pPr>
            <w:r>
              <w:rPr>
                <w:rFonts w:hint="eastAsia" w:ascii="宋体" w:hAnsi="宋体" w:cs="宋体"/>
              </w:rPr>
              <w:t>3.谈判单位在本项目响应文件递交截止之日前36个月内须具有特种设备或轨道交通工艺检修类设备维修保养服务业绩。不接受联合体业绩、港澳台或境外业绩。</w:t>
            </w:r>
          </w:p>
          <w:p>
            <w:pPr>
              <w:spacing w:line="360" w:lineRule="auto"/>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jc w:val="left"/>
              <w:rPr>
                <w:rFonts w:ascii="宋体" w:hAnsi="宋体" w:cs="宋体"/>
              </w:rPr>
            </w:pPr>
            <w:r>
              <w:rPr>
                <w:rFonts w:hint="eastAsia" w:ascii="宋体" w:hAnsi="宋体" w:cs="宋体"/>
              </w:rPr>
              <w:t>4.本项目谈判不接受联合体形式参与。</w:t>
            </w:r>
          </w:p>
          <w:p>
            <w:pPr>
              <w:spacing w:line="360" w:lineRule="auto"/>
              <w:rPr>
                <w:rFonts w:ascii="宋体" w:hAnsi="宋体" w:cs="宋体"/>
              </w:rPr>
            </w:pPr>
            <w:r>
              <w:rPr>
                <w:rFonts w:hint="eastAsia" w:ascii="宋体" w:hAnsi="宋体" w:cs="宋体"/>
              </w:rPr>
              <w:t>5.被长沙市轨道交通集团函告禁止在一定期限内参与轨道公司项目投标或谈判的单位按函告内容执行。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28" w:type="dxa"/>
            <w:tcBorders>
              <w:top w:val="single" w:color="auto" w:sz="4" w:space="0"/>
            </w:tcBorders>
            <w:vAlign w:val="center"/>
          </w:tcPr>
          <w:p>
            <w:pPr>
              <w:pStyle w:val="25"/>
              <w:adjustRightInd w:val="0"/>
              <w:snapToGrid w:val="0"/>
              <w:spacing w:line="360" w:lineRule="auto"/>
              <w:rPr>
                <w:rFonts w:hAnsi="宋体" w:cs="宋体"/>
                <w:color w:val="000000"/>
              </w:rPr>
            </w:pPr>
            <w:r>
              <w:rPr>
                <w:rFonts w:hint="eastAsia" w:ascii="宋体" w:hAnsi="宋体"/>
                <w:szCs w:val="21"/>
                <w:u w:val="single"/>
              </w:rPr>
              <w:t xml:space="preserve"> </w:t>
            </w:r>
            <w:r>
              <w:rPr>
                <w:rFonts w:hint="eastAsia" w:ascii="宋体" w:hAnsi="宋体"/>
                <w:szCs w:val="21"/>
                <w:u w:val="single"/>
                <w:lang w:val="en-US" w:eastAsia="zh-CN"/>
              </w:rPr>
              <w:t>2019</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31</w:t>
            </w:r>
            <w:r>
              <w:rPr>
                <w:rFonts w:hint="eastAsia" w:ascii="宋体" w:hAnsi="宋体"/>
                <w:szCs w:val="21"/>
                <w:u w:val="single"/>
              </w:rPr>
              <w:t xml:space="preserve"> </w:t>
            </w:r>
            <w:r>
              <w:rPr>
                <w:rFonts w:hint="eastAsia" w:ascii="宋体" w:hAnsi="宋体"/>
                <w:szCs w:val="21"/>
              </w:rPr>
              <w:t>日</w:t>
            </w:r>
            <w:r>
              <w:rPr>
                <w:rFonts w:hint="eastAsia" w:hAnsi="宋体" w:cs="宋体"/>
                <w:u w:val="single"/>
              </w:rPr>
              <w:t>17</w:t>
            </w:r>
            <w:r>
              <w:rPr>
                <w:rFonts w:hint="eastAsia" w:hAnsi="宋体" w:cs="宋体"/>
              </w:rPr>
              <w:t>时</w:t>
            </w:r>
            <w:r>
              <w:rPr>
                <w:rFonts w:hint="eastAsia" w:hAnsi="宋体" w:cs="宋体"/>
                <w:u w:val="single"/>
              </w:rPr>
              <w:t xml:space="preserve"> 00 </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2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谈判答疑文件应以书面形式递交至长沙市芙蓉区八一路399号壹号座品B座1604湖南龙武工程项目管理有限公司。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响应文件的递交截止及谈判时间</w:t>
            </w:r>
          </w:p>
        </w:tc>
        <w:tc>
          <w:tcPr>
            <w:tcW w:w="7728" w:type="dxa"/>
            <w:vAlign w:val="center"/>
          </w:tcPr>
          <w:p>
            <w:pPr>
              <w:adjustRightInd w:val="0"/>
              <w:snapToGrid w:val="0"/>
              <w:spacing w:line="360" w:lineRule="auto"/>
              <w:jc w:val="left"/>
              <w:rPr>
                <w:rFonts w:ascii="宋体" w:hAnsi="宋体" w:cs="宋体"/>
                <w:szCs w:val="21"/>
              </w:rPr>
            </w:pPr>
            <w:r>
              <w:rPr>
                <w:rFonts w:hint="eastAsia" w:ascii="宋体" w:hAnsi="宋体"/>
                <w:bCs/>
                <w:szCs w:val="21"/>
                <w:u w:val="single"/>
              </w:rPr>
              <w:t xml:space="preserve"> </w:t>
            </w:r>
            <w:r>
              <w:rPr>
                <w:rFonts w:hint="eastAsia" w:ascii="宋体" w:hAnsi="宋体"/>
                <w:bCs/>
                <w:szCs w:val="21"/>
                <w:u w:val="single"/>
                <w:lang w:val="en-US" w:eastAsia="zh-CN"/>
              </w:rPr>
              <w:t>2020</w:t>
            </w:r>
            <w:r>
              <w:rPr>
                <w:rFonts w:ascii="宋体" w:hAnsi="宋体"/>
                <w:bCs/>
                <w:szCs w:val="21"/>
              </w:rPr>
              <w:t>年</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ascii="宋体" w:hAnsi="宋体"/>
                <w:bCs/>
                <w:szCs w:val="21"/>
              </w:rPr>
              <w:t>月</w:t>
            </w:r>
            <w:r>
              <w:rPr>
                <w:rFonts w:hint="eastAsia" w:ascii="宋体" w:hAnsi="宋体"/>
                <w:bCs/>
                <w:szCs w:val="21"/>
                <w:u w:val="single"/>
              </w:rPr>
              <w:t xml:space="preserve"> </w:t>
            </w:r>
            <w:r>
              <w:rPr>
                <w:rFonts w:hint="eastAsia" w:ascii="宋体" w:hAnsi="宋体"/>
                <w:bCs/>
                <w:szCs w:val="21"/>
                <w:u w:val="single"/>
                <w:lang w:val="en-US" w:eastAsia="zh-CN"/>
              </w:rPr>
              <w:t>3</w:t>
            </w:r>
            <w:r>
              <w:rPr>
                <w:rFonts w:hint="eastAsia" w:ascii="宋体" w:hAnsi="宋体"/>
                <w:bCs/>
                <w:szCs w:val="21"/>
                <w:u w:val="single"/>
              </w:rPr>
              <w:t xml:space="preserve"> </w:t>
            </w:r>
            <w:r>
              <w:rPr>
                <w:rFonts w:ascii="宋体" w:hAnsi="宋体"/>
                <w:bCs/>
                <w:szCs w:val="21"/>
              </w:rPr>
              <w:t>日</w:t>
            </w:r>
            <w:r>
              <w:rPr>
                <w:rFonts w:hint="eastAsia" w:ascii="宋体" w:hAnsi="宋体" w:cs="宋体"/>
                <w:u w:val="single"/>
              </w:rPr>
              <w:t>14</w:t>
            </w:r>
            <w:r>
              <w:rPr>
                <w:rFonts w:hint="eastAsia" w:ascii="宋体" w:hAnsi="宋体" w:cs="宋体"/>
              </w:rPr>
              <w:t>时</w:t>
            </w:r>
            <w:r>
              <w:rPr>
                <w:rFonts w:hint="eastAsia" w:ascii="宋体" w:hAnsi="宋体" w:cs="宋体"/>
                <w:u w:val="single"/>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2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2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2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24" w:type="dxa"/>
            <w:vAlign w:val="center"/>
          </w:tcPr>
          <w:p>
            <w:pPr>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rPr>
              <w:t>本项目采用总价合同方式，合同价格包括在维保过程中所需的管理费、利润、税金等一切费用。在项目实施中出现任何遗漏，均由乙方免费提供，甲方不再支付任何费用。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28" w:type="dxa"/>
            <w:vAlign w:val="center"/>
          </w:tcPr>
          <w:p>
            <w:pPr>
              <w:spacing w:line="360" w:lineRule="auto"/>
              <w:rPr>
                <w:rFonts w:ascii="宋体" w:hAnsi="宋体" w:cs="宋体"/>
              </w:rPr>
            </w:pPr>
            <w:r>
              <w:rPr>
                <w:rFonts w:hint="eastAsia" w:ascii="宋体" w:hAnsi="宋体" w:cs="宋体"/>
              </w:rPr>
              <w:t>1.付款周期为每季度支付一次，甲方对乙方维保工作进行综合考核，乙方按甲方的支付程序办理请款手续并提供增值税专用发票、有效期内的履约担保复印件后28个工作日内，由甲方向乙方支付。</w:t>
            </w:r>
          </w:p>
          <w:p>
            <w:pPr>
              <w:spacing w:line="360" w:lineRule="auto"/>
              <w:rPr>
                <w:rFonts w:ascii="宋体" w:hAnsi="宋体" w:cs="宋体"/>
              </w:rPr>
            </w:pPr>
            <w:r>
              <w:rPr>
                <w:rFonts w:hint="eastAsia" w:ascii="宋体" w:hAnsi="宋体" w:cs="宋体"/>
              </w:rPr>
              <w:t>2.每次支付的金额：按签约合同价的90%平均到每个付款周期，甲方依据考核结果向乙方支付上一个付款周期的价款，累计支付不得超过签约合同价的90%。</w:t>
            </w:r>
          </w:p>
          <w:p>
            <w:pPr>
              <w:spacing w:line="360" w:lineRule="auto"/>
              <w:rPr>
                <w:rFonts w:ascii="宋体" w:hAnsi="宋体" w:cs="宋体"/>
              </w:rPr>
            </w:pPr>
            <w:r>
              <w:rPr>
                <w:rFonts w:hint="eastAsia" w:ascii="宋体" w:hAnsi="宋体" w:cs="宋体"/>
              </w:rPr>
              <w:t>3.履约验收完成付款：项目按合同约定完成履约且按甲方相关规定办理履约验收，履约验收完成后，在收到乙方支付申请并证实完整后28个工作日内，支付至合同价格的97%。</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rPr>
              <w:t>4.质保期满付款：质保期满且最终验收合格，收到乙方支付请求并经甲方审核无误后28个工作日内，支付合同价格的剩余款项。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w:t>
            </w:r>
          </w:p>
          <w:p>
            <w:pPr>
              <w:adjustRightInd w:val="0"/>
              <w:snapToGrid w:val="0"/>
              <w:spacing w:line="360" w:lineRule="auto"/>
              <w:jc w:val="center"/>
              <w:rPr>
                <w:rFonts w:ascii="宋体" w:hAnsi="宋体"/>
                <w:b/>
                <w:szCs w:val="21"/>
              </w:rPr>
            </w:pPr>
            <w:r>
              <w:rPr>
                <w:rFonts w:hint="eastAsia" w:ascii="宋体" w:hAnsi="宋体"/>
                <w:b/>
                <w:szCs w:val="21"/>
              </w:rPr>
              <w:t>指定媒体</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28" w:type="dxa"/>
            <w:vAlign w:val="center"/>
          </w:tcPr>
          <w:p>
            <w:pPr>
              <w:spacing w:line="360" w:lineRule="auto"/>
              <w:rPr>
                <w:rFonts w:ascii="宋体" w:hAnsi="宋体" w:cs="宋体"/>
              </w:rPr>
            </w:pPr>
            <w:r>
              <w:rPr>
                <w:rFonts w:hint="eastAsia" w:ascii="宋体" w:hAnsi="宋体" w:cs="宋体"/>
                <w:b/>
              </w:rPr>
              <w:t>人员配备要求：</w:t>
            </w:r>
            <w:r>
              <w:rPr>
                <w:rFonts w:hint="eastAsia" w:ascii="宋体" w:hAnsi="宋体" w:cs="宋体"/>
              </w:rPr>
              <w:t>一标段：</w:t>
            </w:r>
            <w:r>
              <w:rPr>
                <w:rFonts w:hint="eastAsia" w:ascii="宋体" w:hAnsi="宋体" w:cs="仿宋_GB2312"/>
              </w:rPr>
              <w:t>项目</w:t>
            </w:r>
            <w:r>
              <w:rPr>
                <w:rFonts w:hint="eastAsia" w:cs="仿宋_GB2312"/>
              </w:rPr>
              <w:t>经理</w:t>
            </w:r>
            <w:r>
              <w:rPr>
                <w:rFonts w:hint="eastAsia" w:ascii="宋体" w:hAnsi="宋体" w:cs="仿宋_GB2312"/>
              </w:rPr>
              <w:t>1人，</w:t>
            </w:r>
            <w:r>
              <w:rPr>
                <w:rFonts w:hint="eastAsia" w:cs="仿宋_GB2312"/>
              </w:rPr>
              <w:t>具有中级维修电工或钳工证，</w:t>
            </w:r>
            <w:r>
              <w:rPr>
                <w:rFonts w:hint="eastAsia" w:ascii="宋体" w:hAnsi="宋体" w:cs="仿宋_GB2312"/>
              </w:rPr>
              <w:t>提供由劳动保障部门出具的投标截止时间前半年内连续三个月的社保证明文件</w:t>
            </w:r>
            <w:r>
              <w:rPr>
                <w:rFonts w:hint="eastAsia" w:cs="仿宋_GB2312"/>
              </w:rPr>
              <w:t>。</w:t>
            </w:r>
            <w:r>
              <w:rPr>
                <w:rFonts w:hint="eastAsia" w:ascii="宋体" w:hAnsi="宋体" w:cs="仿宋_GB2312"/>
              </w:rPr>
              <w:t>维保人员电工须具有中级维修电工证及具备</w:t>
            </w:r>
            <w:r>
              <w:rPr>
                <w:rFonts w:hint="eastAsia" w:cs="仿宋_GB2312"/>
              </w:rPr>
              <w:t>起重机械</w:t>
            </w:r>
            <w:r>
              <w:rPr>
                <w:rFonts w:hint="eastAsia" w:ascii="宋体" w:hAnsi="宋体" w:cs="仿宋_GB2312"/>
              </w:rPr>
              <w:t>检修经验，钳工需具有中级机械钳工证及具备</w:t>
            </w:r>
            <w:r>
              <w:rPr>
                <w:rFonts w:hint="eastAsia" w:cs="仿宋_GB2312"/>
              </w:rPr>
              <w:t>起重机械</w:t>
            </w:r>
            <w:r>
              <w:rPr>
                <w:rFonts w:hint="eastAsia" w:ascii="宋体" w:hAnsi="宋体" w:cs="仿宋_GB2312"/>
              </w:rPr>
              <w:t>检修经验。</w:t>
            </w:r>
          </w:p>
          <w:p>
            <w:pPr>
              <w:adjustRightInd w:val="0"/>
              <w:snapToGrid w:val="0"/>
              <w:spacing w:line="360" w:lineRule="auto"/>
              <w:rPr>
                <w:rFonts w:ascii="宋体" w:hAnsi="宋体" w:cs="仿宋_GB2312"/>
              </w:rPr>
            </w:pPr>
            <w:r>
              <w:rPr>
                <w:rFonts w:hint="eastAsia" w:ascii="宋体" w:hAnsi="宋体" w:cs="宋体"/>
              </w:rPr>
              <w:t>二标段：</w:t>
            </w:r>
            <w:r>
              <w:rPr>
                <w:rFonts w:hint="eastAsia" w:ascii="宋体" w:hAnsi="宋体" w:cs="仿宋_GB2312"/>
              </w:rPr>
              <w:t>项目</w:t>
            </w:r>
            <w:r>
              <w:rPr>
                <w:rFonts w:hint="eastAsia" w:cs="仿宋_GB2312"/>
              </w:rPr>
              <w:t>经理</w:t>
            </w:r>
            <w:r>
              <w:rPr>
                <w:rFonts w:hint="eastAsia" w:ascii="宋体" w:hAnsi="宋体" w:cs="仿宋_GB2312"/>
              </w:rPr>
              <w:t>1人，</w:t>
            </w:r>
            <w:r>
              <w:rPr>
                <w:rFonts w:hint="eastAsia" w:cs="仿宋_GB2312"/>
              </w:rPr>
              <w:t>具有中级维修电工或钳工证，</w:t>
            </w:r>
            <w:r>
              <w:rPr>
                <w:rFonts w:hint="eastAsia" w:ascii="宋体" w:hAnsi="宋体" w:cs="仿宋_GB2312"/>
              </w:rPr>
              <w:t>提供由劳动保障部门出具的投标截止时间前半年内连续三个月的社保证明文件。维保人员电工须具有中级维修电工证及具备场内机动车检修经验，钳工需具有中级机械钳工证及具备场内机动车检修经验。</w:t>
            </w:r>
          </w:p>
          <w:p>
            <w:pPr>
              <w:pStyle w:val="2"/>
              <w:ind w:left="0" w:leftChars="0"/>
              <w:jc w:val="left"/>
              <w:rPr>
                <w:b/>
              </w:rPr>
            </w:pPr>
            <w:r>
              <w:rPr>
                <w:rFonts w:hint="eastAsia" w:ascii="宋体" w:hAnsi="宋体" w:cs="宋体"/>
                <w:b/>
              </w:rPr>
              <w:t>履约担保:</w:t>
            </w:r>
            <w:r>
              <w:rPr>
                <w:rFonts w:hint="eastAsia" w:ascii="宋体" w:hAnsi="宋体" w:cs="宋体"/>
              </w:rPr>
              <w:t xml:space="preserve"> 签约合同价的10%。</w:t>
            </w:r>
          </w:p>
        </w:tc>
      </w:tr>
    </w:tbl>
    <w:p>
      <w:pPr>
        <w:pStyle w:val="4"/>
        <w:keepNext w:val="0"/>
        <w:keepLines w:val="0"/>
        <w:ind w:firstLine="602" w:firstLineChars="200"/>
        <w:jc w:val="center"/>
        <w:rPr>
          <w:rFonts w:ascii="黑体" w:hAnsi="黑体" w:eastAsia="黑体"/>
          <w:sz w:val="30"/>
          <w:szCs w:val="30"/>
        </w:rPr>
        <w:sectPr>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sz w:val="32"/>
        </w:rPr>
      </w:pPr>
      <w:bookmarkStart w:id="9" w:name="_Toc30385"/>
      <w:bookmarkStart w:id="10" w:name="_Toc2613"/>
      <w:bookmarkStart w:id="11" w:name="_Toc2323"/>
      <w:r>
        <w:rPr>
          <w:rFonts w:hint="eastAsia" w:ascii="宋体" w:hAnsi="宋体" w:cs="宋体"/>
          <w:sz w:val="32"/>
        </w:rPr>
        <w:t>谈判须知正文</w:t>
      </w:r>
      <w:bookmarkEnd w:id="9"/>
      <w:bookmarkEnd w:id="10"/>
      <w:bookmarkEnd w:id="11"/>
    </w:p>
    <w:p>
      <w:pPr>
        <w:pStyle w:val="4"/>
        <w:keepNext w:val="0"/>
        <w:keepLines w:val="0"/>
        <w:spacing w:before="0" w:after="0" w:line="360" w:lineRule="auto"/>
        <w:outlineLvl w:val="1"/>
        <w:rPr>
          <w:rFonts w:ascii="宋体" w:hAnsi="宋体" w:cs="宋体"/>
          <w:sz w:val="21"/>
          <w:szCs w:val="21"/>
        </w:rPr>
      </w:pPr>
      <w:bookmarkStart w:id="12" w:name="_Toc23354"/>
      <w:bookmarkStart w:id="13" w:name="_Toc395"/>
      <w:bookmarkStart w:id="14" w:name="_Toc27999"/>
      <w:r>
        <w:rPr>
          <w:rFonts w:hint="eastAsia" w:ascii="宋体" w:hAnsi="宋体" w:cs="宋体"/>
          <w:sz w:val="21"/>
          <w:szCs w:val="21"/>
        </w:rPr>
        <w:t>一、说明</w:t>
      </w:r>
      <w:bookmarkEnd w:id="12"/>
      <w:bookmarkEnd w:id="13"/>
      <w:bookmarkEnd w:id="14"/>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4"/>
        <w:keepNext w:val="0"/>
        <w:keepLines w:val="0"/>
        <w:spacing w:before="0" w:after="0" w:line="360" w:lineRule="auto"/>
        <w:outlineLvl w:val="1"/>
        <w:rPr>
          <w:rFonts w:ascii="宋体" w:hAnsi="宋体" w:cs="宋体"/>
          <w:sz w:val="21"/>
          <w:szCs w:val="21"/>
        </w:rPr>
      </w:pPr>
      <w:bookmarkStart w:id="15" w:name="_Toc31632"/>
      <w:bookmarkStart w:id="16" w:name="_Toc8731"/>
      <w:bookmarkStart w:id="17" w:name="_Toc19198"/>
      <w:r>
        <w:rPr>
          <w:rFonts w:hint="eastAsia" w:ascii="宋体" w:hAnsi="宋体" w:cs="宋体"/>
          <w:sz w:val="21"/>
          <w:szCs w:val="21"/>
        </w:rPr>
        <w:t>二、谈判文件</w:t>
      </w:r>
      <w:bookmarkEnd w:id="15"/>
      <w:bookmarkEnd w:id="16"/>
      <w:bookmarkEnd w:id="17"/>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4"/>
        <w:keepNext w:val="0"/>
        <w:keepLines w:val="0"/>
        <w:spacing w:before="0" w:after="0" w:line="360" w:lineRule="auto"/>
        <w:outlineLvl w:val="1"/>
        <w:rPr>
          <w:rFonts w:ascii="宋体" w:hAnsi="宋体" w:cs="宋体"/>
          <w:sz w:val="21"/>
          <w:szCs w:val="21"/>
        </w:rPr>
      </w:pPr>
      <w:bookmarkStart w:id="18" w:name="_Toc24457"/>
      <w:bookmarkStart w:id="19" w:name="_Toc5302"/>
      <w:bookmarkStart w:id="20" w:name="_Toc29091"/>
      <w:r>
        <w:rPr>
          <w:rFonts w:hint="eastAsia" w:ascii="宋体" w:hAnsi="宋体" w:cs="宋体"/>
          <w:sz w:val="21"/>
          <w:szCs w:val="21"/>
        </w:rPr>
        <w:t>三、响应文件</w:t>
      </w:r>
      <w:bookmarkEnd w:id="18"/>
      <w:bookmarkEnd w:id="19"/>
      <w:bookmarkEnd w:id="20"/>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（4）谈判单位资格条件证明文件</w:t>
      </w:r>
    </w:p>
    <w:p>
      <w:pPr>
        <w:pStyle w:val="25"/>
        <w:adjustRightInd w:val="0"/>
        <w:snapToGrid w:val="0"/>
        <w:spacing w:line="360" w:lineRule="auto"/>
        <w:ind w:firstLine="420" w:firstLineChars="200"/>
        <w:rPr>
          <w:rFonts w:hAnsi="宋体"/>
        </w:rPr>
      </w:pPr>
      <w:r>
        <w:rPr>
          <w:rFonts w:hint="eastAsia" w:hAnsi="宋体"/>
        </w:rPr>
        <w:t>（5）服务方案</w:t>
      </w:r>
      <w:bookmarkStart w:id="189" w:name="_GoBack"/>
      <w:bookmarkEnd w:id="189"/>
    </w:p>
    <w:p>
      <w:pPr>
        <w:pStyle w:val="25"/>
        <w:adjustRightInd w:val="0"/>
        <w:snapToGrid w:val="0"/>
        <w:spacing w:line="360" w:lineRule="auto"/>
        <w:ind w:firstLine="420" w:firstLineChars="200"/>
        <w:rPr>
          <w:rFonts w:hAnsi="宋体"/>
          <w:highlight w:val="none"/>
        </w:rPr>
      </w:pPr>
      <w:r>
        <w:rPr>
          <w:rFonts w:hint="eastAsia" w:hAnsi="宋体"/>
          <w:highlight w:val="none"/>
        </w:rPr>
        <w:t>（6）报价一览表</w:t>
      </w:r>
    </w:p>
    <w:p>
      <w:pPr>
        <w:pStyle w:val="25"/>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7</w:t>
      </w:r>
      <w:r>
        <w:rPr>
          <w:rFonts w:hint="eastAsia" w:hAnsi="宋体"/>
        </w:rPr>
        <w:t>）其他资料（如有）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谈判单位所报的总价及综合单价均不得超过</w:t>
      </w:r>
      <w:r>
        <w:rPr>
          <w:rFonts w:ascii="宋体" w:hAnsi="宋体"/>
          <w:szCs w:val="21"/>
        </w:rPr>
        <w:t>最高投标限价</w:t>
      </w:r>
      <w:r>
        <w:rPr>
          <w:rFonts w:hint="eastAsia" w:ascii="宋体" w:hAnsi="宋体"/>
        </w:rPr>
        <w:t>，</w:t>
      </w:r>
      <w:r>
        <w:rPr>
          <w:rFonts w:hint="eastAsia" w:ascii="宋体" w:hAnsi="宋体"/>
          <w:szCs w:val="21"/>
        </w:rPr>
        <w:t>不超过</w:t>
      </w:r>
      <w:r>
        <w:rPr>
          <w:rFonts w:ascii="宋体" w:hAnsi="宋体"/>
          <w:szCs w:val="21"/>
        </w:rPr>
        <w:t>最高投标限价</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adjustRightInd w:val="0"/>
        <w:snapToGrid w:val="0"/>
        <w:spacing w:line="360" w:lineRule="auto"/>
        <w:ind w:firstLine="420" w:firstLineChars="200"/>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w:t>
      </w:r>
      <w:r>
        <w:rPr>
          <w:rFonts w:ascii="宋体" w:hAnsi="宋体"/>
          <w:szCs w:val="21"/>
        </w:rPr>
        <w:t>最高投标限价</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olor w:val="FF0000"/>
          <w:szCs w:val="21"/>
        </w:rPr>
      </w:pPr>
      <w:r>
        <w:rPr>
          <w:rFonts w:hint="eastAsia" w:ascii="宋体" w:hAnsi="宋体"/>
          <w:bCs/>
          <w:szCs w:val="21"/>
        </w:rPr>
        <w:t>12.7最低报价不能作为中选的保证。</w:t>
      </w:r>
    </w:p>
    <w:p>
      <w:pPr>
        <w:adjustRightInd w:val="0"/>
        <w:snapToGrid w:val="0"/>
        <w:spacing w:line="360" w:lineRule="auto"/>
        <w:ind w:firstLine="420" w:firstLineChars="200"/>
        <w:rPr>
          <w:rFonts w:hAnsi="宋体"/>
        </w:rPr>
      </w:pPr>
      <w:r>
        <w:rPr>
          <w:rFonts w:hint="eastAsia" w:ascii="宋体" w:hAnsi="宋体"/>
          <w:szCs w:val="21"/>
        </w:rPr>
        <w:t>12.8</w:t>
      </w:r>
      <w:r>
        <w:rPr>
          <w:rFonts w:hint="eastAsia" w:ascii="宋体" w:hAnsi="宋体" w:cs="宋体"/>
        </w:rPr>
        <w:t>本项目采用总价合同方式，合同价格包括在维保过程中所需的管理费、利润、税金等一切费用。在项目实施中出现任何遗漏，均由乙方免费提供，甲方不再支付任何费用。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4"/>
        <w:keepNext w:val="0"/>
        <w:keepLines w:val="0"/>
        <w:spacing w:before="0" w:after="0" w:line="360" w:lineRule="auto"/>
        <w:outlineLvl w:val="1"/>
        <w:rPr>
          <w:rFonts w:ascii="宋体" w:hAnsi="宋体" w:cs="宋体"/>
          <w:sz w:val="21"/>
          <w:szCs w:val="21"/>
        </w:rPr>
      </w:pPr>
      <w:bookmarkStart w:id="21" w:name="_Toc664"/>
      <w:bookmarkStart w:id="22" w:name="_Toc10609"/>
      <w:bookmarkStart w:id="23" w:name="_Toc5736"/>
      <w:r>
        <w:rPr>
          <w:rFonts w:hint="eastAsia" w:ascii="宋体" w:hAnsi="宋体" w:cs="宋体"/>
          <w:sz w:val="21"/>
          <w:szCs w:val="21"/>
        </w:rPr>
        <w:t>四、响应文件的递交</w:t>
      </w:r>
      <w:bookmarkEnd w:id="21"/>
      <w:bookmarkEnd w:id="22"/>
      <w:bookmarkEnd w:id="23"/>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szCs w:val="21"/>
                <w:u w:val="single"/>
              </w:rPr>
            </w:pPr>
            <w:r>
              <w:rPr>
                <w:rFonts w:hint="eastAsia" w:ascii="宋体" w:hAnsi="宋体"/>
                <w:szCs w:val="21"/>
              </w:rPr>
              <w:t>采购单位：</w:t>
            </w:r>
          </w:p>
          <w:p>
            <w:pPr>
              <w:spacing w:line="360" w:lineRule="auto"/>
              <w:ind w:firstLine="420" w:firstLineChars="200"/>
              <w:rPr>
                <w:rFonts w:ascii="宋体" w:hAnsi="宋体"/>
                <w:szCs w:val="21"/>
                <w:u w:val="single"/>
              </w:rPr>
            </w:pPr>
            <w:r>
              <w:rPr>
                <w:rFonts w:hint="eastAsia" w:ascii="宋体" w:hAnsi="宋体"/>
                <w:szCs w:val="21"/>
              </w:rPr>
              <w:t>项目名称：</w:t>
            </w:r>
          </w:p>
          <w:p>
            <w:pPr>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spacing w:line="360" w:lineRule="auto"/>
              <w:ind w:firstLine="420" w:firstLineChars="200"/>
              <w:rPr>
                <w:rFonts w:ascii="宋体" w:hAnsi="宋体"/>
                <w:szCs w:val="21"/>
              </w:rPr>
            </w:pPr>
            <w:r>
              <w:rPr>
                <w:rFonts w:hint="eastAsia" w:ascii="宋体" w:hAnsi="宋体"/>
                <w:bCs/>
                <w:szCs w:val="21"/>
              </w:rPr>
              <w:t>年     月     日</w:t>
            </w:r>
          </w:p>
        </w:tc>
      </w:tr>
    </w:tbl>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4"/>
        <w:keepNext w:val="0"/>
        <w:keepLines w:val="0"/>
        <w:spacing w:before="0" w:after="0" w:line="360" w:lineRule="auto"/>
        <w:outlineLvl w:val="1"/>
        <w:rPr>
          <w:rFonts w:ascii="宋体" w:hAnsi="宋体" w:cs="宋体"/>
          <w:sz w:val="21"/>
          <w:szCs w:val="21"/>
        </w:rPr>
      </w:pPr>
      <w:bookmarkStart w:id="24" w:name="_Toc6220"/>
      <w:bookmarkStart w:id="25" w:name="_Toc10570"/>
      <w:bookmarkStart w:id="26" w:name="_Toc4809"/>
      <w:r>
        <w:rPr>
          <w:rFonts w:hint="eastAsia" w:ascii="宋体" w:hAnsi="宋体" w:cs="宋体"/>
          <w:sz w:val="21"/>
          <w:szCs w:val="21"/>
        </w:rPr>
        <w:t>五、响应文件的评审</w:t>
      </w:r>
      <w:bookmarkEnd w:id="24"/>
      <w:bookmarkEnd w:id="25"/>
      <w:bookmarkEnd w:id="26"/>
    </w:p>
    <w:p>
      <w:pPr>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4"/>
        <w:keepNext w:val="0"/>
        <w:keepLines w:val="0"/>
        <w:spacing w:before="0" w:after="0" w:line="360" w:lineRule="auto"/>
        <w:outlineLvl w:val="1"/>
        <w:rPr>
          <w:rFonts w:ascii="宋体" w:hAnsi="宋体" w:cs="宋体"/>
          <w:sz w:val="21"/>
          <w:szCs w:val="21"/>
        </w:rPr>
      </w:pPr>
      <w:bookmarkStart w:id="27" w:name="_Toc9366"/>
      <w:bookmarkStart w:id="28" w:name="_Toc29306"/>
      <w:bookmarkStart w:id="29" w:name="_Toc25543"/>
      <w:r>
        <w:rPr>
          <w:rFonts w:hint="eastAsia" w:ascii="宋体" w:hAnsi="宋体" w:cs="宋体"/>
          <w:sz w:val="21"/>
          <w:szCs w:val="21"/>
        </w:rPr>
        <w:t>六、响应文件的澄清、说明及补正</w:t>
      </w:r>
      <w:bookmarkEnd w:id="27"/>
      <w:bookmarkEnd w:id="28"/>
      <w:bookmarkEnd w:id="29"/>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4"/>
        <w:keepNext w:val="0"/>
        <w:keepLines w:val="0"/>
        <w:spacing w:before="0" w:after="0" w:line="360" w:lineRule="auto"/>
        <w:outlineLvl w:val="1"/>
        <w:rPr>
          <w:rFonts w:ascii="宋体" w:hAnsi="宋体" w:cs="宋体"/>
          <w:sz w:val="21"/>
          <w:szCs w:val="21"/>
        </w:rPr>
      </w:pPr>
      <w:bookmarkStart w:id="30" w:name="_Toc25438"/>
      <w:bookmarkStart w:id="31" w:name="_Toc29452"/>
      <w:bookmarkStart w:id="32" w:name="_Toc25353"/>
      <w:r>
        <w:rPr>
          <w:rFonts w:hint="eastAsia" w:ascii="宋体" w:hAnsi="宋体" w:cs="宋体"/>
          <w:sz w:val="21"/>
          <w:szCs w:val="21"/>
        </w:rPr>
        <w:t>七、中选结果与授予合同</w:t>
      </w:r>
      <w:bookmarkEnd w:id="30"/>
      <w:bookmarkEnd w:id="31"/>
      <w:bookmarkEnd w:id="32"/>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33" w:name="page32"/>
      <w:bookmarkEnd w:id="33"/>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4"/>
        <w:keepNext w:val="0"/>
        <w:keepLines w:val="0"/>
        <w:spacing w:before="0" w:after="0" w:line="360" w:lineRule="auto"/>
        <w:outlineLvl w:val="1"/>
        <w:rPr>
          <w:rFonts w:ascii="宋体" w:hAnsi="宋体" w:cs="宋体"/>
          <w:sz w:val="21"/>
          <w:szCs w:val="21"/>
        </w:rPr>
      </w:pPr>
      <w:bookmarkStart w:id="34" w:name="_Toc29041"/>
      <w:bookmarkStart w:id="35" w:name="_Toc27069"/>
      <w:bookmarkStart w:id="36" w:name="_Toc30707"/>
      <w:r>
        <w:rPr>
          <w:rFonts w:hint="eastAsia" w:ascii="宋体" w:hAnsi="宋体" w:cs="宋体"/>
          <w:sz w:val="21"/>
          <w:szCs w:val="21"/>
        </w:rPr>
        <w:t>八、其他</w:t>
      </w:r>
      <w:bookmarkEnd w:id="34"/>
      <w:bookmarkEnd w:id="35"/>
      <w:bookmarkEnd w:id="36"/>
    </w:p>
    <w:p>
      <w:pPr>
        <w:adjustRightInd w:val="0"/>
        <w:snapToGrid w:val="0"/>
        <w:spacing w:line="360" w:lineRule="auto"/>
        <w:ind w:firstLine="420" w:firstLineChars="200"/>
        <w:sectPr>
          <w:pgSz w:w="12240" w:h="15840"/>
          <w:pgMar w:top="1440" w:right="1800" w:bottom="1440" w:left="1800" w:header="720" w:footer="720" w:gutter="0"/>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ind w:firstLine="420" w:firstLineChars="200"/>
              <w:jc w:val="right"/>
              <w:rPr>
                <w:rFonts w:ascii="宋体" w:hAnsi="宋体" w:cs="宋体"/>
                <w:bCs/>
                <w:szCs w:val="21"/>
              </w:rPr>
            </w:pPr>
            <w:r>
              <w:rPr>
                <w:rFonts w:hint="eastAsia" w:ascii="宋体" w:hAnsi="宋体" w:cs="宋体"/>
                <w:bCs/>
                <w:szCs w:val="21"/>
              </w:rPr>
              <w:t>汇率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pStyle w:val="3"/>
        <w:keepNext w:val="0"/>
        <w:spacing w:line="360" w:lineRule="auto"/>
        <w:ind w:firstLine="643" w:firstLineChars="200"/>
        <w:rPr>
          <w:rFonts w:ascii="宋体" w:hAnsi="宋体" w:cs="宋体"/>
          <w:bCs w:val="0"/>
          <w:sz w:val="32"/>
          <w:szCs w:val="32"/>
        </w:rPr>
      </w:pPr>
      <w:bookmarkStart w:id="37" w:name="_Toc30375"/>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bookmarkStart w:id="38" w:name="_Toc4774"/>
      <w:bookmarkStart w:id="39" w:name="_Toc31132"/>
      <w:r>
        <w:rPr>
          <w:rFonts w:hint="eastAsia" w:ascii="宋体" w:hAnsi="宋体" w:cs="宋体"/>
          <w:bCs w:val="0"/>
          <w:sz w:val="32"/>
          <w:szCs w:val="32"/>
        </w:rPr>
        <w:t>第三章 评审办法及标准</w:t>
      </w:r>
      <w:bookmarkEnd w:id="37"/>
      <w:bookmarkEnd w:id="38"/>
      <w:bookmarkEnd w:id="39"/>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adjustRightInd w:val="0"/>
        <w:snapToGrid w:val="0"/>
        <w:spacing w:line="360" w:lineRule="auto"/>
        <w:ind w:firstLine="420" w:firstLineChars="200"/>
        <w:rPr>
          <w:rFonts w:ascii="宋体" w:hAnsi="宋体"/>
          <w:bCs/>
          <w:szCs w:val="21"/>
        </w:rPr>
      </w:pPr>
      <w:r>
        <w:rPr>
          <w:rFonts w:hint="eastAsia" w:ascii="宋体" w:hAnsi="宋体"/>
          <w:bCs/>
          <w:szCs w:val="21"/>
        </w:rPr>
        <w:t>4.身份验证阶段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5.唱价阶段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谈判评审阶段分为符合性审查、详细评审及推荐中选单位。</w:t>
      </w:r>
    </w:p>
    <w:p>
      <w:pPr>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w:t>
      </w:r>
      <w:r>
        <w:rPr>
          <w:rFonts w:ascii="宋体" w:hAnsi="宋体"/>
          <w:szCs w:val="21"/>
        </w:rPr>
        <w:t>最高投标限价</w:t>
      </w:r>
      <w:r>
        <w:rPr>
          <w:rFonts w:hint="eastAsia" w:ascii="宋体" w:hAnsi="宋体"/>
          <w:szCs w:val="21"/>
        </w:rPr>
        <w:t>的；</w:t>
      </w:r>
    </w:p>
    <w:p>
      <w:pPr>
        <w:adjustRightInd w:val="0"/>
        <w:snapToGrid w:val="0"/>
        <w:spacing w:line="360" w:lineRule="auto"/>
        <w:ind w:firstLine="420" w:firstLineChars="200"/>
        <w:rPr>
          <w:rFonts w:ascii="黑体" w:hAnsi="宋体" w:eastAsia="黑体"/>
          <w:b/>
          <w:sz w:val="24"/>
        </w:rPr>
      </w:pPr>
      <w:r>
        <w:rPr>
          <w:rFonts w:hint="eastAsia" w:ascii="宋体" w:hAnsi="宋体"/>
          <w:szCs w:val="21"/>
        </w:rPr>
        <w:t xml:space="preserve">（6）递交两份或多份内容不同的报价文件，或在一份报价文件中对同一项目报有两个或多个报价，且未声明哪一个有效的 </w:t>
      </w:r>
    </w:p>
    <w:p>
      <w:pPr>
        <w:adjustRightInd w:val="0"/>
        <w:snapToGrid w:val="0"/>
        <w:spacing w:line="360" w:lineRule="auto"/>
        <w:ind w:firstLine="422" w:firstLineChars="200"/>
        <w:rPr>
          <w:rFonts w:ascii="宋体" w:hAnsi="宋体"/>
          <w:b/>
          <w:bCs/>
          <w:szCs w:val="21"/>
        </w:rPr>
      </w:pPr>
      <w:r>
        <w:rPr>
          <w:rFonts w:hint="eastAsia" w:ascii="宋体" w:hAnsi="宋体"/>
          <w:b/>
          <w:szCs w:val="21"/>
        </w:rPr>
        <w:t>7.</w:t>
      </w:r>
      <w:r>
        <w:rPr>
          <w:rFonts w:hint="eastAsia" w:ascii="宋体" w:hAnsi="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 xml:space="preserve">8.1 </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szCs w:val="21"/>
        </w:rPr>
      </w:pPr>
      <w:r>
        <w:rPr>
          <w:rFonts w:hint="eastAsia" w:ascii="宋体" w:hAnsi="宋体" w:cs="宋体"/>
          <w:kern w:val="0"/>
          <w:szCs w:val="21"/>
        </w:rPr>
        <w:t>8.2 全部评审结束后，若出现报价得分相同的情形，则采用现场抽签方式确定中选单位。</w:t>
      </w:r>
    </w:p>
    <w:p>
      <w:pPr>
        <w:adjustRightInd w:val="0"/>
        <w:snapToGrid w:val="0"/>
        <w:spacing w:before="120" w:beforeLines="50" w:line="360" w:lineRule="auto"/>
        <w:ind w:firstLine="643" w:firstLineChars="200"/>
        <w:rPr>
          <w:rFonts w:ascii="黑体" w:eastAsia="黑体"/>
          <w:b/>
          <w:sz w:val="32"/>
          <w:szCs w:val="32"/>
        </w:rPr>
        <w:sectPr>
          <w:footerReference r:id="rId5" w:type="default"/>
          <w:pgSz w:w="11906" w:h="16838"/>
          <w:pgMar w:top="1440" w:right="1797" w:bottom="1440" w:left="1797" w:header="851" w:footer="851" w:gutter="0"/>
          <w:cols w:space="720" w:num="1"/>
          <w:docGrid w:linePitch="312" w:charSpace="0"/>
        </w:sectPr>
      </w:pPr>
    </w:p>
    <w:p>
      <w:pPr>
        <w:adjustRightInd w:val="0"/>
        <w:snapToGrid w:val="0"/>
        <w:spacing w:line="360" w:lineRule="auto"/>
        <w:rPr>
          <w:rFonts w:ascii="黑体" w:hAnsi="宋体" w:eastAsia="黑体"/>
          <w:b/>
          <w:sz w:val="24"/>
        </w:rPr>
      </w:pPr>
    </w:p>
    <w:p>
      <w:pPr>
        <w:pStyle w:val="3"/>
        <w:keepNext w:val="0"/>
        <w:numPr>
          <w:ilvl w:val="0"/>
          <w:numId w:val="2"/>
        </w:numPr>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40" w:name="_Toc3240"/>
      <w:bookmarkStart w:id="41" w:name="_Toc8585"/>
      <w:bookmarkStart w:id="42" w:name="_Toc5878"/>
      <w:r>
        <w:rPr>
          <w:rFonts w:hint="eastAsia" w:ascii="宋体" w:hAnsi="宋体" w:cs="宋体"/>
          <w:bCs w:val="0"/>
          <w:sz w:val="32"/>
          <w:szCs w:val="32"/>
        </w:rPr>
        <w:t>用户需求书</w:t>
      </w:r>
      <w:bookmarkEnd w:id="40"/>
      <w:bookmarkEnd w:id="41"/>
      <w:bookmarkEnd w:id="42"/>
    </w:p>
    <w:p>
      <w:pPr>
        <w:jc w:val="center"/>
        <w:rPr>
          <w:b/>
          <w:sz w:val="36"/>
        </w:rPr>
      </w:pPr>
      <w:r>
        <w:rPr>
          <w:rFonts w:hint="eastAsia"/>
          <w:b/>
          <w:sz w:val="36"/>
        </w:rPr>
        <w:t>（详见附件）</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keepNext w:val="0"/>
        <w:spacing w:line="360" w:lineRule="auto"/>
        <w:rPr>
          <w:rFonts w:ascii="宋体" w:hAnsi="宋体" w:cs="宋体"/>
          <w:bCs w:val="0"/>
          <w:sz w:val="32"/>
          <w:szCs w:val="32"/>
        </w:rPr>
      </w:pPr>
      <w:bookmarkStart w:id="43" w:name="_Toc1516"/>
      <w:bookmarkStart w:id="44" w:name="_Toc7576"/>
      <w:r>
        <w:rPr>
          <w:rFonts w:hint="eastAsia" w:ascii="宋体" w:hAnsi="宋体" w:cs="宋体"/>
          <w:bCs w:val="0"/>
          <w:sz w:val="32"/>
          <w:szCs w:val="32"/>
        </w:rPr>
        <w:t>第五章  合同格式条款</w:t>
      </w:r>
      <w:bookmarkEnd w:id="43"/>
      <w:bookmarkEnd w:id="44"/>
    </w:p>
    <w:p>
      <w:pPr>
        <w:spacing w:line="360" w:lineRule="auto"/>
        <w:jc w:val="right"/>
        <w:rPr>
          <w:rFonts w:ascii="仿宋" w:hAnsi="仿宋" w:eastAsia="仿宋" w:cs="仿宋"/>
          <w:b/>
          <w:sz w:val="52"/>
        </w:rPr>
      </w:pPr>
      <w:r>
        <w:rPr>
          <w:rFonts w:hint="eastAsia" w:ascii="仿宋" w:hAnsi="仿宋" w:eastAsia="仿宋" w:cs="仿宋"/>
          <w:b/>
          <w:sz w:val="24"/>
        </w:rPr>
        <w:t>合同编号：</w:t>
      </w:r>
      <w:r>
        <w:rPr>
          <w:rFonts w:hint="eastAsia" w:ascii="仿宋" w:hAnsi="仿宋" w:eastAsia="仿宋" w:cs="仿宋"/>
          <w:sz w:val="24"/>
          <w:u w:val="single"/>
        </w:rPr>
        <w:t xml:space="preserve">       合同【20   】   号</w:t>
      </w:r>
    </w:p>
    <w:p>
      <w:pPr>
        <w:snapToGrid w:val="0"/>
        <w:spacing w:line="700" w:lineRule="exact"/>
        <w:jc w:val="center"/>
        <w:rPr>
          <w:rFonts w:ascii="仿宋" w:hAnsi="仿宋" w:eastAsia="仿宋" w:cs="仿宋"/>
          <w:b/>
          <w:sz w:val="28"/>
          <w:szCs w:val="28"/>
        </w:rPr>
      </w:pPr>
    </w:p>
    <w:p>
      <w:pPr>
        <w:tabs>
          <w:tab w:val="left" w:pos="3105"/>
        </w:tabs>
        <w:snapToGrid w:val="0"/>
        <w:spacing w:line="700" w:lineRule="exact"/>
        <w:rPr>
          <w:rFonts w:ascii="仿宋" w:hAnsi="仿宋" w:eastAsia="仿宋" w:cs="仿宋"/>
          <w:b/>
          <w:sz w:val="28"/>
          <w:szCs w:val="28"/>
        </w:rPr>
      </w:pPr>
      <w:r>
        <w:rPr>
          <w:rFonts w:hint="eastAsia" w:ascii="仿宋" w:hAnsi="仿宋" w:eastAsia="仿宋" w:cs="仿宋"/>
          <w:b/>
          <w:sz w:val="28"/>
          <w:szCs w:val="28"/>
        </w:rPr>
        <w:tab/>
      </w:r>
    </w:p>
    <w:p>
      <w:pPr>
        <w:snapToGrid w:val="0"/>
        <w:spacing w:line="700" w:lineRule="exact"/>
        <w:jc w:val="center"/>
        <w:rPr>
          <w:rFonts w:ascii="仿宋" w:hAnsi="仿宋" w:eastAsia="仿宋" w:cs="仿宋"/>
          <w:b/>
          <w:sz w:val="28"/>
          <w:szCs w:val="28"/>
        </w:rPr>
      </w:pPr>
    </w:p>
    <w:p>
      <w:pPr>
        <w:spacing w:line="360" w:lineRule="auto"/>
        <w:jc w:val="center"/>
        <w:rPr>
          <w:rFonts w:ascii="仿宋" w:hAnsi="仿宋" w:eastAsia="仿宋" w:cs="仿宋"/>
          <w:b/>
          <w:spacing w:val="20"/>
          <w:sz w:val="28"/>
          <w:szCs w:val="28"/>
        </w:rPr>
      </w:pPr>
    </w:p>
    <w:p>
      <w:pPr>
        <w:spacing w:line="360" w:lineRule="auto"/>
        <w:jc w:val="center"/>
        <w:rPr>
          <w:rFonts w:ascii="仿宋" w:hAnsi="仿宋" w:eastAsia="仿宋" w:cs="仿宋"/>
          <w:b/>
          <w:spacing w:val="20"/>
          <w:sz w:val="52"/>
          <w:szCs w:val="52"/>
        </w:rPr>
      </w:pPr>
      <w:r>
        <w:rPr>
          <w:rFonts w:hint="eastAsia" w:ascii="仿宋" w:hAnsi="仿宋" w:eastAsia="仿宋" w:cs="仿宋"/>
          <w:b/>
          <w:spacing w:val="20"/>
          <w:sz w:val="52"/>
          <w:szCs w:val="52"/>
        </w:rPr>
        <w:t>设备维修保养服务委外合同</w:t>
      </w:r>
    </w:p>
    <w:p>
      <w:pPr>
        <w:spacing w:before="240" w:beforeLines="100"/>
        <w:jc w:val="center"/>
        <w:rPr>
          <w:rFonts w:ascii="仿宋" w:hAnsi="仿宋" w:eastAsia="仿宋" w:cs="仿宋"/>
          <w:b/>
          <w:sz w:val="28"/>
          <w:szCs w:val="28"/>
        </w:rPr>
      </w:pPr>
    </w:p>
    <w:p>
      <w:pPr>
        <w:spacing w:before="240" w:beforeLines="100"/>
        <w:jc w:val="center"/>
        <w:rPr>
          <w:rFonts w:ascii="仿宋" w:hAnsi="仿宋" w:eastAsia="仿宋" w:cs="仿宋"/>
          <w:b/>
          <w:sz w:val="28"/>
          <w:szCs w:val="28"/>
        </w:rPr>
      </w:pPr>
    </w:p>
    <w:p>
      <w:pPr>
        <w:spacing w:before="240" w:beforeLines="100"/>
        <w:jc w:val="center"/>
        <w:rPr>
          <w:rFonts w:ascii="仿宋" w:hAnsi="仿宋" w:eastAsia="仿宋" w:cs="仿宋"/>
          <w:b/>
          <w:sz w:val="28"/>
          <w:szCs w:val="28"/>
        </w:rPr>
      </w:pPr>
    </w:p>
    <w:p>
      <w:pPr>
        <w:spacing w:before="240" w:beforeLines="100"/>
        <w:rPr>
          <w:rFonts w:ascii="仿宋" w:hAnsi="仿宋" w:eastAsia="仿宋" w:cs="仿宋"/>
          <w:b/>
          <w:sz w:val="28"/>
          <w:szCs w:val="28"/>
        </w:rPr>
      </w:pPr>
    </w:p>
    <w:p>
      <w:pPr>
        <w:adjustRightInd w:val="0"/>
        <w:snapToGrid w:val="0"/>
        <w:spacing w:line="360" w:lineRule="auto"/>
        <w:ind w:firstLine="835" w:firstLineChars="297"/>
        <w:rPr>
          <w:rFonts w:ascii="仿宋" w:hAnsi="仿宋" w:eastAsia="仿宋" w:cs="仿宋"/>
          <w:b/>
          <w:sz w:val="28"/>
          <w:u w:val="dotted"/>
        </w:rPr>
      </w:pPr>
      <w:r>
        <w:rPr>
          <w:rFonts w:hint="eastAsia" w:ascii="仿宋" w:hAnsi="仿宋" w:eastAsia="仿宋" w:cs="仿宋"/>
          <w:b/>
          <w:sz w:val="28"/>
        </w:rPr>
        <w:t>项目名称：</w:t>
      </w:r>
      <w:r>
        <w:rPr>
          <w:rFonts w:hint="eastAsia" w:ascii="仿宋" w:hAnsi="仿宋" w:eastAsia="仿宋" w:cs="仿宋"/>
          <w:b/>
          <w:sz w:val="28"/>
          <w:u w:val="single"/>
        </w:rPr>
        <w:t xml:space="preserve">                                     </w:t>
      </w:r>
    </w:p>
    <w:p>
      <w:pPr>
        <w:adjustRightInd w:val="0"/>
        <w:snapToGrid w:val="0"/>
        <w:spacing w:line="360" w:lineRule="auto"/>
        <w:ind w:firstLine="835" w:firstLineChars="297"/>
        <w:rPr>
          <w:rFonts w:ascii="仿宋" w:hAnsi="仿宋" w:eastAsia="仿宋" w:cs="仿宋"/>
          <w:b/>
          <w:sz w:val="28"/>
          <w:u w:val="dotted"/>
        </w:rPr>
      </w:pPr>
    </w:p>
    <w:p>
      <w:pPr>
        <w:adjustRightInd w:val="0"/>
        <w:snapToGrid w:val="0"/>
        <w:spacing w:line="360" w:lineRule="auto"/>
        <w:ind w:firstLine="835" w:firstLineChars="297"/>
        <w:rPr>
          <w:rFonts w:ascii="仿宋" w:hAnsi="仿宋" w:eastAsia="仿宋" w:cs="仿宋"/>
          <w:b/>
          <w:sz w:val="28"/>
          <w:u w:val="dotted"/>
        </w:rPr>
      </w:pPr>
      <w:r>
        <w:rPr>
          <w:rFonts w:hint="eastAsia" w:ascii="仿宋" w:hAnsi="仿宋" w:eastAsia="仿宋" w:cs="仿宋"/>
          <w:b/>
          <w:sz w:val="28"/>
        </w:rPr>
        <w:t>项目地点：</w:t>
      </w:r>
      <w:r>
        <w:rPr>
          <w:rFonts w:hint="eastAsia" w:ascii="仿宋" w:hAnsi="仿宋" w:eastAsia="仿宋" w:cs="仿宋"/>
          <w:b/>
          <w:sz w:val="28"/>
          <w:u w:val="single"/>
        </w:rPr>
        <w:t xml:space="preserve">            湖南省长沙市             </w:t>
      </w:r>
    </w:p>
    <w:p>
      <w:pPr>
        <w:adjustRightInd w:val="0"/>
        <w:snapToGrid w:val="0"/>
        <w:spacing w:line="360" w:lineRule="auto"/>
        <w:ind w:firstLine="1344" w:firstLineChars="478"/>
        <w:rPr>
          <w:rFonts w:ascii="仿宋" w:hAnsi="仿宋" w:eastAsia="仿宋" w:cs="仿宋"/>
          <w:b/>
          <w:sz w:val="28"/>
        </w:rPr>
      </w:pPr>
    </w:p>
    <w:p>
      <w:pPr>
        <w:adjustRightInd w:val="0"/>
        <w:snapToGrid w:val="0"/>
        <w:spacing w:line="360" w:lineRule="auto"/>
        <w:ind w:firstLine="835" w:firstLineChars="297"/>
        <w:rPr>
          <w:rFonts w:ascii="仿宋" w:hAnsi="仿宋" w:eastAsia="仿宋" w:cs="仿宋"/>
          <w:b/>
          <w:sz w:val="28"/>
          <w:u w:val="single"/>
        </w:rPr>
      </w:pPr>
      <w:r>
        <w:rPr>
          <w:rFonts w:hint="eastAsia" w:ascii="仿宋" w:hAnsi="仿宋" w:eastAsia="仿宋" w:cs="仿宋"/>
          <w:b/>
          <w:sz w:val="28"/>
        </w:rPr>
        <w:t>甲    方：</w:t>
      </w:r>
      <w:r>
        <w:rPr>
          <w:rFonts w:hint="eastAsia" w:ascii="仿宋" w:hAnsi="仿宋" w:eastAsia="仿宋" w:cs="仿宋"/>
          <w:b/>
          <w:sz w:val="28"/>
          <w:u w:val="single"/>
        </w:rPr>
        <w:t xml:space="preserve">                                     </w:t>
      </w:r>
    </w:p>
    <w:p>
      <w:pPr>
        <w:adjustRightInd w:val="0"/>
        <w:snapToGrid w:val="0"/>
        <w:spacing w:line="360" w:lineRule="auto"/>
        <w:ind w:firstLine="1344" w:firstLineChars="478"/>
        <w:rPr>
          <w:rFonts w:ascii="仿宋" w:hAnsi="仿宋" w:eastAsia="仿宋" w:cs="仿宋"/>
          <w:b/>
          <w:sz w:val="28"/>
        </w:rPr>
      </w:pPr>
    </w:p>
    <w:p>
      <w:pPr>
        <w:adjustRightInd w:val="0"/>
        <w:snapToGrid w:val="0"/>
        <w:spacing w:line="360" w:lineRule="auto"/>
        <w:ind w:firstLine="835" w:firstLineChars="297"/>
        <w:rPr>
          <w:rFonts w:ascii="仿宋" w:hAnsi="仿宋" w:eastAsia="仿宋" w:cs="仿宋"/>
          <w:b/>
          <w:sz w:val="28"/>
          <w:u w:val="dotted"/>
        </w:rPr>
      </w:pPr>
      <w:r>
        <w:rPr>
          <w:rFonts w:hint="eastAsia" w:ascii="仿宋" w:hAnsi="仿宋" w:eastAsia="仿宋" w:cs="仿宋"/>
          <w:b/>
          <w:sz w:val="28"/>
        </w:rPr>
        <w:t>乙    方：</w:t>
      </w:r>
      <w:r>
        <w:rPr>
          <w:rFonts w:hint="eastAsia" w:ascii="仿宋" w:hAnsi="仿宋" w:eastAsia="仿宋" w:cs="仿宋"/>
          <w:b/>
          <w:sz w:val="28"/>
          <w:u w:val="single"/>
        </w:rPr>
        <w:t xml:space="preserve">                                     </w:t>
      </w:r>
    </w:p>
    <w:p>
      <w:pPr>
        <w:widowControl/>
        <w:jc w:val="left"/>
        <w:rPr>
          <w:rFonts w:ascii="仿宋" w:hAnsi="仿宋" w:eastAsia="仿宋" w:cs="仿宋"/>
          <w:b/>
          <w:sz w:val="36"/>
          <w:szCs w:val="36"/>
        </w:rPr>
        <w:sectPr>
          <w:pgSz w:w="11850" w:h="16783"/>
          <w:pgMar w:top="1440" w:right="1800" w:bottom="1440" w:left="1800" w:header="851" w:footer="992" w:gutter="0"/>
          <w:cols w:space="720" w:num="1"/>
        </w:sectPr>
      </w:pPr>
    </w:p>
    <w:p>
      <w:pPr>
        <w:pStyle w:val="32"/>
        <w:tabs>
          <w:tab w:val="left" w:pos="420"/>
          <w:tab w:val="right" w:leader="dot" w:pos="8820"/>
        </w:tabs>
        <w:spacing w:line="360" w:lineRule="auto"/>
        <w:jc w:val="center"/>
        <w:outlineLvl w:val="9"/>
        <w:rPr>
          <w:rFonts w:ascii="仿宋" w:hAnsi="仿宋" w:eastAsia="仿宋" w:cs="仿宋"/>
          <w:sz w:val="32"/>
          <w:szCs w:val="32"/>
          <w:u w:val="single"/>
        </w:rPr>
      </w:pPr>
      <w:bookmarkStart w:id="45" w:name="_Toc29208"/>
      <w:bookmarkStart w:id="46" w:name="_Toc30639"/>
      <w:bookmarkStart w:id="47" w:name="_Toc368066683"/>
      <w:r>
        <w:rPr>
          <w:rFonts w:hint="eastAsia" w:ascii="仿宋" w:hAnsi="仿宋" w:eastAsia="仿宋" w:cs="仿宋"/>
          <w:sz w:val="32"/>
          <w:szCs w:val="32"/>
        </w:rPr>
        <w:t>第一部分 合同协议书</w:t>
      </w:r>
      <w:bookmarkEnd w:id="45"/>
      <w:bookmarkEnd w:id="46"/>
      <w:bookmarkEnd w:id="47"/>
    </w:p>
    <w:p>
      <w:pPr>
        <w:snapToGrid w:val="0"/>
        <w:spacing w:line="360" w:lineRule="auto"/>
        <w:rPr>
          <w:rFonts w:ascii="仿宋" w:hAnsi="仿宋" w:eastAsia="仿宋" w:cs="仿宋"/>
          <w:b/>
        </w:rPr>
      </w:pPr>
    </w:p>
    <w:p>
      <w:pPr>
        <w:pStyle w:val="13"/>
        <w:tabs>
          <w:tab w:val="left" w:pos="720"/>
        </w:tabs>
        <w:snapToGrid w:val="0"/>
        <w:spacing w:line="360" w:lineRule="auto"/>
        <w:ind w:left="205" w:hanging="205" w:hangingChars="85"/>
        <w:rPr>
          <w:rFonts w:ascii="仿宋" w:hAnsi="仿宋" w:eastAsia="仿宋"/>
          <w:b/>
          <w:sz w:val="24"/>
          <w:u w:val="single"/>
        </w:rPr>
      </w:pPr>
      <w:r>
        <w:rPr>
          <w:rFonts w:hint="eastAsia" w:ascii="仿宋" w:hAnsi="仿宋" w:eastAsia="仿宋"/>
          <w:b/>
          <w:sz w:val="24"/>
        </w:rPr>
        <w:t>甲方</w:t>
      </w:r>
      <w:r>
        <w:rPr>
          <w:rFonts w:hint="eastAsia" w:ascii="仿宋" w:hAnsi="仿宋" w:eastAsia="仿宋"/>
          <w:sz w:val="24"/>
        </w:rPr>
        <w:t>（全称）：</w:t>
      </w:r>
      <w:r>
        <w:rPr>
          <w:rFonts w:hint="eastAsia" w:ascii="仿宋" w:hAnsi="仿宋" w:eastAsia="仿宋"/>
          <w:sz w:val="24"/>
          <w:u w:val="single"/>
        </w:rPr>
        <w:t xml:space="preserve">            </w:t>
      </w:r>
      <w:r>
        <w:rPr>
          <w:rFonts w:hint="eastAsia" w:ascii="仿宋" w:hAnsi="仿宋" w:eastAsia="仿宋"/>
          <w:b/>
          <w:sz w:val="24"/>
          <w:u w:val="single"/>
        </w:rPr>
        <w:t xml:space="preserve">                      </w:t>
      </w:r>
    </w:p>
    <w:p>
      <w:pPr>
        <w:autoSpaceDE w:val="0"/>
        <w:autoSpaceDN w:val="0"/>
        <w:snapToGrid w:val="0"/>
        <w:spacing w:line="360" w:lineRule="auto"/>
        <w:textAlignment w:val="bottom"/>
        <w:rPr>
          <w:rFonts w:ascii="仿宋" w:hAnsi="仿宋" w:eastAsia="仿宋"/>
          <w:sz w:val="24"/>
        </w:rPr>
      </w:pPr>
      <w:r>
        <w:rPr>
          <w:rFonts w:hint="eastAsia" w:ascii="仿宋" w:hAnsi="仿宋" w:eastAsia="仿宋"/>
          <w:b/>
          <w:sz w:val="24"/>
        </w:rPr>
        <w:t>乙方</w:t>
      </w:r>
      <w:r>
        <w:rPr>
          <w:rFonts w:hint="eastAsia" w:ascii="仿宋" w:hAnsi="仿宋" w:eastAsia="仿宋"/>
          <w:sz w:val="24"/>
        </w:rPr>
        <w:t>（全称）：</w:t>
      </w:r>
      <w:r>
        <w:rPr>
          <w:rFonts w:hint="eastAsia" w:ascii="仿宋" w:hAnsi="仿宋" w:eastAsia="仿宋"/>
          <w:sz w:val="24"/>
          <w:u w:val="single"/>
        </w:rPr>
        <w:t xml:space="preserve">                                   </w:t>
      </w:r>
    </w:p>
    <w:p>
      <w:pPr>
        <w:autoSpaceDE w:val="0"/>
        <w:autoSpaceDN w:val="0"/>
        <w:snapToGrid w:val="0"/>
        <w:spacing w:line="360" w:lineRule="auto"/>
        <w:ind w:firstLine="480"/>
        <w:textAlignment w:val="bottom"/>
        <w:rPr>
          <w:rFonts w:ascii="仿宋" w:hAnsi="仿宋" w:eastAsia="仿宋" w:cs="仿宋"/>
          <w:sz w:val="24"/>
        </w:rPr>
      </w:pPr>
      <w:r>
        <w:rPr>
          <w:rFonts w:hint="eastAsia" w:ascii="仿宋" w:hAnsi="仿宋" w:eastAsia="仿宋"/>
          <w:sz w:val="24"/>
        </w:rPr>
        <w:t>本合同于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日由甲方和乙方依照《中华人民共和国合同法》及其他有关法律、行政法规，遵循平等、自愿、公平和诚实信用的原则，按下述条款和条件在</w:t>
      </w:r>
      <w:r>
        <w:rPr>
          <w:rFonts w:hint="eastAsia" w:ascii="仿宋" w:hAnsi="仿宋" w:eastAsia="仿宋"/>
          <w:sz w:val="24"/>
          <w:u w:val="single"/>
        </w:rPr>
        <w:t>湖南省长沙市雨花区</w:t>
      </w:r>
      <w:r>
        <w:rPr>
          <w:rFonts w:hint="eastAsia" w:ascii="仿宋" w:hAnsi="仿宋" w:eastAsia="仿宋"/>
          <w:sz w:val="24"/>
        </w:rPr>
        <w:t>签署。</w:t>
      </w:r>
    </w:p>
    <w:p>
      <w:pPr>
        <w:pStyle w:val="13"/>
        <w:tabs>
          <w:tab w:val="left" w:pos="720"/>
        </w:tabs>
        <w:snapToGrid w:val="0"/>
        <w:spacing w:line="360" w:lineRule="auto"/>
        <w:ind w:firstLine="0"/>
        <w:rPr>
          <w:rFonts w:ascii="仿宋" w:hAnsi="仿宋" w:eastAsia="仿宋"/>
          <w:sz w:val="24"/>
          <w:szCs w:val="24"/>
          <w:u w:val="single"/>
          <w:lang w:val="en-GB"/>
        </w:rPr>
      </w:pPr>
      <w:r>
        <w:rPr>
          <w:rFonts w:hint="eastAsia" w:ascii="仿宋" w:hAnsi="仿宋" w:eastAsia="仿宋"/>
          <w:sz w:val="24"/>
        </w:rPr>
        <w:t xml:space="preserve">    鉴于甲方为获得以下服务，即</w:t>
      </w:r>
      <w:bookmarkStart w:id="48" w:name="OLE_LINK1"/>
      <w:r>
        <w:rPr>
          <w:rFonts w:hint="eastAsia" w:ascii="仿宋" w:hAnsi="仿宋" w:eastAsia="仿宋"/>
          <w:sz w:val="24"/>
          <w:u w:val="single"/>
        </w:rPr>
        <w:t xml:space="preserve">                  </w:t>
      </w:r>
      <w:r>
        <w:rPr>
          <w:rFonts w:hint="eastAsia" w:ascii="仿宋" w:hAnsi="仿宋" w:eastAsia="仿宋"/>
          <w:sz w:val="24"/>
        </w:rPr>
        <w:t>项目</w:t>
      </w:r>
      <w:bookmarkEnd w:id="48"/>
      <w:r>
        <w:rPr>
          <w:rFonts w:hint="eastAsia" w:ascii="仿宋" w:hAnsi="仿宋" w:eastAsia="仿宋"/>
          <w:sz w:val="24"/>
        </w:rPr>
        <w:t>而进行招标，并接受了乙方以总金额</w:t>
      </w:r>
      <w:r>
        <w:rPr>
          <w:rFonts w:hint="eastAsia" w:ascii="仿宋" w:hAnsi="仿宋" w:eastAsia="仿宋" w:cs="仿宋_GB2312"/>
          <w:sz w:val="24"/>
          <w:shd w:val="clear" w:color="auto" w:fill="FFFFFF"/>
          <w:lang w:bidi="ar"/>
        </w:rPr>
        <w:t>人民币（大写）</w:t>
      </w:r>
      <w:r>
        <w:rPr>
          <w:rFonts w:eastAsia="仿宋"/>
          <w:sz w:val="24"/>
          <w:u w:val="single"/>
          <w:shd w:val="clear" w:color="auto" w:fill="FFFFFF"/>
          <w:lang w:bidi="ar"/>
        </w:rPr>
        <w:t>  </w:t>
      </w:r>
      <w:r>
        <w:rPr>
          <w:rFonts w:hint="eastAsia" w:ascii="仿宋" w:hAnsi="仿宋" w:eastAsia="仿宋"/>
          <w:sz w:val="24"/>
          <w:u w:val="single"/>
          <w:shd w:val="clear" w:color="auto" w:fill="FFFFFF"/>
          <w:lang w:bidi="ar"/>
        </w:rPr>
        <w:t xml:space="preserve"> </w:t>
      </w:r>
      <w:r>
        <w:rPr>
          <w:rFonts w:eastAsia="仿宋"/>
          <w:sz w:val="24"/>
          <w:u w:val="single"/>
          <w:shd w:val="clear" w:color="auto" w:fill="FFFFFF"/>
          <w:lang w:bidi="ar"/>
        </w:rPr>
        <w:t>         </w:t>
      </w:r>
      <w:r>
        <w:rPr>
          <w:rFonts w:hint="eastAsia" w:ascii="仿宋" w:hAnsi="仿宋" w:eastAsia="仿宋" w:cs="仿宋_GB2312"/>
          <w:sz w:val="24"/>
          <w:shd w:val="clear" w:color="auto" w:fill="FFFFFF"/>
          <w:lang w:bidi="ar"/>
        </w:rPr>
        <w:t>（</w:t>
      </w:r>
      <w:r>
        <w:rPr>
          <w:rFonts w:eastAsia="仿宋"/>
          <w:sz w:val="24"/>
          <w:shd w:val="clear" w:color="auto" w:fill="FFFFFF"/>
          <w:lang w:bidi="ar"/>
        </w:rPr>
        <w:t>¥</w:t>
      </w:r>
      <w:r>
        <w:rPr>
          <w:rFonts w:eastAsia="仿宋"/>
          <w:sz w:val="24"/>
          <w:u w:val="single"/>
          <w:shd w:val="clear" w:color="auto" w:fill="FFFFFF"/>
          <w:lang w:bidi="ar"/>
        </w:rPr>
        <w:t>   </w:t>
      </w:r>
      <w:r>
        <w:rPr>
          <w:rFonts w:hint="eastAsia" w:ascii="仿宋" w:hAnsi="仿宋" w:eastAsia="仿宋"/>
          <w:sz w:val="24"/>
          <w:u w:val="single"/>
          <w:shd w:val="clear" w:color="auto" w:fill="FFFFFF"/>
          <w:lang w:bidi="ar"/>
        </w:rPr>
        <w:t xml:space="preserve">   </w:t>
      </w:r>
      <w:r>
        <w:rPr>
          <w:rFonts w:eastAsia="仿宋"/>
          <w:sz w:val="24"/>
          <w:u w:val="single"/>
          <w:shd w:val="clear" w:color="auto" w:fill="FFFFFF"/>
          <w:lang w:bidi="ar"/>
        </w:rPr>
        <w:t>      </w:t>
      </w:r>
      <w:r>
        <w:rPr>
          <w:rFonts w:hint="eastAsia" w:ascii="仿宋" w:hAnsi="仿宋" w:eastAsia="仿宋" w:cs="仿宋_GB2312"/>
          <w:sz w:val="24"/>
          <w:shd w:val="clear" w:color="auto" w:fill="FFFFFF"/>
          <w:lang w:bidi="ar"/>
        </w:rPr>
        <w:t>）</w:t>
      </w:r>
      <w:r>
        <w:rPr>
          <w:rFonts w:hint="eastAsia" w:ascii="仿宋" w:hAnsi="仿宋" w:eastAsia="仿宋"/>
          <w:sz w:val="24"/>
        </w:rPr>
        <w:t>（以下简称“</w:t>
      </w:r>
      <w:r>
        <w:rPr>
          <w:rFonts w:hint="eastAsia" w:ascii="仿宋" w:hAnsi="仿宋" w:eastAsia="仿宋"/>
          <w:sz w:val="24"/>
          <w:szCs w:val="24"/>
        </w:rPr>
        <w:t>签约合同价</w:t>
      </w:r>
      <w:r>
        <w:rPr>
          <w:rFonts w:hint="eastAsia" w:ascii="仿宋" w:hAnsi="仿宋" w:eastAsia="仿宋"/>
          <w:sz w:val="24"/>
        </w:rPr>
        <w:t>”）提供上述服务的投标。</w:t>
      </w:r>
    </w:p>
    <w:p>
      <w:pPr>
        <w:snapToGrid w:val="0"/>
        <w:spacing w:line="360" w:lineRule="auto"/>
        <w:ind w:firstLine="420" w:firstLineChars="175"/>
        <w:rPr>
          <w:rFonts w:ascii="仿宋" w:hAnsi="仿宋" w:eastAsia="仿宋" w:cs="仿宋"/>
          <w:sz w:val="24"/>
        </w:rPr>
      </w:pPr>
      <w:r>
        <w:rPr>
          <w:rFonts w:hint="eastAsia" w:ascii="仿宋" w:hAnsi="仿宋" w:eastAsia="仿宋" w:cs="仿宋"/>
          <w:sz w:val="24"/>
        </w:rPr>
        <w:t>一、项目概况：</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20" w:firstLineChars="175"/>
        <w:rPr>
          <w:rFonts w:ascii="仿宋" w:hAnsi="仿宋" w:eastAsia="仿宋" w:cs="仿宋"/>
          <w:sz w:val="24"/>
        </w:rPr>
      </w:pPr>
      <w:r>
        <w:rPr>
          <w:rFonts w:hint="eastAsia" w:ascii="仿宋" w:hAnsi="仿宋" w:eastAsia="仿宋" w:cs="仿宋"/>
          <w:sz w:val="24"/>
        </w:rPr>
        <w:t>二、服务范围：</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20" w:firstLineChars="175"/>
        <w:rPr>
          <w:rFonts w:ascii="仿宋" w:hAnsi="仿宋" w:eastAsia="仿宋" w:cs="仿宋"/>
          <w:sz w:val="24"/>
        </w:rPr>
      </w:pPr>
      <w:r>
        <w:rPr>
          <w:rFonts w:hint="eastAsia" w:ascii="仿宋" w:hAnsi="仿宋" w:eastAsia="仿宋" w:cs="仿宋"/>
          <w:sz w:val="24"/>
        </w:rPr>
        <w:t>三、服务期限：</w:t>
      </w:r>
      <w:r>
        <w:rPr>
          <w:rFonts w:hint="eastAsia" w:ascii="仿宋" w:hAnsi="仿宋" w:eastAsia="仿宋" w:cs="仿宋"/>
          <w:sz w:val="24"/>
          <w:u w:val="single"/>
        </w:rPr>
        <w:t xml:space="preserve">                              </w:t>
      </w:r>
      <w:r>
        <w:rPr>
          <w:rFonts w:hint="eastAsia" w:ascii="仿宋" w:hAnsi="仿宋" w:eastAsia="仿宋" w:cs="仿宋"/>
          <w:sz w:val="24"/>
        </w:rPr>
        <w:t>。</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kern w:val="0"/>
          <w:sz w:val="24"/>
        </w:rPr>
        <w:t>四、</w:t>
      </w:r>
      <w:r>
        <w:rPr>
          <w:rFonts w:hint="eastAsia" w:ascii="仿宋" w:hAnsi="仿宋" w:eastAsia="仿宋"/>
          <w:sz w:val="24"/>
        </w:rPr>
        <w:t>下述文件是本合同的一部分，一起阅读和解释：</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（1）补充协议（如果有）；</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（2）合同协议书;</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（3）中标通知书;</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（4）合同专用条款;</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（5）合同通用条款;</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（6）技术规格书;</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（7）价格清单;</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（8）合同其他附件及乙方供应商按合同附录格式及要求出具的文件;</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（9）招标文件、澄清与答疑文件及其它补充资料；</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（10）投标文件、澄清文件及其它补充资料；</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（11）批准的图纸（如果有）；</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（12）其他构成本合同的文件。</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七、本合同正本</w:t>
      </w:r>
      <w:r>
        <w:rPr>
          <w:rFonts w:hint="eastAsia" w:ascii="仿宋" w:hAnsi="仿宋" w:eastAsia="仿宋"/>
          <w:sz w:val="24"/>
          <w:u w:val="single"/>
        </w:rPr>
        <w:t>二</w:t>
      </w:r>
      <w:r>
        <w:rPr>
          <w:rFonts w:hint="eastAsia" w:ascii="仿宋" w:hAnsi="仿宋" w:eastAsia="仿宋"/>
          <w:sz w:val="24"/>
        </w:rPr>
        <w:t>份、副本</w:t>
      </w:r>
      <w:r>
        <w:rPr>
          <w:rFonts w:hint="eastAsia" w:ascii="仿宋" w:hAnsi="仿宋" w:eastAsia="仿宋"/>
          <w:sz w:val="24"/>
          <w:u w:val="single"/>
        </w:rPr>
        <w:t>六</w:t>
      </w:r>
      <w:r>
        <w:rPr>
          <w:rFonts w:hint="eastAsia" w:ascii="仿宋" w:hAnsi="仿宋" w:eastAsia="仿宋"/>
          <w:sz w:val="24"/>
        </w:rPr>
        <w:t>份，甲方持正本</w:t>
      </w:r>
      <w:r>
        <w:rPr>
          <w:rFonts w:hint="eastAsia" w:ascii="仿宋" w:hAnsi="仿宋" w:eastAsia="仿宋"/>
          <w:sz w:val="24"/>
          <w:u w:val="single"/>
        </w:rPr>
        <w:t>一</w:t>
      </w:r>
      <w:r>
        <w:rPr>
          <w:rFonts w:hint="eastAsia" w:ascii="仿宋" w:hAnsi="仿宋" w:eastAsia="仿宋"/>
          <w:sz w:val="24"/>
        </w:rPr>
        <w:t>份、副本</w:t>
      </w:r>
      <w:r>
        <w:rPr>
          <w:rFonts w:hint="eastAsia" w:ascii="仿宋" w:hAnsi="仿宋" w:eastAsia="仿宋"/>
          <w:sz w:val="24"/>
          <w:u w:val="single"/>
        </w:rPr>
        <w:t>五</w:t>
      </w:r>
      <w:r>
        <w:rPr>
          <w:rFonts w:hint="eastAsia" w:ascii="仿宋" w:hAnsi="仿宋" w:eastAsia="仿宋"/>
          <w:sz w:val="24"/>
        </w:rPr>
        <w:t>份，乙方持正本</w:t>
      </w:r>
      <w:r>
        <w:rPr>
          <w:rFonts w:hint="eastAsia" w:ascii="仿宋" w:hAnsi="仿宋" w:eastAsia="仿宋"/>
          <w:sz w:val="24"/>
          <w:u w:val="single"/>
        </w:rPr>
        <w:t>一</w:t>
      </w:r>
      <w:r>
        <w:rPr>
          <w:rFonts w:hint="eastAsia" w:ascii="仿宋" w:hAnsi="仿宋" w:eastAsia="仿宋"/>
          <w:sz w:val="24"/>
        </w:rPr>
        <w:t>份、副本</w:t>
      </w:r>
      <w:r>
        <w:rPr>
          <w:rFonts w:hint="eastAsia" w:ascii="仿宋" w:hAnsi="仿宋" w:eastAsia="仿宋"/>
          <w:sz w:val="24"/>
          <w:u w:val="single"/>
        </w:rPr>
        <w:t>一</w:t>
      </w:r>
      <w:r>
        <w:rPr>
          <w:rFonts w:hint="eastAsia" w:ascii="仿宋" w:hAnsi="仿宋" w:eastAsia="仿宋"/>
          <w:sz w:val="24"/>
        </w:rPr>
        <w:t>份。合同正本与副本具有同等效力，当合同副本与正本之间存有差异时，以合同正本为准。</w:t>
      </w:r>
    </w:p>
    <w:p>
      <w:pPr>
        <w:tabs>
          <w:tab w:val="left" w:pos="1248"/>
        </w:tabs>
        <w:adjustRightInd w:val="0"/>
        <w:snapToGrid w:val="0"/>
        <w:spacing w:line="360" w:lineRule="auto"/>
        <w:ind w:firstLine="480" w:firstLineChars="200"/>
        <w:rPr>
          <w:rFonts w:ascii="仿宋" w:hAnsi="仿宋" w:eastAsia="仿宋"/>
          <w:sz w:val="24"/>
        </w:rPr>
      </w:pPr>
      <w:r>
        <w:rPr>
          <w:rFonts w:hint="eastAsia" w:ascii="仿宋" w:hAnsi="仿宋" w:eastAsia="仿宋"/>
          <w:sz w:val="24"/>
        </w:rPr>
        <w:t>八、本合同自</w:t>
      </w:r>
      <w:r>
        <w:rPr>
          <w:rFonts w:hint="eastAsia" w:ascii="仿宋" w:hAnsi="仿宋" w:eastAsia="仿宋"/>
          <w:sz w:val="24"/>
          <w:u w:val="single"/>
        </w:rPr>
        <w:t>双方法定代表人或其授权代表签字，加盖合同专用章/公章后</w:t>
      </w:r>
      <w:r>
        <w:rPr>
          <w:rFonts w:hint="eastAsia" w:ascii="仿宋" w:hAnsi="仿宋" w:eastAsia="仿宋"/>
          <w:sz w:val="24"/>
        </w:rPr>
        <w:t>生效。（本页无正文）</w:t>
      </w:r>
    </w:p>
    <w:p>
      <w:pPr>
        <w:adjustRightInd w:val="0"/>
        <w:snapToGrid w:val="0"/>
        <w:spacing w:line="360" w:lineRule="auto"/>
        <w:ind w:firstLine="480" w:firstLineChars="200"/>
        <w:rPr>
          <w:rFonts w:ascii="仿宋" w:hAnsi="仿宋" w:eastAsia="仿宋"/>
          <w:sz w:val="24"/>
        </w:rPr>
      </w:pPr>
    </w:p>
    <w:p>
      <w:pPr>
        <w:adjustRightInd w:val="0"/>
        <w:snapToGrid w:val="0"/>
        <w:spacing w:line="360" w:lineRule="auto"/>
        <w:ind w:firstLine="480" w:firstLineChars="200"/>
        <w:rPr>
          <w:rFonts w:ascii="仿宋" w:hAnsi="仿宋" w:eastAsia="仿宋"/>
          <w:sz w:val="24"/>
        </w:rPr>
      </w:pPr>
    </w:p>
    <w:p>
      <w:pPr>
        <w:adjustRightInd w:val="0"/>
        <w:snapToGrid w:val="0"/>
        <w:spacing w:line="360" w:lineRule="auto"/>
        <w:ind w:firstLine="480" w:firstLineChars="200"/>
        <w:rPr>
          <w:rFonts w:ascii="仿宋" w:hAnsi="仿宋" w:eastAsia="仿宋"/>
          <w:sz w:val="24"/>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ascii="仿宋" w:hAnsi="仿宋" w:eastAsia="仿宋"/>
                <w:sz w:val="24"/>
              </w:rPr>
            </w:pPr>
            <w:r>
              <w:rPr>
                <w:rFonts w:hint="eastAsia" w:ascii="仿宋" w:hAnsi="仿宋" w:eastAsia="仿宋"/>
                <w:sz w:val="24"/>
              </w:rPr>
              <w:t>甲方：(盖章)</w:t>
            </w:r>
          </w:p>
          <w:p>
            <w:pPr>
              <w:pStyle w:val="25"/>
              <w:snapToGrid w:val="0"/>
              <w:spacing w:line="360" w:lineRule="auto"/>
              <w:rPr>
                <w:rFonts w:ascii="仿宋" w:hAnsi="仿宋" w:eastAsia="仿宋"/>
                <w:sz w:val="24"/>
              </w:rPr>
            </w:pPr>
            <w:r>
              <w:rPr>
                <w:rFonts w:hint="eastAsia" w:ascii="仿宋" w:hAnsi="仿宋" w:eastAsia="仿宋"/>
                <w:sz w:val="24"/>
              </w:rPr>
              <w:t xml:space="preserve"> </w:t>
            </w:r>
          </w:p>
        </w:tc>
        <w:tc>
          <w:tcPr>
            <w:tcW w:w="4252" w:type="dxa"/>
          </w:tcPr>
          <w:p>
            <w:pPr>
              <w:pStyle w:val="25"/>
              <w:snapToGrid w:val="0"/>
              <w:spacing w:line="360" w:lineRule="auto"/>
              <w:rPr>
                <w:rFonts w:ascii="仿宋" w:hAnsi="仿宋" w:eastAsia="仿宋"/>
                <w:sz w:val="24"/>
              </w:rPr>
            </w:pPr>
            <w:r>
              <w:rPr>
                <w:rFonts w:hint="eastAsia" w:ascii="仿宋" w:hAnsi="仿宋" w:eastAsia="仿宋"/>
                <w:sz w:val="24"/>
              </w:rPr>
              <w:t>乙方：（盖章）</w:t>
            </w:r>
          </w:p>
          <w:p>
            <w:pPr>
              <w:pStyle w:val="25"/>
              <w:snapToGrid w:val="0"/>
              <w:spacing w:line="360" w:lineRule="auto"/>
              <w:rPr>
                <w:rFonts w:ascii="仿宋" w:hAnsi="仿宋" w:eastAsia="仿宋"/>
                <w:sz w:val="24"/>
              </w:rPr>
            </w:pPr>
          </w:p>
        </w:tc>
      </w:tr>
      <w:tr>
        <w:tblPrEx>
          <w:tblCellMar>
            <w:top w:w="0" w:type="dxa"/>
            <w:left w:w="108" w:type="dxa"/>
            <w:bottom w:w="0" w:type="dxa"/>
            <w:right w:w="108" w:type="dxa"/>
          </w:tblCellMar>
        </w:tblPrEx>
        <w:trPr>
          <w:trHeight w:val="1524" w:hRule="atLeast"/>
          <w:jc w:val="center"/>
        </w:trPr>
        <w:tc>
          <w:tcPr>
            <w:tcW w:w="4467" w:type="dxa"/>
          </w:tcPr>
          <w:p>
            <w:pPr>
              <w:pStyle w:val="25"/>
              <w:snapToGrid w:val="0"/>
              <w:spacing w:line="360" w:lineRule="auto"/>
              <w:ind w:left="19" w:leftChars="9"/>
              <w:rPr>
                <w:rFonts w:ascii="仿宋" w:hAnsi="仿宋" w:eastAsia="仿宋"/>
                <w:sz w:val="24"/>
              </w:rPr>
            </w:pPr>
            <w:r>
              <w:rPr>
                <w:rFonts w:hint="eastAsia" w:ascii="仿宋" w:hAnsi="仿宋" w:eastAsia="仿宋"/>
                <w:sz w:val="24"/>
              </w:rPr>
              <w:t>法定代表人或其授权代表：</w:t>
            </w:r>
          </w:p>
          <w:p>
            <w:pPr>
              <w:pStyle w:val="25"/>
              <w:snapToGrid w:val="0"/>
              <w:spacing w:line="360" w:lineRule="auto"/>
              <w:ind w:left="19" w:leftChars="9"/>
              <w:rPr>
                <w:rFonts w:ascii="仿宋" w:hAnsi="仿宋" w:eastAsia="仿宋"/>
                <w:sz w:val="24"/>
              </w:rPr>
            </w:pP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法定代表人或其授权代表：</w:t>
            </w:r>
          </w:p>
          <w:p>
            <w:pPr>
              <w:pStyle w:val="25"/>
              <w:snapToGrid w:val="0"/>
              <w:spacing w:line="360" w:lineRule="auto"/>
              <w:ind w:left="34" w:leftChars="16"/>
              <w:rPr>
                <w:rFonts w:ascii="仿宋" w:hAnsi="仿宋" w:eastAsia="仿宋"/>
                <w:sz w:val="24"/>
              </w:rPr>
            </w:pP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ascii="仿宋" w:hAnsi="仿宋" w:eastAsia="仿宋"/>
                <w:sz w:val="24"/>
              </w:rPr>
            </w:pPr>
            <w:r>
              <w:rPr>
                <w:rFonts w:hint="eastAsia" w:ascii="仿宋" w:hAnsi="仿宋" w:eastAsia="仿宋"/>
                <w:sz w:val="24"/>
              </w:rPr>
              <w:t xml:space="preserve">地址：  </w:t>
            </w:r>
          </w:p>
        </w:tc>
        <w:tc>
          <w:tcPr>
            <w:tcW w:w="4252" w:type="dxa"/>
          </w:tcPr>
          <w:p>
            <w:pPr>
              <w:pStyle w:val="25"/>
              <w:snapToGrid w:val="0"/>
              <w:spacing w:line="360" w:lineRule="auto"/>
              <w:rPr>
                <w:rFonts w:ascii="仿宋" w:hAnsi="仿宋" w:eastAsia="仿宋"/>
                <w:sz w:val="24"/>
              </w:rPr>
            </w:pPr>
            <w:r>
              <w:rPr>
                <w:rFonts w:hint="eastAsia" w:ascii="仿宋" w:hAnsi="仿宋" w:eastAsia="仿宋"/>
                <w:sz w:val="24"/>
              </w:rPr>
              <w:t>地址：</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ascii="仿宋" w:hAnsi="仿宋" w:eastAsia="仿宋"/>
                <w:sz w:val="24"/>
              </w:rPr>
            </w:pPr>
            <w:r>
              <w:rPr>
                <w:rFonts w:hint="eastAsia" w:ascii="仿宋" w:hAnsi="仿宋" w:eastAsia="仿宋"/>
                <w:sz w:val="24"/>
              </w:rPr>
              <w:t xml:space="preserve">邮编： </w:t>
            </w: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邮编：</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ind w:left="19" w:leftChars="9"/>
              <w:rPr>
                <w:rFonts w:ascii="仿宋" w:hAnsi="仿宋" w:eastAsia="仿宋"/>
                <w:sz w:val="24"/>
              </w:rPr>
            </w:pPr>
            <w:r>
              <w:rPr>
                <w:rFonts w:hint="eastAsia" w:ascii="仿宋" w:hAnsi="仿宋" w:eastAsia="仿宋"/>
                <w:sz w:val="24"/>
              </w:rPr>
              <w:t xml:space="preserve">电话： </w:t>
            </w: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电话：</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ascii="仿宋" w:hAnsi="仿宋" w:eastAsia="仿宋"/>
                <w:sz w:val="24"/>
              </w:rPr>
            </w:pPr>
            <w:r>
              <w:rPr>
                <w:rFonts w:hint="eastAsia" w:ascii="仿宋" w:hAnsi="仿宋" w:eastAsia="仿宋"/>
                <w:sz w:val="24"/>
              </w:rPr>
              <w:t xml:space="preserve">传真： </w:t>
            </w: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传真：</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ascii="仿宋" w:hAnsi="仿宋" w:eastAsia="仿宋"/>
                <w:sz w:val="24"/>
              </w:rPr>
            </w:pPr>
            <w:r>
              <w:rPr>
                <w:rFonts w:hint="eastAsia" w:ascii="仿宋" w:hAnsi="仿宋" w:eastAsia="仿宋"/>
                <w:sz w:val="24"/>
              </w:rPr>
              <w:t>开户银行：</w:t>
            </w: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开户银行：</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ascii="仿宋" w:hAnsi="仿宋" w:eastAsia="仿宋"/>
                <w:sz w:val="24"/>
              </w:rPr>
            </w:pPr>
            <w:r>
              <w:rPr>
                <w:rFonts w:hint="eastAsia" w:ascii="仿宋" w:hAnsi="仿宋" w:eastAsia="仿宋"/>
                <w:sz w:val="24"/>
              </w:rPr>
              <w:t>账号：</w:t>
            </w:r>
          </w:p>
        </w:tc>
        <w:tc>
          <w:tcPr>
            <w:tcW w:w="4252" w:type="dxa"/>
          </w:tcPr>
          <w:p>
            <w:pPr>
              <w:pStyle w:val="25"/>
              <w:snapToGrid w:val="0"/>
              <w:spacing w:line="360" w:lineRule="auto"/>
              <w:ind w:left="34" w:leftChars="16"/>
              <w:rPr>
                <w:rFonts w:ascii="仿宋" w:hAnsi="仿宋" w:eastAsia="仿宋"/>
                <w:sz w:val="24"/>
              </w:rPr>
            </w:pPr>
            <w:r>
              <w:rPr>
                <w:rFonts w:hint="eastAsia" w:ascii="仿宋" w:hAnsi="仿宋" w:eastAsia="仿宋"/>
                <w:sz w:val="24"/>
              </w:rPr>
              <w:t>账号：</w:t>
            </w:r>
          </w:p>
        </w:tc>
      </w:tr>
    </w:tbl>
    <w:p>
      <w:pPr>
        <w:spacing w:line="360" w:lineRule="auto"/>
        <w:rPr>
          <w:rFonts w:ascii="仿宋" w:hAnsi="仿宋" w:eastAsia="仿宋" w:cs="仿宋"/>
          <w:sz w:val="24"/>
        </w:rPr>
      </w:pPr>
    </w:p>
    <w:p>
      <w:pPr>
        <w:spacing w:line="360" w:lineRule="auto"/>
        <w:jc w:val="center"/>
        <w:outlineLvl w:val="9"/>
        <w:rPr>
          <w:rFonts w:ascii="仿宋" w:hAnsi="仿宋" w:eastAsia="仿宋" w:cs="仿宋"/>
          <w:sz w:val="32"/>
          <w:szCs w:val="32"/>
          <w:u w:val="single"/>
        </w:rPr>
      </w:pPr>
      <w:r>
        <w:rPr>
          <w:rFonts w:hint="eastAsia" w:ascii="仿宋" w:hAnsi="仿宋" w:eastAsia="仿宋" w:cs="仿宋"/>
          <w:b/>
          <w:sz w:val="32"/>
          <w:szCs w:val="32"/>
        </w:rPr>
        <w:br w:type="page"/>
      </w:r>
      <w:bookmarkStart w:id="49" w:name="_Toc368066684"/>
      <w:bookmarkStart w:id="50" w:name="_Toc2245"/>
      <w:bookmarkStart w:id="51" w:name="_Toc11675"/>
      <w:r>
        <w:rPr>
          <w:rFonts w:hint="eastAsia" w:ascii="仿宋" w:hAnsi="仿宋" w:eastAsia="仿宋" w:cs="仿宋"/>
          <w:b/>
          <w:sz w:val="32"/>
          <w:szCs w:val="32"/>
        </w:rPr>
        <w:t>第二部分 中选通知书</w:t>
      </w:r>
      <w:bookmarkEnd w:id="49"/>
      <w:bookmarkEnd w:id="50"/>
      <w:bookmarkEnd w:id="51"/>
    </w:p>
    <w:p>
      <w:pPr>
        <w:spacing w:line="360" w:lineRule="auto"/>
        <w:rPr>
          <w:rFonts w:ascii="仿宋" w:hAnsi="仿宋" w:eastAsia="仿宋" w:cs="仿宋"/>
          <w:sz w:val="24"/>
          <w:u w:val="single"/>
        </w:rPr>
      </w:pPr>
    </w:p>
    <w:p>
      <w:pPr>
        <w:jc w:val="center"/>
        <w:outlineLvl w:val="9"/>
        <w:rPr>
          <w:rFonts w:ascii="仿宋" w:hAnsi="仿宋" w:eastAsia="仿宋" w:cs="仿宋"/>
          <w:b/>
          <w:sz w:val="32"/>
          <w:szCs w:val="32"/>
        </w:rPr>
      </w:pPr>
      <w:r>
        <w:rPr>
          <w:rFonts w:hint="eastAsia" w:ascii="仿宋" w:hAnsi="仿宋" w:eastAsia="仿宋" w:cs="仿宋"/>
          <w:b/>
          <w:sz w:val="32"/>
          <w:szCs w:val="32"/>
        </w:rPr>
        <w:br w:type="page"/>
      </w:r>
      <w:bookmarkStart w:id="52" w:name="_Toc26018"/>
      <w:bookmarkStart w:id="53" w:name="_Toc368066685"/>
      <w:bookmarkStart w:id="54" w:name="_Toc29343"/>
      <w:r>
        <w:rPr>
          <w:rFonts w:hint="eastAsia" w:ascii="仿宋" w:hAnsi="仿宋" w:eastAsia="仿宋" w:cs="仿宋"/>
          <w:b/>
          <w:sz w:val="32"/>
          <w:szCs w:val="32"/>
        </w:rPr>
        <w:t>第三部分 合同条款</w:t>
      </w:r>
      <w:bookmarkEnd w:id="52"/>
      <w:bookmarkEnd w:id="53"/>
      <w:bookmarkEnd w:id="54"/>
    </w:p>
    <w:p>
      <w:pPr>
        <w:spacing w:line="360" w:lineRule="auto"/>
        <w:rPr>
          <w:rFonts w:ascii="仿宋" w:hAnsi="仿宋" w:eastAsia="仿宋" w:cs="仿宋"/>
          <w:sz w:val="32"/>
          <w:szCs w:val="32"/>
          <w:u w:val="single"/>
        </w:rPr>
      </w:pPr>
    </w:p>
    <w:p>
      <w:pPr>
        <w:spacing w:line="360" w:lineRule="auto"/>
        <w:ind w:firstLine="472" w:firstLineChars="196"/>
        <w:outlineLvl w:val="9"/>
        <w:rPr>
          <w:rFonts w:ascii="仿宋" w:hAnsi="仿宋" w:eastAsia="仿宋" w:cs="仿宋"/>
          <w:b/>
          <w:bCs/>
          <w:sz w:val="24"/>
        </w:rPr>
      </w:pPr>
      <w:bookmarkStart w:id="55" w:name="_Toc368066686"/>
      <w:bookmarkStart w:id="56" w:name="_Toc28651"/>
      <w:bookmarkStart w:id="57" w:name="_Toc7761"/>
      <w:bookmarkStart w:id="58" w:name="_Toc136850799"/>
      <w:bookmarkStart w:id="59" w:name="_Toc192323513"/>
      <w:bookmarkStart w:id="60" w:name="_Toc357774462"/>
      <w:bookmarkStart w:id="61" w:name="_Toc240992305"/>
      <w:r>
        <w:rPr>
          <w:rFonts w:hint="eastAsia" w:ascii="仿宋" w:hAnsi="仿宋" w:eastAsia="仿宋" w:cs="仿宋"/>
          <w:b/>
          <w:bCs/>
          <w:sz w:val="24"/>
        </w:rPr>
        <w:t>1、</w:t>
      </w:r>
      <w:bookmarkEnd w:id="55"/>
      <w:r>
        <w:rPr>
          <w:rFonts w:hint="eastAsia" w:ascii="仿宋" w:hAnsi="仿宋" w:eastAsia="仿宋" w:cs="仿宋"/>
          <w:b/>
          <w:bCs/>
          <w:sz w:val="24"/>
        </w:rPr>
        <w:t>定义</w:t>
      </w:r>
      <w:bookmarkEnd w:id="56"/>
      <w:bookmarkEnd w:id="57"/>
    </w:p>
    <w:p>
      <w:pPr>
        <w:spacing w:line="360" w:lineRule="auto"/>
        <w:ind w:firstLine="470" w:firstLineChars="196"/>
        <w:outlineLvl w:val="9"/>
        <w:rPr>
          <w:rFonts w:ascii="仿宋" w:hAnsi="仿宋" w:eastAsia="仿宋" w:cs="仿宋"/>
          <w:sz w:val="24"/>
        </w:rPr>
      </w:pPr>
      <w:r>
        <w:rPr>
          <w:rFonts w:hint="eastAsia" w:ascii="仿宋" w:hAnsi="仿宋" w:eastAsia="仿宋" w:cs="仿宋"/>
          <w:sz w:val="24"/>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outlineLvl w:val="9"/>
        <w:rPr>
          <w:rFonts w:ascii="仿宋" w:hAnsi="仿宋" w:eastAsia="仿宋" w:cs="仿宋"/>
          <w:sz w:val="24"/>
        </w:rPr>
      </w:pPr>
      <w:r>
        <w:rPr>
          <w:rFonts w:hint="eastAsia" w:ascii="仿宋" w:hAnsi="仿宋" w:eastAsia="仿宋" w:cs="仿宋"/>
          <w:sz w:val="24"/>
        </w:rPr>
        <w:t>（2）“签约合同价”系</w:t>
      </w:r>
      <w:r>
        <w:rPr>
          <w:rFonts w:hint="eastAsia" w:ascii="仿宋" w:hAnsi="仿宋" w:eastAsia="仿宋" w:cs="仿宋"/>
        </w:rPr>
        <w:t>指</w:t>
      </w:r>
      <w:r>
        <w:rPr>
          <w:rFonts w:hint="eastAsia" w:ascii="仿宋" w:hAnsi="仿宋" w:eastAsia="仿宋"/>
        </w:rPr>
        <w:t>甲方</w:t>
      </w:r>
      <w:r>
        <w:rPr>
          <w:rFonts w:hint="eastAsia" w:ascii="仿宋" w:hAnsi="仿宋" w:eastAsia="仿宋"/>
          <w:sz w:val="24"/>
        </w:rPr>
        <w:t>和</w:t>
      </w:r>
      <w:r>
        <w:rPr>
          <w:rFonts w:hint="eastAsia" w:ascii="仿宋" w:hAnsi="仿宋" w:eastAsia="仿宋"/>
        </w:rPr>
        <w:t>乙方</w:t>
      </w:r>
      <w:r>
        <w:rPr>
          <w:rFonts w:hint="eastAsia" w:ascii="仿宋" w:hAnsi="仿宋" w:eastAsia="仿宋"/>
          <w:sz w:val="24"/>
        </w:rPr>
        <w:t>在合同协议书中确定的金额，即本项目的中标价格或成交价格。</w:t>
      </w:r>
    </w:p>
    <w:p>
      <w:pPr>
        <w:spacing w:line="360" w:lineRule="auto"/>
        <w:ind w:firstLine="470" w:firstLineChars="196"/>
        <w:outlineLvl w:val="9"/>
        <w:rPr>
          <w:rFonts w:ascii="仿宋" w:hAnsi="仿宋" w:eastAsia="仿宋" w:cs="仿宋"/>
          <w:sz w:val="24"/>
        </w:rPr>
      </w:pPr>
      <w:r>
        <w:rPr>
          <w:rFonts w:hint="eastAsia" w:ascii="仿宋" w:hAnsi="仿宋" w:eastAsia="仿宋" w:cs="仿宋"/>
          <w:sz w:val="24"/>
        </w:rPr>
        <w:t>（3）“合同价格”系指根据本合同规定乙方在正确地完全履行合同义务后，</w:t>
      </w:r>
      <w:r>
        <w:rPr>
          <w:rFonts w:hint="eastAsia" w:ascii="仿宋" w:hAnsi="仿宋" w:eastAsia="仿宋"/>
          <w:sz w:val="24"/>
        </w:rPr>
        <w:t>经长沙市政府相关职能部门或长沙市轨道交通集团有限公司审定的结算价格。</w:t>
      </w:r>
    </w:p>
    <w:p>
      <w:pPr>
        <w:spacing w:line="360" w:lineRule="auto"/>
        <w:ind w:firstLine="470" w:firstLineChars="196"/>
        <w:outlineLvl w:val="9"/>
        <w:rPr>
          <w:rFonts w:ascii="仿宋" w:hAnsi="仿宋" w:eastAsia="仿宋" w:cs="仿宋"/>
          <w:sz w:val="24"/>
        </w:rPr>
      </w:pPr>
      <w:r>
        <w:rPr>
          <w:rFonts w:hint="eastAsia" w:ascii="仿宋" w:hAnsi="仿宋" w:eastAsia="仿宋" w:cs="仿宋"/>
          <w:sz w:val="24"/>
        </w:rPr>
        <w:t>（4）“甲方”是指承担直接投资责任和委托维修保养业务的一方以及其合法继承人，即</w:t>
      </w:r>
      <w:r>
        <w:rPr>
          <w:rFonts w:hint="eastAsia" w:ascii="仿宋" w:hAnsi="仿宋" w:eastAsia="仿宋"/>
          <w:sz w:val="24"/>
        </w:rPr>
        <w:t>合同协议书中所述的甲方</w:t>
      </w:r>
      <w:r>
        <w:rPr>
          <w:rFonts w:hint="eastAsia" w:ascii="仿宋" w:hAnsi="仿宋" w:eastAsia="仿宋" w:cs="仿宋"/>
          <w:sz w:val="24"/>
        </w:rPr>
        <w:t>。</w:t>
      </w:r>
    </w:p>
    <w:p>
      <w:pPr>
        <w:spacing w:line="360" w:lineRule="auto"/>
        <w:ind w:firstLine="470" w:firstLineChars="196"/>
        <w:outlineLvl w:val="9"/>
        <w:rPr>
          <w:rFonts w:ascii="仿宋" w:hAnsi="仿宋" w:eastAsia="仿宋" w:cs="仿宋"/>
          <w:sz w:val="24"/>
        </w:rPr>
      </w:pPr>
      <w:r>
        <w:rPr>
          <w:rFonts w:hint="eastAsia" w:ascii="仿宋" w:hAnsi="仿宋" w:eastAsia="仿宋" w:cs="仿宋"/>
          <w:sz w:val="24"/>
        </w:rPr>
        <w:t>（5）“乙方”是指承担维修保养业务和维修保养责任的一方以及其合法继承人，即</w:t>
      </w:r>
      <w:r>
        <w:rPr>
          <w:rFonts w:hint="eastAsia" w:ascii="仿宋" w:hAnsi="仿宋" w:eastAsia="仿宋"/>
          <w:sz w:val="24"/>
        </w:rPr>
        <w:t>合同协议书中所述的乙方</w:t>
      </w:r>
      <w:r>
        <w:rPr>
          <w:rFonts w:hint="eastAsia" w:ascii="仿宋" w:hAnsi="仿宋" w:eastAsia="仿宋" w:cs="仿宋"/>
          <w:sz w:val="24"/>
        </w:rPr>
        <w:t>。</w:t>
      </w:r>
    </w:p>
    <w:p>
      <w:pPr>
        <w:spacing w:line="360" w:lineRule="auto"/>
        <w:ind w:firstLine="480"/>
        <w:outlineLvl w:val="9"/>
        <w:rPr>
          <w:rFonts w:ascii="仿宋" w:hAnsi="仿宋" w:eastAsia="仿宋" w:cs="仿宋"/>
          <w:sz w:val="24"/>
        </w:rPr>
      </w:pPr>
      <w:r>
        <w:rPr>
          <w:rFonts w:hint="eastAsia" w:ascii="仿宋" w:hAnsi="仿宋" w:eastAsia="仿宋" w:cs="仿宋"/>
          <w:sz w:val="24"/>
        </w:rPr>
        <w:t>（6）“维保机构”是指乙方派驻本工程现场实施维修保养业务的组织。</w:t>
      </w:r>
    </w:p>
    <w:p>
      <w:pPr>
        <w:spacing w:line="360" w:lineRule="auto"/>
        <w:ind w:firstLine="480"/>
        <w:outlineLvl w:val="9"/>
        <w:rPr>
          <w:rFonts w:ascii="仿宋" w:hAnsi="仿宋" w:eastAsia="仿宋" w:cs="仿宋"/>
          <w:sz w:val="24"/>
        </w:rPr>
      </w:pPr>
      <w:r>
        <w:rPr>
          <w:rFonts w:hint="eastAsia" w:ascii="仿宋" w:hAnsi="仿宋" w:eastAsia="仿宋" w:cs="仿宋"/>
          <w:sz w:val="24"/>
        </w:rPr>
        <w:t>（7）“日”是指任何一天零时至第二天零时的时间段。</w:t>
      </w:r>
    </w:p>
    <w:p>
      <w:pPr>
        <w:spacing w:line="360" w:lineRule="auto"/>
        <w:ind w:firstLine="480"/>
        <w:outlineLvl w:val="9"/>
        <w:rPr>
          <w:rFonts w:ascii="仿宋" w:hAnsi="仿宋" w:eastAsia="仿宋" w:cs="仿宋"/>
          <w:sz w:val="24"/>
        </w:rPr>
      </w:pPr>
      <w:r>
        <w:rPr>
          <w:rFonts w:hint="eastAsia" w:ascii="仿宋" w:hAnsi="仿宋" w:eastAsia="仿宋" w:cs="仿宋"/>
          <w:sz w:val="24"/>
        </w:rPr>
        <w:t>（8）“月”是指根据公历从一个月份中任何一天开始到下一个月相应日期的前一天的时间段。</w:t>
      </w:r>
    </w:p>
    <w:p>
      <w:pPr>
        <w:spacing w:line="360" w:lineRule="auto"/>
        <w:ind w:firstLine="480"/>
        <w:outlineLvl w:val="9"/>
        <w:rPr>
          <w:rFonts w:ascii="仿宋" w:hAnsi="仿宋" w:eastAsia="仿宋" w:cs="仿宋"/>
          <w:sz w:val="24"/>
        </w:rPr>
      </w:pPr>
      <w:r>
        <w:rPr>
          <w:rFonts w:hint="eastAsia" w:ascii="仿宋" w:hAnsi="仿宋" w:eastAsia="仿宋" w:cs="仿宋"/>
          <w:sz w:val="24"/>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outlineLvl w:val="9"/>
        <w:rPr>
          <w:rFonts w:ascii="仿宋" w:hAnsi="仿宋" w:eastAsia="仿宋" w:cs="仿宋"/>
          <w:sz w:val="24"/>
        </w:rPr>
      </w:pPr>
      <w:r>
        <w:rPr>
          <w:rFonts w:hint="eastAsia" w:ascii="仿宋" w:hAnsi="仿宋" w:eastAsia="仿宋" w:cs="仿宋"/>
          <w:sz w:val="24"/>
        </w:rPr>
        <w:t>（10）响应时间：是指在接报故障后赶赴且到达现场处理的时间。</w:t>
      </w:r>
    </w:p>
    <w:p>
      <w:pPr>
        <w:spacing w:line="360" w:lineRule="auto"/>
        <w:ind w:firstLine="480"/>
        <w:outlineLvl w:val="9"/>
        <w:rPr>
          <w:rFonts w:ascii="仿宋" w:hAnsi="仿宋" w:eastAsia="仿宋" w:cs="仿宋"/>
          <w:sz w:val="24"/>
        </w:rPr>
      </w:pPr>
      <w:r>
        <w:rPr>
          <w:rFonts w:hint="eastAsia" w:ascii="仿宋" w:hAnsi="仿宋" w:eastAsia="仿宋" w:cs="仿宋"/>
          <w:sz w:val="24"/>
        </w:rPr>
        <w:t>（11）接报：是指甲方通知乙方的形式，包括口头、电话、电子邮件、书面等。</w:t>
      </w:r>
    </w:p>
    <w:p>
      <w:pPr>
        <w:spacing w:line="360" w:lineRule="auto"/>
        <w:ind w:firstLine="480"/>
        <w:outlineLvl w:val="9"/>
        <w:rPr>
          <w:rFonts w:ascii="仿宋" w:hAnsi="仿宋" w:eastAsia="仿宋" w:cs="仿宋"/>
          <w:sz w:val="24"/>
        </w:rPr>
      </w:pPr>
      <w:r>
        <w:rPr>
          <w:rFonts w:hint="eastAsia" w:ascii="仿宋" w:hAnsi="仿宋" w:eastAsia="仿宋" w:cs="仿宋"/>
          <w:sz w:val="24"/>
        </w:rPr>
        <w:t>（12）现场：是指故障发生地点、区段，或报故障车站、部门等。</w:t>
      </w:r>
    </w:p>
    <w:p>
      <w:pPr>
        <w:spacing w:line="360" w:lineRule="auto"/>
        <w:ind w:firstLine="480"/>
        <w:outlineLvl w:val="9"/>
        <w:rPr>
          <w:rFonts w:ascii="仿宋" w:hAnsi="仿宋" w:eastAsia="仿宋" w:cs="仿宋"/>
          <w:sz w:val="24"/>
        </w:rPr>
      </w:pPr>
      <w:r>
        <w:rPr>
          <w:rFonts w:hint="eastAsia" w:ascii="仿宋" w:hAnsi="仿宋" w:eastAsia="仿宋" w:cs="仿宋"/>
          <w:sz w:val="24"/>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outlineLvl w:val="9"/>
        <w:rPr>
          <w:rFonts w:ascii="仿宋" w:hAnsi="仿宋" w:eastAsia="仿宋" w:cs="仿宋"/>
          <w:sz w:val="24"/>
        </w:rPr>
      </w:pPr>
      <w:r>
        <w:rPr>
          <w:rFonts w:hint="eastAsia" w:ascii="仿宋" w:hAnsi="仿宋" w:eastAsia="仿宋" w:cs="仿宋"/>
          <w:sz w:val="24"/>
        </w:rPr>
        <w:t>（14）完全修复时间：通过维修使有问题设备、设施回复到原来技术指标及状态的期限。此时限是指接报故障到设备完全修复完毕。</w:t>
      </w:r>
    </w:p>
    <w:p>
      <w:pPr>
        <w:spacing w:line="360" w:lineRule="auto"/>
        <w:ind w:firstLine="472" w:firstLineChars="196"/>
        <w:outlineLvl w:val="9"/>
        <w:rPr>
          <w:rFonts w:ascii="仿宋" w:hAnsi="仿宋" w:eastAsia="仿宋" w:cs="仿宋"/>
          <w:b/>
          <w:bCs/>
          <w:sz w:val="24"/>
        </w:rPr>
      </w:pPr>
      <w:bookmarkStart w:id="62" w:name="_Toc12453"/>
      <w:bookmarkStart w:id="63" w:name="_Toc20721"/>
      <w:bookmarkStart w:id="64" w:name="_Toc368066687"/>
      <w:r>
        <w:rPr>
          <w:rFonts w:hint="eastAsia" w:ascii="仿宋" w:hAnsi="仿宋" w:eastAsia="仿宋" w:cs="仿宋"/>
          <w:b/>
          <w:bCs/>
          <w:sz w:val="24"/>
        </w:rPr>
        <w:t>2、标准和规范</w:t>
      </w:r>
      <w:bookmarkEnd w:id="62"/>
      <w:bookmarkEnd w:id="63"/>
    </w:p>
    <w:p>
      <w:pPr>
        <w:tabs>
          <w:tab w:val="left" w:pos="851"/>
        </w:tabs>
        <w:adjustRightInd w:val="0"/>
        <w:snapToGrid w:val="0"/>
        <w:spacing w:line="360" w:lineRule="auto"/>
        <w:ind w:firstLine="480" w:firstLineChars="200"/>
        <w:textAlignment w:val="baseline"/>
        <w:outlineLvl w:val="9"/>
        <w:rPr>
          <w:rFonts w:ascii="仿宋" w:hAnsi="仿宋" w:eastAsia="仿宋" w:cs="仿宋"/>
          <w:sz w:val="24"/>
        </w:rPr>
      </w:pPr>
      <w:r>
        <w:rPr>
          <w:rFonts w:hint="eastAsia" w:ascii="仿宋" w:hAnsi="仿宋" w:eastAsia="仿宋" w:cs="仿宋"/>
          <w:sz w:val="24"/>
        </w:rPr>
        <w:t>2.1 适用国家标准、行业标准、工程所在地的地方性标准，以及相应的规范、规程等。</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2.2 甲方对本项目的技术标准或功能的其他要求</w:t>
      </w:r>
      <w:r>
        <w:rPr>
          <w:rFonts w:hint="eastAsia" w:ascii="仿宋" w:hAnsi="仿宋" w:eastAsia="仿宋" w:cs="仿宋"/>
          <w:sz w:val="24"/>
          <w:u w:val="single"/>
        </w:rPr>
        <w:t>以用户需求书/技术规格书为准</w:t>
      </w:r>
      <w:r>
        <w:rPr>
          <w:rFonts w:hint="eastAsia" w:ascii="仿宋" w:hAnsi="仿宋" w:eastAsia="仿宋" w:cs="仿宋"/>
          <w:sz w:val="24"/>
        </w:rPr>
        <w:t>。</w:t>
      </w:r>
    </w:p>
    <w:p>
      <w:pPr>
        <w:pStyle w:val="45"/>
        <w:spacing w:after="0" w:line="360" w:lineRule="auto"/>
        <w:ind w:firstLine="482"/>
        <w:outlineLvl w:val="9"/>
        <w:rPr>
          <w:rFonts w:ascii="仿宋" w:hAnsi="仿宋" w:eastAsia="仿宋" w:cs="仿宋"/>
          <w:b/>
          <w:bCs/>
          <w:sz w:val="24"/>
        </w:rPr>
      </w:pPr>
      <w:bookmarkStart w:id="65" w:name="_Toc1523"/>
      <w:bookmarkStart w:id="66" w:name="_Toc10573"/>
      <w:r>
        <w:rPr>
          <w:rFonts w:hint="eastAsia" w:ascii="仿宋" w:hAnsi="仿宋" w:eastAsia="仿宋" w:cs="仿宋"/>
          <w:b/>
          <w:bCs/>
          <w:sz w:val="24"/>
        </w:rPr>
        <w:t>3、</w:t>
      </w:r>
      <w:bookmarkEnd w:id="64"/>
      <w:bookmarkEnd w:id="65"/>
      <w:r>
        <w:rPr>
          <w:rFonts w:hint="eastAsia" w:ascii="仿宋" w:hAnsi="仿宋" w:eastAsia="仿宋" w:cs="仿宋"/>
          <w:b/>
          <w:bCs/>
          <w:sz w:val="24"/>
        </w:rPr>
        <w:t>价款</w:t>
      </w:r>
      <w:bookmarkEnd w:id="66"/>
    </w:p>
    <w:p>
      <w:pPr>
        <w:pStyle w:val="45"/>
        <w:spacing w:after="0" w:line="360" w:lineRule="auto"/>
        <w:ind w:firstLine="480"/>
        <w:outlineLvl w:val="9"/>
        <w:rPr>
          <w:rFonts w:ascii="仿宋" w:hAnsi="仿宋" w:eastAsia="仿宋" w:cs="仿宋"/>
          <w:sz w:val="24"/>
          <w:lang w:val="en-GB"/>
        </w:rPr>
      </w:pPr>
      <w:r>
        <w:rPr>
          <w:rFonts w:hint="eastAsia" w:ascii="仿宋" w:hAnsi="仿宋" w:eastAsia="仿宋" w:cs="仿宋"/>
          <w:sz w:val="24"/>
        </w:rPr>
        <w:t>3.1本项目签约合同价为</w:t>
      </w:r>
      <w:r>
        <w:rPr>
          <w:rFonts w:hint="eastAsia" w:ascii="仿宋" w:hAnsi="仿宋" w:eastAsia="仿宋"/>
          <w:sz w:val="24"/>
          <w:u w:val="single"/>
        </w:rPr>
        <w:t>合同协议书上约定的价格</w:t>
      </w:r>
      <w:r>
        <w:rPr>
          <w:rFonts w:hint="eastAsia" w:ascii="仿宋" w:hAnsi="仿宋" w:eastAsia="仿宋"/>
          <w:sz w:val="24"/>
        </w:rPr>
        <w:t>，具体分项价格表详见合同附件之签约合同价清单。</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3.2本项目采用总价合同方式，合同价格包括在维保过程中所需的管理费、利润、税金等一切费用。在项目实施中出现任何遗漏，均由乙方免费提供，甲方不再支付任何费用。</w:t>
      </w:r>
    </w:p>
    <w:p>
      <w:pPr>
        <w:pStyle w:val="45"/>
        <w:spacing w:after="0" w:line="360" w:lineRule="auto"/>
        <w:ind w:firstLine="482"/>
        <w:outlineLvl w:val="9"/>
        <w:rPr>
          <w:rFonts w:ascii="仿宋" w:hAnsi="仿宋" w:eastAsia="仿宋" w:cs="仿宋"/>
          <w:b/>
          <w:bCs/>
          <w:sz w:val="24"/>
        </w:rPr>
      </w:pPr>
      <w:bookmarkStart w:id="67" w:name="_Toc136850801"/>
      <w:bookmarkStart w:id="68" w:name="_Toc192323515"/>
      <w:bookmarkStart w:id="69" w:name="_Toc357774463"/>
      <w:bookmarkStart w:id="70" w:name="_Toc8367"/>
      <w:bookmarkStart w:id="71" w:name="_Toc240992306"/>
      <w:bookmarkStart w:id="72" w:name="_Toc23394"/>
      <w:bookmarkStart w:id="73" w:name="_Toc23767"/>
      <w:r>
        <w:rPr>
          <w:rFonts w:hint="eastAsia" w:ascii="仿宋" w:hAnsi="仿宋" w:eastAsia="仿宋" w:cs="仿宋"/>
          <w:b/>
          <w:bCs/>
          <w:sz w:val="24"/>
        </w:rPr>
        <w:t>4、</w:t>
      </w:r>
      <w:bookmarkEnd w:id="67"/>
      <w:bookmarkEnd w:id="68"/>
      <w:bookmarkEnd w:id="69"/>
      <w:bookmarkEnd w:id="70"/>
      <w:bookmarkEnd w:id="71"/>
      <w:r>
        <w:rPr>
          <w:rFonts w:hint="eastAsia" w:ascii="仿宋" w:hAnsi="仿宋" w:eastAsia="仿宋" w:cs="仿宋"/>
          <w:b/>
          <w:bCs/>
          <w:sz w:val="24"/>
        </w:rPr>
        <w:t>支付</w:t>
      </w:r>
      <w:bookmarkEnd w:id="72"/>
    </w:p>
    <w:p>
      <w:pPr>
        <w:pStyle w:val="45"/>
        <w:spacing w:after="0" w:line="360" w:lineRule="auto"/>
        <w:ind w:firstLine="480"/>
        <w:outlineLvl w:val="9"/>
        <w:rPr>
          <w:rFonts w:ascii="仿宋" w:hAnsi="仿宋" w:eastAsia="仿宋"/>
          <w:sz w:val="24"/>
        </w:rPr>
      </w:pPr>
      <w:bookmarkStart w:id="74" w:name="_Toc19286"/>
      <w:r>
        <w:rPr>
          <w:rFonts w:hint="eastAsia" w:ascii="仿宋" w:hAnsi="仿宋" w:eastAsia="仿宋"/>
          <w:sz w:val="24"/>
        </w:rPr>
        <w:t>4.1.付款周期为每季度支付一次，甲方对乙方维保工作进行综合考核，乙方按甲方的支付程序办理请款手续并提供增值税专用发票、有效期内的履约担保复印件后28个工作日内，由甲方向乙方支付。</w:t>
      </w:r>
    </w:p>
    <w:p>
      <w:pPr>
        <w:pStyle w:val="45"/>
        <w:spacing w:after="0" w:line="360" w:lineRule="auto"/>
        <w:ind w:firstLine="480"/>
        <w:outlineLvl w:val="9"/>
        <w:rPr>
          <w:rFonts w:ascii="仿宋" w:hAnsi="仿宋" w:eastAsia="仿宋"/>
          <w:sz w:val="24"/>
        </w:rPr>
      </w:pPr>
      <w:r>
        <w:rPr>
          <w:rFonts w:hint="eastAsia" w:ascii="仿宋" w:hAnsi="仿宋" w:eastAsia="仿宋"/>
          <w:sz w:val="24"/>
        </w:rPr>
        <w:t>4.2.每次支付的金额：按签约合同价的90%平均到每个付款周期，甲方依据考核结果向乙方支付上一个付款周期的价款，累计支付不得超过签约合同价的90%。</w:t>
      </w:r>
    </w:p>
    <w:p>
      <w:pPr>
        <w:pStyle w:val="45"/>
        <w:spacing w:after="0" w:line="360" w:lineRule="auto"/>
        <w:ind w:firstLine="480"/>
        <w:outlineLvl w:val="9"/>
        <w:rPr>
          <w:rFonts w:ascii="仿宋" w:hAnsi="仿宋" w:eastAsia="仿宋"/>
          <w:sz w:val="24"/>
        </w:rPr>
      </w:pPr>
      <w:r>
        <w:rPr>
          <w:rFonts w:hint="eastAsia" w:ascii="仿宋" w:hAnsi="仿宋" w:eastAsia="仿宋"/>
          <w:sz w:val="24"/>
        </w:rPr>
        <w:t>4.3.履约验收完成付款：项目按合同约定完成履约且按甲方相关规定办理履约验收，履约验收完成后，在收到乙方支付申请并证实完整后28个工作日内，支付至合同价格的97%。</w:t>
      </w:r>
    </w:p>
    <w:p>
      <w:pPr>
        <w:pStyle w:val="45"/>
        <w:spacing w:after="0" w:line="360" w:lineRule="auto"/>
        <w:ind w:firstLine="480"/>
        <w:outlineLvl w:val="9"/>
        <w:rPr>
          <w:rFonts w:ascii="仿宋" w:hAnsi="仿宋" w:eastAsia="仿宋"/>
          <w:sz w:val="24"/>
        </w:rPr>
      </w:pPr>
      <w:r>
        <w:rPr>
          <w:rFonts w:hint="eastAsia" w:ascii="仿宋" w:hAnsi="仿宋" w:eastAsia="仿宋"/>
          <w:sz w:val="24"/>
        </w:rPr>
        <w:t>4.4.质保期满付款：质保期满且最终验收合格，收到乙方支付请求并经甲方审核无误后28个工作日内，支付合同价格的剩余款项。</w:t>
      </w:r>
    </w:p>
    <w:p>
      <w:pPr>
        <w:pStyle w:val="45"/>
        <w:spacing w:after="0" w:line="360" w:lineRule="auto"/>
        <w:ind w:firstLine="482"/>
        <w:outlineLvl w:val="9"/>
        <w:rPr>
          <w:rFonts w:ascii="仿宋" w:hAnsi="仿宋" w:eastAsia="仿宋" w:cs="仿宋"/>
          <w:b/>
          <w:bCs/>
          <w:sz w:val="24"/>
        </w:rPr>
      </w:pPr>
      <w:r>
        <w:rPr>
          <w:rFonts w:hint="eastAsia" w:ascii="仿宋" w:hAnsi="仿宋" w:eastAsia="仿宋" w:cs="仿宋"/>
          <w:b/>
          <w:bCs/>
          <w:sz w:val="24"/>
        </w:rPr>
        <w:t>5、</w:t>
      </w:r>
      <w:bookmarkEnd w:id="58"/>
      <w:bookmarkEnd w:id="59"/>
      <w:bookmarkEnd w:id="60"/>
      <w:bookmarkEnd w:id="61"/>
      <w:r>
        <w:rPr>
          <w:rFonts w:hint="eastAsia" w:ascii="仿宋" w:hAnsi="仿宋" w:eastAsia="仿宋" w:cs="仿宋"/>
          <w:b/>
          <w:bCs/>
          <w:sz w:val="24"/>
        </w:rPr>
        <w:t>履约担保</w:t>
      </w:r>
      <w:bookmarkEnd w:id="73"/>
      <w:bookmarkEnd w:id="74"/>
    </w:p>
    <w:p>
      <w:pPr>
        <w:autoSpaceDE w:val="0"/>
        <w:autoSpaceDN w:val="0"/>
        <w:spacing w:line="360" w:lineRule="auto"/>
        <w:ind w:firstLine="480"/>
        <w:textAlignment w:val="bottom"/>
        <w:outlineLvl w:val="9"/>
        <w:rPr>
          <w:rFonts w:ascii="仿宋" w:hAnsi="仿宋" w:eastAsia="仿宋" w:cs="仿宋"/>
          <w:sz w:val="24"/>
        </w:rPr>
      </w:pPr>
      <w:bookmarkStart w:id="75" w:name="_Toc443376818"/>
      <w:bookmarkStart w:id="76" w:name="_Toc443208225"/>
      <w:r>
        <w:rPr>
          <w:rFonts w:hint="eastAsia" w:ascii="仿宋" w:hAnsi="仿宋" w:eastAsia="仿宋" w:cs="仿宋"/>
          <w:sz w:val="24"/>
        </w:rPr>
        <w:t>5.1 履约担保是办理付款的必要条件之一，乙方应在本合同签订后15个工作日内提供履约担保。</w:t>
      </w:r>
    </w:p>
    <w:p>
      <w:pPr>
        <w:autoSpaceDE w:val="0"/>
        <w:autoSpaceDN w:val="0"/>
        <w:spacing w:line="360" w:lineRule="auto"/>
        <w:ind w:firstLine="480"/>
        <w:textAlignment w:val="bottom"/>
        <w:outlineLvl w:val="9"/>
        <w:rPr>
          <w:rFonts w:ascii="仿宋" w:hAnsi="仿宋" w:eastAsia="仿宋" w:cs="仿宋"/>
          <w:sz w:val="24"/>
        </w:rPr>
      </w:pPr>
      <w:r>
        <w:rPr>
          <w:rFonts w:hint="eastAsia" w:ascii="仿宋" w:hAnsi="仿宋" w:eastAsia="仿宋" w:cs="仿宋"/>
          <w:sz w:val="24"/>
        </w:rPr>
        <w:t>5.2 履约担保用于补偿甲方因乙方不能完成其合同义务而蒙受的损失。</w:t>
      </w:r>
    </w:p>
    <w:p>
      <w:pPr>
        <w:autoSpaceDE w:val="0"/>
        <w:autoSpaceDN w:val="0"/>
        <w:spacing w:line="360" w:lineRule="auto"/>
        <w:ind w:firstLine="480"/>
        <w:textAlignment w:val="bottom"/>
        <w:outlineLvl w:val="9"/>
        <w:rPr>
          <w:rFonts w:ascii="仿宋" w:hAnsi="仿宋" w:eastAsia="仿宋"/>
          <w:sz w:val="24"/>
        </w:rPr>
      </w:pPr>
      <w:r>
        <w:rPr>
          <w:rFonts w:hint="eastAsia" w:ascii="仿宋" w:hAnsi="仿宋" w:eastAsia="仿宋"/>
          <w:sz w:val="24"/>
        </w:rPr>
        <w:t>5.3 乙方提供履约担保的形式、金额及期限可采用以下方式之一：</w:t>
      </w:r>
    </w:p>
    <w:p>
      <w:pPr>
        <w:autoSpaceDE w:val="0"/>
        <w:autoSpaceDN w:val="0"/>
        <w:spacing w:line="360" w:lineRule="auto"/>
        <w:ind w:firstLine="480"/>
        <w:textAlignment w:val="bottom"/>
        <w:outlineLvl w:val="9"/>
        <w:rPr>
          <w:rFonts w:ascii="仿宋" w:hAnsi="仿宋" w:eastAsia="仿宋" w:cs="仿宋"/>
          <w:sz w:val="24"/>
        </w:rPr>
      </w:pPr>
      <w:r>
        <w:rPr>
          <w:rFonts w:hint="eastAsia" w:ascii="仿宋" w:hAnsi="仿宋" w:eastAsia="仿宋" w:cs="仿宋"/>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outlineLvl w:val="9"/>
        <w:rPr>
          <w:rFonts w:ascii="仿宋" w:hAnsi="仿宋" w:eastAsia="仿宋" w:cs="仿宋"/>
          <w:sz w:val="24"/>
        </w:rPr>
      </w:pPr>
      <w:r>
        <w:rPr>
          <w:rFonts w:hint="eastAsia" w:ascii="仿宋" w:hAnsi="仿宋" w:eastAsia="仿宋" w:cs="仿宋"/>
          <w:sz w:val="24"/>
        </w:rPr>
        <w:t>（2）采用现金形式，现金担保额度为签约合同价的10%，担保期限为履约保证金到账之日起，至服务期满之日止。履约担保以现金形式提交的，乙方应从其基本账户通过转帐或电汇至甲方指定的账户。</w:t>
      </w:r>
    </w:p>
    <w:p>
      <w:pPr>
        <w:autoSpaceDE w:val="0"/>
        <w:autoSpaceDN w:val="0"/>
        <w:spacing w:line="360" w:lineRule="auto"/>
        <w:ind w:firstLine="480"/>
        <w:textAlignment w:val="bottom"/>
        <w:outlineLvl w:val="9"/>
        <w:rPr>
          <w:rFonts w:ascii="仿宋" w:hAnsi="仿宋" w:eastAsia="仿宋" w:cs="仿宋"/>
          <w:sz w:val="24"/>
        </w:rPr>
      </w:pPr>
      <w:r>
        <w:rPr>
          <w:rFonts w:hint="eastAsia" w:ascii="仿宋" w:hAnsi="仿宋" w:eastAsia="仿宋" w:cs="仿宋"/>
          <w:sz w:val="24"/>
        </w:rPr>
        <w:t>5.4 在乙方完成其合同义务包括任何保证义务后，甲方将把履约担保无息退还乙方。</w:t>
      </w:r>
    </w:p>
    <w:bookmarkEnd w:id="75"/>
    <w:bookmarkEnd w:id="76"/>
    <w:p>
      <w:pPr>
        <w:autoSpaceDE w:val="0"/>
        <w:autoSpaceDN w:val="0"/>
        <w:spacing w:line="360" w:lineRule="auto"/>
        <w:ind w:firstLine="472" w:firstLineChars="196"/>
        <w:textAlignment w:val="bottom"/>
        <w:outlineLvl w:val="9"/>
        <w:rPr>
          <w:rFonts w:ascii="仿宋" w:hAnsi="仿宋" w:eastAsia="仿宋" w:cs="仿宋"/>
          <w:b/>
          <w:bCs/>
          <w:sz w:val="24"/>
        </w:rPr>
      </w:pPr>
      <w:bookmarkStart w:id="77" w:name="_Toc21707"/>
      <w:bookmarkStart w:id="78" w:name="_Toc469"/>
      <w:r>
        <w:rPr>
          <w:rFonts w:hint="eastAsia" w:ascii="仿宋" w:hAnsi="仿宋" w:eastAsia="仿宋" w:cs="仿宋"/>
          <w:b/>
          <w:bCs/>
          <w:sz w:val="24"/>
        </w:rPr>
        <w:t>6、合同变更</w:t>
      </w:r>
      <w:bookmarkEnd w:id="77"/>
      <w:bookmarkEnd w:id="78"/>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（1）要实施的工作的说明（如果有的话）以及工作的实施进度计划；和</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（2）对进度计划或本合同项下的乙方义务进行任何必要的修改的建议；和</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（3）乙方对合同价格调整的建议。</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收到乙方的上述递呈，并在与乙方适当协商后，甲方应尽快决定是否进行变更。</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6.3 合同变更/修改时，如果甲乙双方未能对价格调整达成一致，则对合同价格的调整应按下述方式进行：</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（1）对合同中已明确并有定价的选项及替代方案，按合同列明的相应的金额计算；</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1）根据合同规定的原则计出总价；</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2）根据合同单价和/或单位费率计算而计出总价；</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3）根据合同价格类推和/或按比例计算而计出总价；</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4）根据合同规定的相应成本确定。</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9"/>
        <w:rPr>
          <w:rFonts w:ascii="仿宋" w:hAnsi="仿宋" w:eastAsia="仿宋" w:cs="仿宋"/>
          <w:b/>
          <w:bCs/>
          <w:sz w:val="24"/>
        </w:rPr>
      </w:pPr>
      <w:bookmarkStart w:id="79" w:name="_Toc28160"/>
      <w:bookmarkStart w:id="80" w:name="_Toc16499"/>
      <w:r>
        <w:rPr>
          <w:rFonts w:hint="eastAsia" w:ascii="仿宋" w:hAnsi="仿宋" w:eastAsia="仿宋" w:cs="仿宋"/>
          <w:b/>
          <w:bCs/>
          <w:sz w:val="24"/>
        </w:rPr>
        <w:t>7、材料设备供应</w:t>
      </w:r>
      <w:bookmarkEnd w:id="79"/>
      <w:bookmarkEnd w:id="80"/>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7.2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outlineLvl w:val="9"/>
        <w:rPr>
          <w:rFonts w:ascii="仿宋" w:hAnsi="仿宋" w:eastAsia="仿宋" w:cs="仿宋"/>
          <w:sz w:val="24"/>
        </w:rPr>
      </w:pPr>
      <w:r>
        <w:rPr>
          <w:rFonts w:hint="eastAsia" w:ascii="仿宋" w:hAnsi="仿宋" w:eastAsia="仿宋" w:cs="仿宋"/>
          <w:sz w:val="24"/>
        </w:rPr>
        <w:t>7.4 所有维修保养更换的损坏件，应交给甲方回收报废。</w:t>
      </w:r>
    </w:p>
    <w:p>
      <w:pPr>
        <w:pStyle w:val="45"/>
        <w:spacing w:after="0" w:line="360" w:lineRule="auto"/>
        <w:ind w:firstLine="482"/>
        <w:outlineLvl w:val="9"/>
        <w:rPr>
          <w:rFonts w:ascii="仿宋" w:hAnsi="仿宋" w:eastAsia="仿宋" w:cs="仿宋"/>
          <w:b/>
          <w:bCs/>
          <w:sz w:val="24"/>
        </w:rPr>
      </w:pPr>
      <w:bookmarkStart w:id="81" w:name="_Toc368066694"/>
      <w:bookmarkStart w:id="82" w:name="_Toc9335"/>
      <w:bookmarkStart w:id="83" w:name="_Toc16050"/>
      <w:r>
        <w:rPr>
          <w:rFonts w:hint="eastAsia" w:ascii="仿宋" w:hAnsi="仿宋" w:eastAsia="仿宋" w:cs="仿宋"/>
          <w:b/>
          <w:bCs/>
          <w:sz w:val="24"/>
        </w:rPr>
        <w:t>8、双方责任</w:t>
      </w:r>
      <w:bookmarkEnd w:id="81"/>
      <w:bookmarkEnd w:id="82"/>
      <w:bookmarkEnd w:id="83"/>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8.1甲方责任</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（1）向乙方提供完成本项目的基础资料。</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（2）协调乙方执行本合同与甲方内部有关职能部门的关系，办理有关内部批准文件。乙方进场维护保养时，甲方给予配合。</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（3）甲方在本项目履行期间派一名代表协助乙方处理维修保养中存在的问题，并对乙方维修保养工作进行监督、检查。</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（4）根据本合同规定按时向乙方付款。</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（5）按合同要求组织验收。</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8.2 乙方责任</w:t>
      </w:r>
    </w:p>
    <w:p>
      <w:pPr>
        <w:pStyle w:val="45"/>
        <w:spacing w:after="0" w:line="360" w:lineRule="auto"/>
        <w:ind w:firstLine="480"/>
        <w:outlineLvl w:val="9"/>
        <w:rPr>
          <w:rFonts w:ascii="仿宋" w:hAnsi="仿宋" w:eastAsia="仿宋" w:cs="仿宋"/>
          <w:sz w:val="24"/>
        </w:rPr>
      </w:pPr>
      <w:bookmarkStart w:id="84" w:name="_Toc368066695"/>
      <w:bookmarkStart w:id="85" w:name="_Toc240992313"/>
      <w:bookmarkStart w:id="86" w:name="_Toc357774470"/>
      <w:r>
        <w:rPr>
          <w:rFonts w:hint="eastAsia" w:ascii="仿宋" w:hAnsi="仿宋" w:eastAsia="仿宋" w:cs="仿宋"/>
          <w:sz w:val="24"/>
        </w:rPr>
        <w:t>（1）乙方应按照甲方要求制定详细的维修保养计划，经甲方审核后方能进行设备维护维修工作。</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（2）乙方应严格按照合同约定的标准、规范提供维修保养服务。</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（3）乙方维保人员应统一着装，并按有关规定配发劳保防护用品。维修保养过程中，乙方须采取严格的安全防护措施。</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（4）乙方须安排专人值班，确保通讯畅通。接到甲方通知后，按甲方要求在规定时间内响应并到达现场进行维修处理。</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（5）乙方须接受甲方对工期、质量、人员组成、设备、仪器、维护维修过程的监督。</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（7）乙方须积极配合行业主管部门对设备的检查、检测、遗留问题整改等相关工作。</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82"/>
        <w:outlineLvl w:val="9"/>
        <w:rPr>
          <w:rFonts w:ascii="仿宋" w:hAnsi="仿宋" w:eastAsia="仿宋" w:cs="仿宋"/>
          <w:b/>
          <w:bCs/>
          <w:sz w:val="24"/>
        </w:rPr>
      </w:pPr>
      <w:bookmarkStart w:id="87" w:name="_Toc13407"/>
      <w:bookmarkStart w:id="88" w:name="_Toc21185"/>
      <w:r>
        <w:rPr>
          <w:rFonts w:hint="eastAsia" w:ascii="仿宋" w:hAnsi="仿宋" w:eastAsia="仿宋" w:cs="仿宋"/>
          <w:b/>
          <w:bCs/>
          <w:sz w:val="24"/>
        </w:rPr>
        <w:t>9、项目验收</w:t>
      </w:r>
      <w:bookmarkEnd w:id="84"/>
      <w:bookmarkEnd w:id="87"/>
      <w:bookmarkEnd w:id="88"/>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乙方应按甲方规定的时间以书面形式提交维护保养报告，维护保养成果及维护保养报告经甲方确认达到本合同要求的技术及质量标准，视为验收合格。具体要求以用户需求书/技术规格书为准。</w:t>
      </w:r>
    </w:p>
    <w:bookmarkEnd w:id="85"/>
    <w:bookmarkEnd w:id="86"/>
    <w:p>
      <w:pPr>
        <w:pStyle w:val="45"/>
        <w:spacing w:after="0" w:line="360" w:lineRule="auto"/>
        <w:ind w:firstLine="482"/>
        <w:outlineLvl w:val="9"/>
        <w:rPr>
          <w:rFonts w:ascii="仿宋" w:hAnsi="仿宋" w:eastAsia="仿宋" w:cs="仿宋"/>
          <w:b/>
          <w:bCs/>
          <w:sz w:val="24"/>
          <w:lang w:bidi="ar"/>
        </w:rPr>
      </w:pPr>
      <w:bookmarkStart w:id="89" w:name="_Toc26125"/>
      <w:bookmarkStart w:id="90" w:name="_Toc368066696"/>
      <w:bookmarkStart w:id="91" w:name="_Toc2817"/>
      <w:bookmarkStart w:id="92" w:name="_Toc136850808"/>
      <w:r>
        <w:rPr>
          <w:rFonts w:hint="eastAsia" w:ascii="仿宋" w:hAnsi="仿宋" w:eastAsia="仿宋" w:cs="仿宋"/>
          <w:b/>
          <w:bCs/>
          <w:sz w:val="24"/>
          <w:lang w:bidi="ar"/>
        </w:rPr>
        <w:t>10、违约责任</w:t>
      </w:r>
      <w:bookmarkEnd w:id="89"/>
      <w:bookmarkEnd w:id="90"/>
      <w:bookmarkEnd w:id="91"/>
    </w:p>
    <w:p>
      <w:pPr>
        <w:snapToGrid w:val="0"/>
        <w:spacing w:line="360" w:lineRule="auto"/>
        <w:ind w:firstLine="480" w:firstLineChars="200"/>
        <w:outlineLvl w:val="9"/>
        <w:rPr>
          <w:rFonts w:ascii="仿宋" w:hAnsi="仿宋" w:eastAsia="仿宋" w:cs="仿宋"/>
          <w:kern w:val="0"/>
          <w:sz w:val="24"/>
        </w:rPr>
      </w:pPr>
      <w:r>
        <w:rPr>
          <w:rFonts w:hint="eastAsia" w:ascii="仿宋" w:hAnsi="仿宋" w:eastAsia="仿宋" w:cs="仿宋"/>
          <w:kern w:val="0"/>
          <w:sz w:val="24"/>
        </w:rPr>
        <w:t>10.1人员管理不到位的违约责任</w:t>
      </w:r>
    </w:p>
    <w:p>
      <w:pPr>
        <w:snapToGrid w:val="0"/>
        <w:spacing w:line="360" w:lineRule="auto"/>
        <w:ind w:firstLine="480" w:firstLineChars="200"/>
        <w:outlineLvl w:val="9"/>
        <w:rPr>
          <w:rFonts w:ascii="仿宋" w:hAnsi="仿宋" w:eastAsia="仿宋" w:cs="仿宋"/>
          <w:kern w:val="0"/>
          <w:sz w:val="24"/>
        </w:rPr>
      </w:pPr>
      <w:r>
        <w:rPr>
          <w:rFonts w:hint="eastAsia" w:ascii="仿宋" w:hAnsi="仿宋" w:eastAsia="仿宋" w:cs="仿宋"/>
          <w:sz w:val="24"/>
        </w:rPr>
        <w:t>（1）</w:t>
      </w:r>
      <w:r>
        <w:rPr>
          <w:rFonts w:hint="eastAsia" w:ascii="仿宋" w:hAnsi="仿宋" w:eastAsia="仿宋" w:cs="仿宋"/>
          <w:kern w:val="0"/>
          <w:sz w:val="24"/>
        </w:rPr>
        <w:t>合同履行期间，乙方确需更换项目负责人的，乙方应按甲方相关规定办理变更手续，且只能更换一次；经报甲方审批同意更换项目负责人的，乙方须支付10000元违约金。</w:t>
      </w:r>
      <w:r>
        <w:rPr>
          <w:rFonts w:hint="eastAsia" w:ascii="仿宋" w:hAnsi="仿宋" w:eastAsia="仿宋"/>
          <w:sz w:val="24"/>
        </w:rPr>
        <w:t>未经甲方审批同意，乙方擅自变更项目负责人的，乙方须支付20000元违约金。</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合同履行期间，原则上不允许项目其他人员变更，乙方确需更换项目其他人员的必须征得甲方审批同意后方能更换，项目其他人员更换数量每年不超过项目总人数的30%（含），对乙方不予考核；更换人员数量每年达到项目总人数的30%（不含）-50%（含），超过部分乙方须支付2000元/人的违约金，更换人员数量每年超过项目总人数50%以上的，超过部分乙方须支付4000元/人的违约金。未征得甲方审批同意，乙方擅自更换项目其他人员的，乙方须支付4000元/人的违约金。</w:t>
      </w:r>
    </w:p>
    <w:p>
      <w:pPr>
        <w:pStyle w:val="45"/>
        <w:spacing w:after="0" w:line="360" w:lineRule="auto"/>
        <w:ind w:firstLine="480"/>
        <w:outlineLvl w:val="9"/>
        <w:rPr>
          <w:rFonts w:ascii="仿宋" w:hAnsi="仿宋" w:eastAsia="仿宋"/>
          <w:sz w:val="24"/>
        </w:rPr>
      </w:pPr>
      <w:r>
        <w:rPr>
          <w:rFonts w:hint="eastAsia" w:ascii="仿宋" w:hAnsi="仿宋" w:eastAsia="仿宋" w:cs="仿宋"/>
          <w:sz w:val="24"/>
        </w:rPr>
        <w:t>（3）项目负责人缺勤的，乙方须支付500元/天的违约金；项目其他人员缺勤的，乙方须支付200元/人天的违约金。</w:t>
      </w:r>
      <w:r>
        <w:rPr>
          <w:rFonts w:hint="eastAsia" w:ascii="仿宋" w:hAnsi="仿宋" w:eastAsia="仿宋"/>
          <w:sz w:val="24"/>
        </w:rPr>
        <w:t>缺勤以甲方不定时抽查和乙方内部审核的签到表或打卡记录为准。</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10.2 维保工作不到位的违约责任</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维保工作不到位的违约责任在用户需求书/技术规格书中明确的，按用户需求书/技术规格书执行，无明确约定的，按下述条款执行。</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（1）未经甲方书面同意，乙方在设备维保过程中使用不符合合同要求的备件和材料的，乙方应立即按甲方要求进行整改，且乙方须支付5000元/次的违约金。</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（2）乙方未采取严格的安全防护措施导致发生人员安全事故的，由乙方承担全部责任及由此而产生的一切费用。</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（3）乙方未按合同规定的时间对设备进行日常维护保养、特定日保障的（如有），乙方须支付2000元/次的违约金。</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（4）乙方接到甲方设备故障（缺陷）通知后，未按甲方要求的时间响应或到达现场进行维修处理的，乙方须支付1000元/次的违约金。</w:t>
      </w:r>
    </w:p>
    <w:p>
      <w:pPr>
        <w:snapToGrid w:val="0"/>
        <w:spacing w:line="360" w:lineRule="auto"/>
        <w:ind w:firstLine="480" w:firstLineChars="200"/>
        <w:outlineLvl w:val="9"/>
        <w:rPr>
          <w:rFonts w:ascii="仿宋" w:hAnsi="仿宋" w:eastAsia="仿宋" w:cs="仿宋"/>
          <w:kern w:val="0"/>
          <w:sz w:val="24"/>
        </w:rPr>
      </w:pPr>
      <w:r>
        <w:rPr>
          <w:rFonts w:hint="eastAsia" w:ascii="仿宋" w:hAnsi="仿宋" w:eastAsia="仿宋" w:cs="仿宋"/>
          <w:kern w:val="0"/>
          <w:sz w:val="24"/>
        </w:rPr>
        <w:t>（5）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80" w:firstLineChars="200"/>
        <w:outlineLvl w:val="9"/>
        <w:rPr>
          <w:rFonts w:ascii="仿宋" w:hAnsi="仿宋" w:eastAsia="仿宋" w:cs="仿宋"/>
          <w:kern w:val="0"/>
          <w:sz w:val="24"/>
        </w:rPr>
      </w:pPr>
      <w:r>
        <w:rPr>
          <w:rFonts w:hint="eastAsia" w:ascii="仿宋" w:hAnsi="仿宋" w:eastAsia="仿宋" w:cs="仿宋"/>
          <w:kern w:val="0"/>
          <w:sz w:val="24"/>
        </w:rPr>
        <w:t>10.3违约金以现金或转账方式交纳，甲方开具收款收据、不提供发票，乙方不得因此冲减增值税专用发票金额。</w:t>
      </w:r>
    </w:p>
    <w:bookmarkEnd w:id="92"/>
    <w:p>
      <w:pPr>
        <w:pStyle w:val="45"/>
        <w:spacing w:after="0" w:line="360" w:lineRule="auto"/>
        <w:ind w:firstLine="482"/>
        <w:outlineLvl w:val="9"/>
        <w:rPr>
          <w:rFonts w:ascii="仿宋" w:hAnsi="仿宋" w:eastAsia="仿宋" w:cs="仿宋"/>
          <w:b/>
          <w:bCs/>
          <w:sz w:val="24"/>
        </w:rPr>
      </w:pPr>
      <w:bookmarkStart w:id="93" w:name="_Toc11534"/>
      <w:bookmarkStart w:id="94" w:name="_Toc12374"/>
      <w:bookmarkStart w:id="95" w:name="_Toc368066697"/>
      <w:bookmarkStart w:id="96" w:name="_Toc192323538"/>
      <w:bookmarkStart w:id="97" w:name="_Toc136850810"/>
      <w:bookmarkStart w:id="98" w:name="_Toc240992316"/>
      <w:bookmarkStart w:id="99" w:name="_Toc357774473"/>
      <w:r>
        <w:rPr>
          <w:rFonts w:hint="eastAsia" w:ascii="仿宋" w:hAnsi="仿宋" w:eastAsia="仿宋" w:cs="仿宋"/>
          <w:b/>
          <w:bCs/>
          <w:sz w:val="24"/>
        </w:rPr>
        <w:t>11、不可抗力</w:t>
      </w:r>
      <w:bookmarkEnd w:id="93"/>
      <w:bookmarkEnd w:id="94"/>
      <w:bookmarkEnd w:id="95"/>
    </w:p>
    <w:p>
      <w:pPr>
        <w:pStyle w:val="45"/>
        <w:spacing w:after="0" w:line="360" w:lineRule="auto"/>
        <w:ind w:firstLine="480"/>
        <w:outlineLvl w:val="9"/>
        <w:rPr>
          <w:rFonts w:ascii="仿宋" w:hAnsi="仿宋" w:eastAsia="仿宋" w:cs="仿宋"/>
          <w:sz w:val="24"/>
        </w:rPr>
      </w:pPr>
      <w:bookmarkStart w:id="100" w:name="_Toc136850809"/>
      <w:r>
        <w:rPr>
          <w:rFonts w:hint="eastAsia" w:ascii="仿宋" w:hAnsi="仿宋" w:eastAsia="仿宋" w:cs="仿宋"/>
          <w:sz w:val="24"/>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00"/>
    <w:p>
      <w:pPr>
        <w:pStyle w:val="45"/>
        <w:spacing w:after="0" w:line="360" w:lineRule="auto"/>
        <w:ind w:firstLine="482"/>
        <w:outlineLvl w:val="9"/>
        <w:rPr>
          <w:rFonts w:ascii="仿宋" w:hAnsi="仿宋" w:eastAsia="仿宋" w:cs="仿宋"/>
          <w:b/>
          <w:bCs/>
          <w:sz w:val="24"/>
        </w:rPr>
      </w:pPr>
      <w:bookmarkStart w:id="101" w:name="_Toc20430"/>
      <w:bookmarkStart w:id="102" w:name="_Toc18270"/>
      <w:bookmarkStart w:id="103" w:name="_Toc368066698"/>
      <w:r>
        <w:rPr>
          <w:rFonts w:hint="eastAsia" w:ascii="仿宋" w:hAnsi="仿宋" w:eastAsia="仿宋" w:cs="仿宋"/>
          <w:b/>
          <w:bCs/>
          <w:sz w:val="24"/>
        </w:rPr>
        <w:t>12、争议解决</w:t>
      </w:r>
      <w:bookmarkEnd w:id="101"/>
      <w:bookmarkEnd w:id="102"/>
      <w:bookmarkEnd w:id="103"/>
    </w:p>
    <w:p>
      <w:pPr>
        <w:pStyle w:val="45"/>
        <w:spacing w:after="0" w:line="360" w:lineRule="auto"/>
        <w:ind w:firstLine="480"/>
        <w:outlineLvl w:val="9"/>
        <w:rPr>
          <w:rFonts w:ascii="仿宋" w:hAnsi="仿宋" w:eastAsia="仿宋" w:cs="仿宋"/>
          <w:sz w:val="24"/>
        </w:rPr>
      </w:pPr>
      <w:bookmarkStart w:id="104" w:name="_Toc368066699"/>
      <w:r>
        <w:rPr>
          <w:rFonts w:hint="eastAsia" w:ascii="仿宋" w:hAnsi="仿宋" w:eastAsia="仿宋" w:cs="仿宋"/>
          <w:sz w:val="24"/>
        </w:rPr>
        <w:t>12.1合同双方在履行合同中发生争议的，先应友好协商解决或委托中介机构或专业部门进行鉴定，检测或审核，也可提请行政主管部门的专门机构进行调解。</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12.2合同当事人友好协商解决不成，不愿委托中介机构或专业部门鉴定、检测、审核、也不提请调解的，或不接受鉴定、检测、审核结论或调解意见的，可向工程所在地的人民法院提起诉讼。</w:t>
      </w:r>
    </w:p>
    <w:bookmarkEnd w:id="104"/>
    <w:p>
      <w:pPr>
        <w:pStyle w:val="45"/>
        <w:spacing w:after="0" w:line="360" w:lineRule="auto"/>
        <w:ind w:firstLine="482"/>
        <w:outlineLvl w:val="9"/>
        <w:rPr>
          <w:rFonts w:ascii="仿宋" w:hAnsi="仿宋" w:eastAsia="仿宋" w:cs="仿宋"/>
          <w:b/>
          <w:bCs/>
          <w:sz w:val="24"/>
        </w:rPr>
      </w:pPr>
      <w:bookmarkStart w:id="105" w:name="_Toc5613"/>
      <w:bookmarkStart w:id="106" w:name="_Toc24616"/>
      <w:r>
        <w:rPr>
          <w:rFonts w:hint="eastAsia" w:ascii="仿宋" w:hAnsi="仿宋" w:eastAsia="仿宋" w:cs="仿宋"/>
          <w:b/>
          <w:bCs/>
          <w:sz w:val="24"/>
        </w:rPr>
        <w:t>13、合同解除</w:t>
      </w:r>
      <w:bookmarkEnd w:id="105"/>
      <w:bookmarkEnd w:id="106"/>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13.1 有下列情形之一的，合同当事人一方或双方可以解除合同：</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（1）乙方将本合同约定的工作全部或部分转包给他人，甲方可以解除合同；</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（2）因不可抗力致使合同无法履行；</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（3）因一方违约致使合同无法实际履行或实际履行已无必要。</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（4）违约金总额超过合同签约价的10%，甲方有权解除合同。</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13.2 任何一方提出解除合同的，应提前30天书面通知对方。</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13.4本合同解除后，本合同约定的有关结算、争议解决方式的条款仍然有效。</w:t>
      </w:r>
    </w:p>
    <w:p>
      <w:pPr>
        <w:pStyle w:val="45"/>
        <w:spacing w:after="0" w:line="360" w:lineRule="auto"/>
        <w:ind w:firstLine="482"/>
        <w:outlineLvl w:val="9"/>
        <w:rPr>
          <w:rFonts w:ascii="仿宋" w:hAnsi="仿宋" w:eastAsia="仿宋" w:cs="仿宋"/>
          <w:b/>
          <w:bCs/>
          <w:sz w:val="24"/>
        </w:rPr>
      </w:pPr>
      <w:bookmarkStart w:id="107" w:name="_Toc7465"/>
      <w:bookmarkStart w:id="108" w:name="_Toc32137"/>
      <w:r>
        <w:rPr>
          <w:rFonts w:hint="eastAsia" w:ascii="仿宋" w:hAnsi="仿宋" w:eastAsia="仿宋" w:cs="仿宋"/>
          <w:b/>
          <w:bCs/>
          <w:sz w:val="24"/>
        </w:rPr>
        <w:t>14、合同终止</w:t>
      </w:r>
      <w:bookmarkEnd w:id="107"/>
      <w:bookmarkEnd w:id="108"/>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除合同解除外，以下条件全部满足时，本合同终止：</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（1）乙方完成本合同约定的全部工作；</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（2）甲方与乙方结清并支付服务费用；</w:t>
      </w:r>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rPr>
        <w:t>（3）乙方将甲方提供的资料交还。</w:t>
      </w:r>
    </w:p>
    <w:p>
      <w:pPr>
        <w:pStyle w:val="45"/>
        <w:spacing w:after="0" w:line="360" w:lineRule="auto"/>
        <w:ind w:firstLine="482"/>
        <w:outlineLvl w:val="9"/>
        <w:rPr>
          <w:rFonts w:ascii="仿宋" w:hAnsi="仿宋" w:eastAsia="仿宋" w:cs="仿宋"/>
          <w:b/>
          <w:bCs/>
          <w:sz w:val="24"/>
        </w:rPr>
      </w:pPr>
      <w:bookmarkStart w:id="109" w:name="_Toc20824"/>
      <w:r>
        <w:rPr>
          <w:rFonts w:hint="eastAsia" w:ascii="仿宋" w:hAnsi="仿宋" w:eastAsia="仿宋" w:cs="仿宋"/>
          <w:b/>
          <w:bCs/>
          <w:sz w:val="24"/>
        </w:rPr>
        <w:t>15、双方约定的其他事项</w:t>
      </w:r>
      <w:bookmarkEnd w:id="109"/>
    </w:p>
    <w:p>
      <w:pPr>
        <w:pStyle w:val="45"/>
        <w:spacing w:after="0" w:line="360" w:lineRule="auto"/>
        <w:ind w:firstLine="480"/>
        <w:outlineLvl w:val="9"/>
        <w:rPr>
          <w:rFonts w:ascii="仿宋" w:hAnsi="仿宋" w:eastAsia="仿宋" w:cs="仿宋"/>
          <w:sz w:val="24"/>
        </w:rPr>
      </w:pPr>
      <w:r>
        <w:rPr>
          <w:rFonts w:hint="eastAsia" w:ascii="仿宋" w:hAnsi="仿宋" w:eastAsia="仿宋" w:cs="仿宋"/>
          <w:sz w:val="24"/>
          <w:u w:val="single"/>
        </w:rPr>
        <w:t xml:space="preserve">       /           </w:t>
      </w:r>
      <w:r>
        <w:rPr>
          <w:rFonts w:hint="eastAsia" w:ascii="仿宋" w:hAnsi="仿宋" w:eastAsia="仿宋" w:cs="仿宋"/>
          <w:sz w:val="24"/>
        </w:rPr>
        <w:t>。</w:t>
      </w:r>
    </w:p>
    <w:p>
      <w:pPr>
        <w:widowControl/>
        <w:spacing w:line="360" w:lineRule="auto"/>
        <w:jc w:val="left"/>
        <w:outlineLvl w:val="9"/>
        <w:rPr>
          <w:rFonts w:ascii="仿宋" w:hAnsi="仿宋" w:eastAsia="仿宋" w:cs="仿宋"/>
          <w:sz w:val="24"/>
        </w:rPr>
        <w:sectPr>
          <w:pgSz w:w="11850" w:h="16783"/>
          <w:pgMar w:top="1440" w:right="1800" w:bottom="1440" w:left="1800" w:header="851" w:footer="992" w:gutter="0"/>
          <w:cols w:space="720" w:num="1"/>
        </w:sectPr>
      </w:pPr>
    </w:p>
    <w:bookmarkEnd w:id="96"/>
    <w:bookmarkEnd w:id="97"/>
    <w:bookmarkEnd w:id="98"/>
    <w:bookmarkEnd w:id="99"/>
    <w:p>
      <w:pPr>
        <w:tabs>
          <w:tab w:val="left" w:pos="851"/>
          <w:tab w:val="left" w:pos="1440"/>
        </w:tabs>
        <w:adjustRightInd w:val="0"/>
        <w:snapToGrid w:val="0"/>
        <w:spacing w:before="120" w:beforeLines="50" w:after="120" w:afterLines="50" w:line="360" w:lineRule="auto"/>
        <w:jc w:val="center"/>
        <w:outlineLvl w:val="9"/>
        <w:rPr>
          <w:rFonts w:ascii="仿宋" w:hAnsi="仿宋" w:eastAsia="仿宋" w:cs="仿宋"/>
          <w:b/>
          <w:kern w:val="0"/>
          <w:sz w:val="32"/>
          <w:szCs w:val="32"/>
        </w:rPr>
      </w:pPr>
      <w:bookmarkStart w:id="110" w:name="_Toc26755"/>
      <w:bookmarkStart w:id="111" w:name="_Toc25884"/>
      <w:r>
        <w:rPr>
          <w:rFonts w:hint="eastAsia" w:ascii="仿宋" w:hAnsi="仿宋" w:eastAsia="仿宋" w:cs="仿宋"/>
          <w:b/>
          <w:kern w:val="0"/>
          <w:sz w:val="32"/>
          <w:szCs w:val="32"/>
        </w:rPr>
        <w:t>第四部分 技术规格书</w:t>
      </w:r>
      <w:bookmarkEnd w:id="110"/>
      <w:bookmarkEnd w:id="111"/>
    </w:p>
    <w:p>
      <w:pPr>
        <w:tabs>
          <w:tab w:val="left" w:pos="851"/>
          <w:tab w:val="left" w:pos="1440"/>
        </w:tabs>
        <w:adjustRightInd w:val="0"/>
        <w:snapToGrid w:val="0"/>
        <w:spacing w:before="120" w:beforeLines="50" w:after="120" w:afterLines="50" w:line="360" w:lineRule="auto"/>
        <w:jc w:val="center"/>
        <w:outlineLvl w:val="9"/>
        <w:rPr>
          <w:rFonts w:ascii="仿宋" w:hAnsi="仿宋" w:eastAsia="仿宋" w:cs="仿宋"/>
          <w:b/>
          <w:kern w:val="0"/>
          <w:sz w:val="32"/>
          <w:szCs w:val="32"/>
        </w:rPr>
      </w:pPr>
    </w:p>
    <w:p>
      <w:pPr>
        <w:widowControl/>
        <w:spacing w:line="360" w:lineRule="auto"/>
        <w:jc w:val="left"/>
        <w:outlineLvl w:val="9"/>
        <w:rPr>
          <w:rFonts w:ascii="仿宋" w:hAnsi="仿宋" w:eastAsia="仿宋" w:cs="仿宋"/>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56" w:beforeLines="50" w:after="156" w:afterLines="50" w:line="360" w:lineRule="auto"/>
        <w:jc w:val="center"/>
        <w:outlineLvl w:val="9"/>
        <w:rPr>
          <w:rFonts w:ascii="仿宋" w:hAnsi="仿宋" w:eastAsia="仿宋" w:cs="仿宋"/>
          <w:b/>
          <w:kern w:val="0"/>
          <w:sz w:val="32"/>
          <w:szCs w:val="32"/>
        </w:rPr>
      </w:pPr>
      <w:bookmarkStart w:id="112" w:name="_Toc26605"/>
      <w:bookmarkStart w:id="113" w:name="_Toc29947"/>
      <w:r>
        <w:rPr>
          <w:rFonts w:hint="eastAsia" w:ascii="仿宋" w:hAnsi="仿宋" w:eastAsia="仿宋" w:cs="仿宋"/>
          <w:b/>
          <w:kern w:val="0"/>
          <w:sz w:val="32"/>
          <w:szCs w:val="32"/>
        </w:rPr>
        <w:t>第五部分 合同附件</w:t>
      </w:r>
      <w:bookmarkEnd w:id="112"/>
      <w:bookmarkEnd w:id="113"/>
      <w:r>
        <w:rPr>
          <w:rFonts w:hint="eastAsia" w:ascii="仿宋" w:hAnsi="仿宋" w:eastAsia="仿宋" w:cs="仿宋"/>
          <w:b/>
          <w:kern w:val="0"/>
          <w:sz w:val="32"/>
          <w:szCs w:val="32"/>
        </w:rPr>
        <w:t xml:space="preserve"> </w:t>
      </w:r>
    </w:p>
    <w:p>
      <w:pPr>
        <w:tabs>
          <w:tab w:val="left" w:pos="540"/>
        </w:tabs>
        <w:spacing w:line="360" w:lineRule="auto"/>
        <w:outlineLvl w:val="9"/>
        <w:rPr>
          <w:rFonts w:ascii="仿宋" w:hAnsi="仿宋" w:eastAsia="仿宋" w:cs="仿宋"/>
          <w:b/>
          <w:sz w:val="32"/>
          <w:szCs w:val="32"/>
        </w:rPr>
      </w:pPr>
      <w:bookmarkStart w:id="114" w:name="_Toc25824"/>
      <w:bookmarkStart w:id="115" w:name="_Toc19384"/>
      <w:bookmarkStart w:id="116" w:name="_Toc19498"/>
      <w:bookmarkStart w:id="117" w:name="_Toc452557272"/>
      <w:r>
        <w:rPr>
          <w:rFonts w:hint="eastAsia" w:ascii="仿宋" w:hAnsi="仿宋" w:eastAsia="仿宋" w:cs="仿宋"/>
          <w:b/>
          <w:bCs/>
          <w:sz w:val="24"/>
        </w:rPr>
        <w:t>附件1 廉政合同</w:t>
      </w:r>
      <w:bookmarkEnd w:id="114"/>
      <w:bookmarkEnd w:id="115"/>
    </w:p>
    <w:p>
      <w:pPr>
        <w:tabs>
          <w:tab w:val="left" w:pos="540"/>
        </w:tabs>
        <w:spacing w:line="500" w:lineRule="exact"/>
        <w:jc w:val="center"/>
        <w:outlineLvl w:val="9"/>
        <w:rPr>
          <w:rFonts w:ascii="仿宋" w:hAnsi="仿宋" w:eastAsia="仿宋" w:cs="仿宋"/>
          <w:sz w:val="30"/>
          <w:szCs w:val="30"/>
        </w:rPr>
      </w:pPr>
      <w:r>
        <w:rPr>
          <w:rFonts w:hint="eastAsia" w:ascii="仿宋" w:hAnsi="仿宋" w:eastAsia="仿宋" w:cs="仿宋"/>
          <w:b/>
          <w:sz w:val="30"/>
          <w:szCs w:val="30"/>
        </w:rPr>
        <w:t>廉政合同</w:t>
      </w:r>
    </w:p>
    <w:p>
      <w:pPr>
        <w:spacing w:line="360" w:lineRule="auto"/>
        <w:ind w:firstLine="420"/>
        <w:outlineLvl w:val="9"/>
        <w:rPr>
          <w:rFonts w:ascii="仿宋" w:hAnsi="仿宋" w:eastAsia="仿宋" w:cs="仿宋"/>
          <w:sz w:val="24"/>
        </w:rPr>
      </w:pPr>
    </w:p>
    <w:p>
      <w:pPr>
        <w:spacing w:line="360" w:lineRule="auto"/>
        <w:ind w:firstLine="420"/>
        <w:jc w:val="left"/>
        <w:outlineLvl w:val="9"/>
        <w:rPr>
          <w:rFonts w:ascii="仿宋" w:hAnsi="仿宋" w:eastAsia="仿宋" w:cs="仿宋"/>
          <w:sz w:val="24"/>
        </w:rPr>
      </w:pPr>
      <w:r>
        <w:rPr>
          <w:rFonts w:hint="eastAsia" w:ascii="仿宋" w:hAnsi="仿宋" w:eastAsia="仿宋" w:cs="仿宋"/>
          <w:sz w:val="24"/>
        </w:rPr>
        <w:t>根据国家法律、法规以及有关工程建设、廉政建设的规定，为做好工程建设中的党风廉政建设，保证工程建设高效优质，保证建设资金的安全和有效使用以及投资效益，</w:t>
      </w:r>
      <w:r>
        <w:rPr>
          <w:rFonts w:hint="eastAsia" w:ascii="仿宋" w:hAnsi="仿宋" w:eastAsia="仿宋" w:cs="仿宋"/>
          <w:sz w:val="24"/>
          <w:u w:val="single"/>
        </w:rPr>
        <w:t xml:space="preserve">             </w:t>
      </w:r>
      <w:r>
        <w:rPr>
          <w:rFonts w:hint="eastAsia" w:ascii="仿宋" w:hAnsi="仿宋" w:eastAsia="仿宋" w:cs="仿宋"/>
          <w:sz w:val="24"/>
        </w:rPr>
        <w:t xml:space="preserve">的项目法人 </w:t>
      </w:r>
      <w:r>
        <w:rPr>
          <w:rFonts w:hint="eastAsia" w:ascii="仿宋" w:hAnsi="仿宋" w:eastAsia="仿宋" w:cs="仿宋"/>
          <w:sz w:val="24"/>
          <w:u w:val="single"/>
        </w:rPr>
        <w:t xml:space="preserve">      </w:t>
      </w:r>
      <w:r>
        <w:rPr>
          <w:rFonts w:hint="eastAsia" w:ascii="仿宋" w:hAnsi="仿宋" w:eastAsia="仿宋" w:cs="仿宋"/>
          <w:sz w:val="24"/>
        </w:rPr>
        <w:t>(以下称“甲方”)与</w:t>
      </w:r>
      <w:r>
        <w:rPr>
          <w:rFonts w:hint="eastAsia" w:ascii="仿宋" w:hAnsi="仿宋" w:eastAsia="仿宋" w:cs="仿宋"/>
          <w:sz w:val="24"/>
          <w:u w:val="single"/>
        </w:rPr>
        <w:t xml:space="preserve">      </w:t>
      </w:r>
      <w:r>
        <w:rPr>
          <w:rFonts w:hint="eastAsia" w:ascii="仿宋" w:hAnsi="仿宋" w:eastAsia="仿宋" w:cs="仿宋"/>
          <w:sz w:val="24"/>
        </w:rPr>
        <w:t>（以下称“乙方”），特订立如下合同。</w:t>
      </w:r>
    </w:p>
    <w:p>
      <w:pPr>
        <w:snapToGrid w:val="0"/>
        <w:spacing w:line="360" w:lineRule="auto"/>
        <w:ind w:firstLine="510"/>
        <w:outlineLvl w:val="9"/>
        <w:rPr>
          <w:rFonts w:ascii="仿宋" w:hAnsi="仿宋" w:eastAsia="仿宋" w:cs="仿宋"/>
          <w:b/>
          <w:sz w:val="24"/>
        </w:rPr>
      </w:pPr>
      <w:r>
        <w:rPr>
          <w:rFonts w:hint="eastAsia" w:ascii="仿宋" w:hAnsi="仿宋" w:eastAsia="仿宋" w:cs="仿宋"/>
          <w:b/>
          <w:sz w:val="24"/>
        </w:rPr>
        <w:t>第一条 甲乙双方的权利和义务</w:t>
      </w:r>
    </w:p>
    <w:p>
      <w:pPr>
        <w:tabs>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（一）严格遵守党和国家有关法律法规及湖南省、长沙市的相关规定。</w:t>
      </w:r>
    </w:p>
    <w:p>
      <w:pPr>
        <w:spacing w:line="360" w:lineRule="auto"/>
        <w:ind w:firstLine="540" w:firstLineChars="225"/>
        <w:outlineLvl w:val="9"/>
        <w:rPr>
          <w:rFonts w:ascii="仿宋" w:hAnsi="仿宋" w:eastAsia="仿宋" w:cs="仿宋"/>
          <w:sz w:val="24"/>
        </w:rPr>
      </w:pPr>
      <w:r>
        <w:rPr>
          <w:rFonts w:hint="eastAsia" w:ascii="仿宋" w:hAnsi="仿宋" w:eastAsia="仿宋" w:cs="仿宋"/>
          <w:sz w:val="24"/>
        </w:rPr>
        <w:t>（二）严格执行</w:t>
      </w:r>
      <w:r>
        <w:rPr>
          <w:rFonts w:hint="eastAsia" w:ascii="仿宋" w:hAnsi="仿宋" w:eastAsia="仿宋" w:cs="仿宋"/>
          <w:sz w:val="24"/>
          <w:u w:val="single"/>
        </w:rPr>
        <w:t xml:space="preserve">                    </w:t>
      </w:r>
      <w:r>
        <w:rPr>
          <w:rFonts w:hint="eastAsia" w:ascii="仿宋" w:hAnsi="仿宋" w:eastAsia="仿宋" w:cs="仿宋"/>
          <w:sz w:val="24"/>
        </w:rPr>
        <w:t>项目的合同文件（以下简称主合同），自觉按合同办事。</w:t>
      </w:r>
    </w:p>
    <w:p>
      <w:pPr>
        <w:tabs>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（三）双方的业务活动坚持公开、公正、诚信、透明的原则（除法律认定的商业秘密和合同文件另有规定之外），不得损害国家和集体利益，违反工程建设规章制度。</w:t>
      </w:r>
    </w:p>
    <w:p>
      <w:pPr>
        <w:tabs>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（四）建立健全廉政制度，开展廉政教育，设立廉政告示牌，公布举报电话，监督并认真查处违法违纪行为。</w:t>
      </w:r>
    </w:p>
    <w:p>
      <w:pPr>
        <w:tabs>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（五）发现对方在业务活动中有违反廉政规定的行为，有及时提醒对方纠正的权利和义务。</w:t>
      </w:r>
    </w:p>
    <w:p>
      <w:pPr>
        <w:tabs>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（六）发现对方严重违反本合同义务条款的行为，有向其上级有关部门举报、建议给予处理并要求告知处理结果的权利。</w:t>
      </w:r>
    </w:p>
    <w:p>
      <w:pPr>
        <w:snapToGrid w:val="0"/>
        <w:spacing w:line="360" w:lineRule="auto"/>
        <w:ind w:firstLine="510"/>
        <w:outlineLvl w:val="9"/>
        <w:rPr>
          <w:rFonts w:ascii="仿宋" w:hAnsi="仿宋" w:eastAsia="仿宋" w:cs="仿宋"/>
          <w:b/>
          <w:sz w:val="24"/>
        </w:rPr>
      </w:pPr>
      <w:r>
        <w:rPr>
          <w:rFonts w:hint="eastAsia" w:ascii="仿宋" w:hAnsi="仿宋" w:eastAsia="仿宋" w:cs="仿宋"/>
          <w:b/>
          <w:sz w:val="24"/>
        </w:rPr>
        <w:t>第二条 甲方的义务</w:t>
      </w:r>
    </w:p>
    <w:p>
      <w:pPr>
        <w:tabs>
          <w:tab w:val="left" w:pos="0"/>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（一）甲方及其工作人员不得索要或接受乙方的礼金、有价证券和贵重物品，不得在乙方报销任何应由甲方或个人支付的费用等。</w:t>
      </w:r>
    </w:p>
    <w:p>
      <w:pPr>
        <w:tabs>
          <w:tab w:val="left" w:pos="0"/>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（二）甲方工作人员不得参加乙方安排的超标准宴请和娱乐活动；不得接受乙方提供的通讯工具、交通工具和高档办公用品等。</w:t>
      </w:r>
    </w:p>
    <w:p>
      <w:pPr>
        <w:tabs>
          <w:tab w:val="left" w:pos="0"/>
          <w:tab w:val="left" w:pos="2115"/>
        </w:tabs>
        <w:snapToGrid w:val="0"/>
        <w:spacing w:line="360" w:lineRule="auto"/>
        <w:ind w:firstLine="510"/>
        <w:outlineLvl w:val="9"/>
        <w:rPr>
          <w:rFonts w:ascii="仿宋" w:hAnsi="仿宋" w:eastAsia="仿宋" w:cs="仿宋"/>
          <w:sz w:val="24"/>
        </w:rPr>
      </w:pPr>
      <w:r>
        <w:rPr>
          <w:rFonts w:hint="eastAsia" w:ascii="仿宋" w:hAnsi="仿宋" w:eastAsia="仿宋" w:cs="仿宋"/>
          <w:sz w:val="24"/>
        </w:rPr>
        <w:t>（三）甲方及其工作人员不得要求或者接受乙方为其住房装修、婚丧嫁娶活动、配偶子女的工作安排以及出国出境、旅游等提供方便等。</w:t>
      </w:r>
    </w:p>
    <w:p>
      <w:pPr>
        <w:snapToGrid w:val="0"/>
        <w:spacing w:line="360" w:lineRule="auto"/>
        <w:ind w:firstLine="510"/>
        <w:outlineLvl w:val="9"/>
        <w:rPr>
          <w:rFonts w:ascii="仿宋" w:hAnsi="仿宋" w:eastAsia="仿宋" w:cs="仿宋"/>
          <w:b/>
          <w:sz w:val="24"/>
        </w:rPr>
      </w:pPr>
      <w:r>
        <w:rPr>
          <w:rFonts w:hint="eastAsia" w:ascii="仿宋" w:hAnsi="仿宋" w:eastAsia="仿宋" w:cs="仿宋"/>
          <w:b/>
          <w:sz w:val="24"/>
        </w:rPr>
        <w:t>第三条 乙方的义务</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（三）乙方不得以任何理由安排甲方工作人员参加超标准宴请及娱乐活动。</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（四）乙方不得为甲方单位和个人购置或提供通讯工具、交通工具和高档办公用品等。</w:t>
      </w:r>
    </w:p>
    <w:p>
      <w:pPr>
        <w:snapToGrid w:val="0"/>
        <w:spacing w:line="360" w:lineRule="auto"/>
        <w:ind w:firstLine="510"/>
        <w:outlineLvl w:val="9"/>
        <w:rPr>
          <w:rFonts w:ascii="仿宋" w:hAnsi="仿宋" w:eastAsia="仿宋" w:cs="仿宋"/>
          <w:b/>
          <w:sz w:val="24"/>
        </w:rPr>
      </w:pPr>
      <w:r>
        <w:rPr>
          <w:rFonts w:hint="eastAsia" w:ascii="仿宋" w:hAnsi="仿宋" w:eastAsia="仿宋" w:cs="仿宋"/>
          <w:b/>
          <w:sz w:val="24"/>
        </w:rPr>
        <w:t>第四条 违约责任</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snapToGrid w:val="0"/>
        <w:spacing w:line="360" w:lineRule="auto"/>
        <w:ind w:firstLine="510"/>
        <w:outlineLvl w:val="9"/>
        <w:rPr>
          <w:rFonts w:ascii="仿宋" w:hAnsi="仿宋" w:eastAsia="仿宋" w:cs="仿宋"/>
          <w:sz w:val="24"/>
        </w:rPr>
      </w:pPr>
      <w:r>
        <w:rPr>
          <w:rFonts w:hint="eastAsia" w:ascii="仿宋" w:hAnsi="仿宋" w:eastAsia="仿宋" w:cs="仿宋"/>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360" w:lineRule="auto"/>
        <w:ind w:firstLine="510"/>
        <w:outlineLvl w:val="9"/>
        <w:rPr>
          <w:rFonts w:ascii="仿宋" w:hAnsi="仿宋" w:eastAsia="仿宋" w:cs="仿宋"/>
          <w:sz w:val="24"/>
        </w:rPr>
      </w:pPr>
      <w:r>
        <w:rPr>
          <w:rFonts w:hint="eastAsia" w:ascii="仿宋" w:hAnsi="仿宋" w:eastAsia="仿宋" w:cs="仿宋"/>
          <w:b/>
          <w:sz w:val="24"/>
        </w:rPr>
        <w:t>第五条</w:t>
      </w:r>
      <w:r>
        <w:rPr>
          <w:rFonts w:hint="eastAsia" w:ascii="仿宋" w:hAnsi="仿宋" w:eastAsia="仿宋" w:cs="仿宋"/>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360" w:lineRule="auto"/>
        <w:ind w:firstLine="510"/>
        <w:outlineLvl w:val="9"/>
        <w:rPr>
          <w:rFonts w:ascii="仿宋" w:hAnsi="仿宋" w:eastAsia="仿宋" w:cs="仿宋"/>
          <w:sz w:val="24"/>
        </w:rPr>
      </w:pPr>
      <w:r>
        <w:rPr>
          <w:rFonts w:hint="eastAsia" w:ascii="仿宋" w:hAnsi="仿宋" w:eastAsia="仿宋" w:cs="仿宋"/>
          <w:b/>
          <w:sz w:val="24"/>
        </w:rPr>
        <w:t>第六条</w:t>
      </w:r>
      <w:r>
        <w:rPr>
          <w:rFonts w:hint="eastAsia" w:ascii="仿宋" w:hAnsi="仿宋" w:eastAsia="仿宋" w:cs="仿宋"/>
          <w:sz w:val="24"/>
        </w:rPr>
        <w:t xml:space="preserve"> 本合同有效期为甲乙双方签署之日起至主合同完全履行完毕之日止。</w:t>
      </w:r>
    </w:p>
    <w:p>
      <w:pPr>
        <w:snapToGrid w:val="0"/>
        <w:spacing w:line="360" w:lineRule="auto"/>
        <w:ind w:firstLine="510"/>
        <w:outlineLvl w:val="9"/>
        <w:rPr>
          <w:rFonts w:ascii="仿宋" w:hAnsi="仿宋" w:eastAsia="仿宋" w:cs="仿宋"/>
          <w:sz w:val="24"/>
        </w:rPr>
      </w:pPr>
      <w:r>
        <w:rPr>
          <w:rFonts w:hint="eastAsia" w:ascii="仿宋" w:hAnsi="仿宋" w:eastAsia="仿宋" w:cs="仿宋"/>
          <w:b/>
          <w:sz w:val="24"/>
        </w:rPr>
        <w:t>第七条</w:t>
      </w:r>
      <w:r>
        <w:rPr>
          <w:rFonts w:hint="eastAsia" w:ascii="仿宋" w:hAnsi="仿宋" w:eastAsia="仿宋" w:cs="仿宋"/>
          <w:sz w:val="24"/>
        </w:rPr>
        <w:t xml:space="preserve"> 本合同作为主合同的附件，与工程监理合同具有同等的法律效力，经合同双方签署立即生效。</w:t>
      </w:r>
    </w:p>
    <w:p>
      <w:pPr>
        <w:snapToGrid w:val="0"/>
        <w:spacing w:line="360" w:lineRule="auto"/>
        <w:ind w:firstLine="510"/>
        <w:outlineLvl w:val="9"/>
        <w:rPr>
          <w:rFonts w:ascii="仿宋" w:hAnsi="仿宋" w:eastAsia="仿宋" w:cs="仿宋"/>
          <w:sz w:val="24"/>
        </w:rPr>
      </w:pPr>
    </w:p>
    <w:p>
      <w:pPr>
        <w:snapToGrid w:val="0"/>
        <w:spacing w:line="360" w:lineRule="auto"/>
        <w:outlineLvl w:val="9"/>
        <w:rPr>
          <w:rFonts w:ascii="仿宋" w:hAnsi="仿宋" w:eastAsia="仿宋"/>
          <w:sz w:val="24"/>
          <w:u w:val="single"/>
        </w:rPr>
      </w:pPr>
      <w:bookmarkStart w:id="118" w:name="_Toc24224"/>
      <w:r>
        <w:rPr>
          <w:rFonts w:hint="eastAsia" w:ascii="仿宋" w:hAnsi="仿宋" w:eastAsia="仿宋"/>
          <w:sz w:val="24"/>
        </w:rPr>
        <w:t>甲方单位：</w:t>
      </w:r>
      <w:r>
        <w:rPr>
          <w:rFonts w:hint="eastAsia" w:ascii="仿宋" w:hAnsi="仿宋" w:eastAsia="仿宋"/>
          <w:sz w:val="24"/>
          <w:u w:val="single"/>
        </w:rPr>
        <w:t xml:space="preserve"> （盖章）       </w:t>
      </w:r>
      <w:r>
        <w:rPr>
          <w:rFonts w:hint="eastAsia" w:ascii="仿宋" w:hAnsi="仿宋" w:eastAsia="仿宋"/>
          <w:sz w:val="24"/>
        </w:rPr>
        <w:t xml:space="preserve">              乙方单位：</w:t>
      </w:r>
      <w:r>
        <w:rPr>
          <w:rFonts w:hint="eastAsia" w:ascii="仿宋" w:hAnsi="仿宋" w:eastAsia="仿宋"/>
          <w:sz w:val="24"/>
          <w:u w:val="single"/>
        </w:rPr>
        <w:t xml:space="preserve"> （盖章）          </w:t>
      </w:r>
    </w:p>
    <w:p>
      <w:pPr>
        <w:snapToGrid w:val="0"/>
        <w:spacing w:line="360" w:lineRule="auto"/>
        <w:outlineLvl w:val="9"/>
        <w:rPr>
          <w:rFonts w:ascii="仿宋" w:hAnsi="仿宋" w:eastAsia="仿宋"/>
          <w:sz w:val="24"/>
          <w:u w:val="single"/>
        </w:rPr>
      </w:pPr>
      <w:r>
        <w:rPr>
          <w:rFonts w:hint="eastAsia" w:ascii="仿宋" w:hAnsi="仿宋" w:eastAsia="仿宋"/>
          <w:sz w:val="24"/>
        </w:rPr>
        <w:t>法定代表人：</w:t>
      </w:r>
      <w:r>
        <w:rPr>
          <w:rFonts w:hint="eastAsia" w:ascii="仿宋" w:hAnsi="仿宋" w:eastAsia="仿宋"/>
          <w:sz w:val="24"/>
          <w:u w:val="single"/>
        </w:rPr>
        <w:t xml:space="preserve">（签字）       </w:t>
      </w:r>
      <w:r>
        <w:rPr>
          <w:rFonts w:hint="eastAsia" w:ascii="仿宋" w:hAnsi="仿宋" w:eastAsia="仿宋"/>
          <w:sz w:val="24"/>
        </w:rPr>
        <w:t xml:space="preserve">              法定代表人：</w:t>
      </w:r>
      <w:r>
        <w:rPr>
          <w:rFonts w:hint="eastAsia" w:ascii="仿宋" w:hAnsi="仿宋" w:eastAsia="仿宋"/>
          <w:sz w:val="24"/>
          <w:u w:val="single"/>
        </w:rPr>
        <w:t xml:space="preserve"> （签字）        </w:t>
      </w:r>
    </w:p>
    <w:p>
      <w:pPr>
        <w:snapToGrid w:val="0"/>
        <w:spacing w:line="360" w:lineRule="auto"/>
        <w:outlineLvl w:val="9"/>
        <w:rPr>
          <w:rFonts w:ascii="仿宋" w:hAnsi="仿宋" w:eastAsia="仿宋"/>
          <w:sz w:val="24"/>
        </w:rPr>
      </w:pPr>
      <w:r>
        <w:rPr>
          <w:rFonts w:hint="eastAsia" w:ascii="仿宋" w:hAnsi="仿宋" w:eastAsia="仿宋"/>
          <w:sz w:val="24"/>
        </w:rPr>
        <w:t>或授权代理人：</w:t>
      </w:r>
      <w:r>
        <w:rPr>
          <w:rFonts w:hint="eastAsia" w:ascii="仿宋" w:hAnsi="仿宋" w:eastAsia="仿宋"/>
          <w:sz w:val="24"/>
          <w:u w:val="single"/>
        </w:rPr>
        <w:t xml:space="preserve">（签字）      </w:t>
      </w:r>
      <w:r>
        <w:rPr>
          <w:rFonts w:hint="eastAsia" w:ascii="仿宋" w:hAnsi="仿宋" w:eastAsia="仿宋"/>
          <w:sz w:val="24"/>
        </w:rPr>
        <w:t xml:space="preserve">             或授权代理人：</w:t>
      </w:r>
      <w:r>
        <w:rPr>
          <w:rFonts w:hint="eastAsia" w:ascii="仿宋" w:hAnsi="仿宋" w:eastAsia="仿宋"/>
          <w:sz w:val="24"/>
          <w:u w:val="single"/>
        </w:rPr>
        <w:t xml:space="preserve">（签字）        </w:t>
      </w:r>
    </w:p>
    <w:p>
      <w:pPr>
        <w:snapToGrid w:val="0"/>
        <w:spacing w:line="360" w:lineRule="auto"/>
        <w:outlineLvl w:val="9"/>
        <w:rPr>
          <w:rFonts w:ascii="仿宋" w:hAnsi="仿宋" w:eastAsia="仿宋"/>
          <w:sz w:val="24"/>
          <w:u w:val="single"/>
        </w:rPr>
      </w:pPr>
      <w:r>
        <w:rPr>
          <w:rFonts w:hint="eastAsia" w:ascii="仿宋" w:hAnsi="仿宋" w:eastAsia="仿宋"/>
          <w:sz w:val="24"/>
        </w:rPr>
        <w:t>电话：</w:t>
      </w:r>
      <w:r>
        <w:rPr>
          <w:rFonts w:hint="eastAsia" w:ascii="仿宋" w:hAnsi="仿宋" w:eastAsia="仿宋"/>
          <w:sz w:val="24"/>
          <w:u w:val="single"/>
        </w:rPr>
        <w:t xml:space="preserve">                     </w:t>
      </w:r>
      <w:r>
        <w:rPr>
          <w:rFonts w:hint="eastAsia" w:ascii="仿宋" w:hAnsi="仿宋" w:eastAsia="仿宋"/>
          <w:sz w:val="24"/>
        </w:rPr>
        <w:t xml:space="preserve">             电话：</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 xml:space="preserve">日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napToGrid w:val="0"/>
        <w:spacing w:line="360" w:lineRule="auto"/>
        <w:outlineLvl w:val="9"/>
        <w:rPr>
          <w:rFonts w:ascii="仿宋" w:hAnsi="仿宋" w:eastAsia="仿宋"/>
          <w:sz w:val="24"/>
          <w:u w:val="single"/>
        </w:rPr>
      </w:pPr>
      <w:r>
        <w:rPr>
          <w:rFonts w:hint="eastAsia" w:ascii="仿宋" w:hAnsi="仿宋" w:eastAsia="仿宋"/>
          <w:sz w:val="24"/>
        </w:rPr>
        <w:t>甲方监督单位：</w:t>
      </w:r>
      <w:r>
        <w:rPr>
          <w:rFonts w:hint="eastAsia" w:ascii="仿宋" w:hAnsi="仿宋" w:eastAsia="仿宋"/>
          <w:sz w:val="24"/>
          <w:u w:val="single"/>
        </w:rPr>
        <w:t xml:space="preserve">（盖章）     </w:t>
      </w:r>
      <w:r>
        <w:rPr>
          <w:rFonts w:hint="eastAsia" w:ascii="仿宋" w:hAnsi="仿宋" w:eastAsia="仿宋"/>
          <w:sz w:val="24"/>
        </w:rPr>
        <w:t xml:space="preserve">               乙方监督单位：</w:t>
      </w:r>
      <w:r>
        <w:rPr>
          <w:rFonts w:hint="eastAsia" w:ascii="仿宋" w:hAnsi="仿宋" w:eastAsia="仿宋"/>
          <w:sz w:val="24"/>
          <w:u w:val="single"/>
        </w:rPr>
        <w:t xml:space="preserve">（盖章）      </w:t>
      </w:r>
    </w:p>
    <w:p>
      <w:pPr>
        <w:widowControl/>
        <w:spacing w:line="360" w:lineRule="auto"/>
        <w:jc w:val="left"/>
        <w:outlineLvl w:val="9"/>
        <w:rPr>
          <w:rFonts w:ascii="仿宋" w:hAnsi="仿宋" w:eastAsia="仿宋"/>
          <w:b/>
          <w:kern w:val="0"/>
          <w:sz w:val="24"/>
          <w:szCs w:val="20"/>
        </w:rPr>
        <w:sectPr>
          <w:pgSz w:w="11850" w:h="16783"/>
          <w:pgMar w:top="1440" w:right="1800" w:bottom="1440" w:left="1800" w:header="851" w:footer="567" w:gutter="0"/>
          <w:cols w:space="720" w:num="1"/>
          <w:docGrid w:type="lines" w:linePitch="312" w:charSpace="0"/>
        </w:sectPr>
      </w:pPr>
    </w:p>
    <w:p>
      <w:pPr>
        <w:tabs>
          <w:tab w:val="left" w:pos="540"/>
        </w:tabs>
        <w:spacing w:line="360" w:lineRule="auto"/>
        <w:outlineLvl w:val="9"/>
        <w:rPr>
          <w:rFonts w:ascii="仿宋" w:hAnsi="仿宋" w:eastAsia="仿宋" w:cs="仿宋"/>
          <w:b/>
          <w:bCs/>
          <w:sz w:val="24"/>
        </w:rPr>
      </w:pPr>
      <w:r>
        <w:rPr>
          <w:rFonts w:hint="eastAsia" w:ascii="仿宋" w:hAnsi="仿宋" w:eastAsia="仿宋" w:cs="仿宋"/>
          <w:b/>
          <w:bCs/>
          <w:sz w:val="24"/>
        </w:rPr>
        <w:t>附件2 签约合同价清单</w:t>
      </w:r>
      <w:bookmarkEnd w:id="116"/>
      <w:bookmarkEnd w:id="117"/>
      <w:bookmarkEnd w:id="118"/>
    </w:p>
    <w:p>
      <w:pPr>
        <w:tabs>
          <w:tab w:val="left" w:pos="540"/>
        </w:tabs>
        <w:spacing w:line="360" w:lineRule="auto"/>
        <w:outlineLvl w:val="9"/>
        <w:rPr>
          <w:rFonts w:ascii="仿宋" w:hAnsi="仿宋" w:eastAsia="仿宋" w:cs="仿宋"/>
          <w:b/>
          <w:bCs/>
          <w:sz w:val="24"/>
        </w:rPr>
      </w:pPr>
      <w:bookmarkStart w:id="119" w:name="_Toc452557274"/>
    </w:p>
    <w:p>
      <w:pPr>
        <w:tabs>
          <w:tab w:val="left" w:pos="540"/>
        </w:tabs>
        <w:spacing w:line="360" w:lineRule="auto"/>
        <w:outlineLvl w:val="9"/>
        <w:rPr>
          <w:rFonts w:ascii="仿宋" w:hAnsi="仿宋" w:eastAsia="仿宋" w:cs="仿宋"/>
          <w:b/>
          <w:bCs/>
          <w:sz w:val="24"/>
        </w:rPr>
      </w:pPr>
      <w:r>
        <w:rPr>
          <w:rFonts w:hint="eastAsia" w:ascii="仿宋" w:hAnsi="仿宋" w:eastAsia="仿宋" w:cs="仿宋"/>
          <w:b/>
          <w:bCs/>
          <w:sz w:val="24"/>
        </w:rPr>
        <w:br w:type="page"/>
      </w:r>
      <w:bookmarkStart w:id="120" w:name="_Toc14441"/>
      <w:bookmarkStart w:id="121" w:name="_Toc14602"/>
      <w:r>
        <w:rPr>
          <w:rFonts w:hint="eastAsia" w:ascii="仿宋" w:hAnsi="仿宋" w:eastAsia="仿宋" w:cs="仿宋"/>
          <w:b/>
          <w:bCs/>
          <w:sz w:val="24"/>
        </w:rPr>
        <w:t>附件</w:t>
      </w:r>
      <w:bookmarkEnd w:id="119"/>
      <w:r>
        <w:rPr>
          <w:rFonts w:hint="eastAsia" w:ascii="仿宋" w:hAnsi="仿宋" w:eastAsia="仿宋" w:cs="仿宋"/>
          <w:b/>
          <w:bCs/>
          <w:sz w:val="24"/>
        </w:rPr>
        <w:t>3 澄清与答疑</w:t>
      </w:r>
      <w:bookmarkEnd w:id="120"/>
      <w:r>
        <w:rPr>
          <w:rFonts w:hint="eastAsia" w:ascii="仿宋" w:hAnsi="仿宋" w:eastAsia="仿宋" w:cs="仿宋"/>
          <w:b/>
          <w:bCs/>
          <w:sz w:val="24"/>
        </w:rPr>
        <w:t>文件</w:t>
      </w:r>
      <w:bookmarkEnd w:id="121"/>
    </w:p>
    <w:p>
      <w:pPr>
        <w:tabs>
          <w:tab w:val="left" w:pos="540"/>
        </w:tabs>
        <w:spacing w:line="360" w:lineRule="auto"/>
        <w:outlineLvl w:val="9"/>
        <w:rPr>
          <w:rFonts w:ascii="仿宋" w:hAnsi="仿宋" w:eastAsia="仿宋" w:cs="仿宋"/>
          <w:b/>
          <w:bCs/>
          <w:sz w:val="24"/>
        </w:rPr>
      </w:pPr>
      <w:bookmarkStart w:id="122" w:name="_Toc452557276"/>
    </w:p>
    <w:p>
      <w:pPr>
        <w:widowControl/>
        <w:spacing w:line="360" w:lineRule="auto"/>
        <w:jc w:val="left"/>
        <w:outlineLvl w:val="9"/>
        <w:rPr>
          <w:rFonts w:ascii="仿宋" w:hAnsi="仿宋" w:eastAsia="仿宋" w:cs="仿宋"/>
          <w:b/>
          <w:bCs/>
          <w:sz w:val="24"/>
        </w:rPr>
        <w:sectPr>
          <w:pgSz w:w="11850" w:h="16783"/>
          <w:pgMar w:top="1440" w:right="1800" w:bottom="1440" w:left="1800" w:header="851" w:footer="992" w:gutter="0"/>
          <w:cols w:space="720" w:num="1"/>
        </w:sectPr>
      </w:pPr>
    </w:p>
    <w:bookmarkEnd w:id="122"/>
    <w:p>
      <w:pPr>
        <w:tabs>
          <w:tab w:val="left" w:pos="540"/>
        </w:tabs>
        <w:spacing w:line="360" w:lineRule="auto"/>
        <w:outlineLvl w:val="9"/>
        <w:rPr>
          <w:rFonts w:ascii="仿宋" w:hAnsi="仿宋" w:eastAsia="仿宋" w:cs="仿宋"/>
          <w:b/>
          <w:bCs/>
          <w:sz w:val="24"/>
        </w:rPr>
      </w:pPr>
      <w:bookmarkStart w:id="123" w:name="_Toc18048"/>
      <w:bookmarkStart w:id="124" w:name="_Toc16731"/>
      <w:bookmarkStart w:id="125" w:name="_Toc369359824"/>
      <w:bookmarkStart w:id="126" w:name="_Toc329927978"/>
      <w:bookmarkStart w:id="127" w:name="_Toc329933650"/>
      <w:bookmarkStart w:id="128" w:name="_Toc329859988"/>
      <w:r>
        <w:rPr>
          <w:rFonts w:hint="eastAsia" w:ascii="仿宋" w:hAnsi="仿宋" w:eastAsia="仿宋" w:cs="仿宋"/>
          <w:b/>
          <w:bCs/>
          <w:sz w:val="24"/>
        </w:rPr>
        <w:t>附件4 项目关键岗位人员表（如有）</w:t>
      </w:r>
      <w:bookmarkEnd w:id="123"/>
      <w:bookmarkEnd w:id="124"/>
    </w:p>
    <w:p>
      <w:pPr>
        <w:tabs>
          <w:tab w:val="left" w:pos="540"/>
        </w:tabs>
        <w:spacing w:line="360" w:lineRule="auto"/>
        <w:outlineLvl w:val="9"/>
        <w:rPr>
          <w:rFonts w:ascii="仿宋" w:hAnsi="仿宋" w:eastAsia="仿宋" w:cs="仿宋"/>
          <w:b/>
          <w:bCs/>
          <w:sz w:val="24"/>
        </w:rPr>
      </w:pPr>
    </w:p>
    <w:p>
      <w:pPr>
        <w:widowControl/>
        <w:spacing w:line="360" w:lineRule="auto"/>
        <w:jc w:val="left"/>
        <w:outlineLvl w:val="9"/>
        <w:rPr>
          <w:rFonts w:ascii="仿宋" w:hAnsi="仿宋" w:eastAsia="仿宋" w:cs="仿宋"/>
          <w:b/>
          <w:bCs/>
          <w:sz w:val="24"/>
        </w:rPr>
        <w:sectPr>
          <w:pgSz w:w="11850" w:h="16783"/>
          <w:pgMar w:top="1440" w:right="1800" w:bottom="1440" w:left="1800" w:header="851" w:footer="992" w:gutter="0"/>
          <w:cols w:space="720" w:num="1"/>
        </w:sectPr>
      </w:pPr>
    </w:p>
    <w:p>
      <w:pPr>
        <w:snapToGrid w:val="0"/>
        <w:spacing w:line="600" w:lineRule="exact"/>
        <w:ind w:firstLine="2891" w:firstLineChars="900"/>
        <w:outlineLvl w:val="9"/>
        <w:rPr>
          <w:rFonts w:ascii="仿宋" w:hAnsi="仿宋" w:eastAsia="仿宋" w:cs="仿宋"/>
          <w:b/>
          <w:sz w:val="32"/>
          <w:szCs w:val="32"/>
        </w:rPr>
      </w:pPr>
      <w:bookmarkStart w:id="129" w:name="_Toc11505"/>
      <w:bookmarkStart w:id="130" w:name="_Toc27309"/>
      <w:r>
        <w:rPr>
          <w:rFonts w:hint="eastAsia" w:ascii="仿宋" w:hAnsi="仿宋" w:eastAsia="仿宋" w:cs="仿宋"/>
          <w:b/>
          <w:sz w:val="32"/>
          <w:szCs w:val="32"/>
        </w:rPr>
        <w:t>第六部分  合同附录</w:t>
      </w:r>
      <w:bookmarkEnd w:id="125"/>
      <w:bookmarkEnd w:id="126"/>
      <w:bookmarkEnd w:id="127"/>
      <w:bookmarkEnd w:id="128"/>
      <w:bookmarkEnd w:id="129"/>
      <w:bookmarkEnd w:id="130"/>
    </w:p>
    <w:p>
      <w:pPr>
        <w:tabs>
          <w:tab w:val="left" w:pos="540"/>
        </w:tabs>
        <w:spacing w:line="500" w:lineRule="exact"/>
        <w:outlineLvl w:val="9"/>
        <w:rPr>
          <w:rFonts w:ascii="仿宋" w:hAnsi="仿宋" w:eastAsia="仿宋"/>
          <w:b/>
          <w:sz w:val="24"/>
        </w:rPr>
      </w:pPr>
      <w:bookmarkStart w:id="131" w:name="_Toc17718"/>
      <w:bookmarkStart w:id="132" w:name="_Toc2772"/>
      <w:bookmarkStart w:id="133" w:name="_Toc15912"/>
    </w:p>
    <w:p>
      <w:pPr>
        <w:snapToGrid w:val="0"/>
        <w:spacing w:line="360" w:lineRule="auto"/>
        <w:outlineLvl w:val="9"/>
        <w:rPr>
          <w:rFonts w:ascii="仿宋" w:hAnsi="仿宋" w:eastAsia="仿宋"/>
          <w:b/>
          <w:sz w:val="24"/>
        </w:rPr>
      </w:pPr>
      <w:bookmarkStart w:id="134" w:name="_Toc11176"/>
      <w:bookmarkStart w:id="135" w:name="_Toc4754"/>
      <w:bookmarkStart w:id="136" w:name="_Toc24148"/>
      <w:r>
        <w:rPr>
          <w:rFonts w:hint="eastAsia" w:ascii="仿宋" w:hAnsi="仿宋" w:eastAsia="仿宋"/>
          <w:b/>
          <w:sz w:val="24"/>
        </w:rPr>
        <w:t>附录1 授权委托书</w:t>
      </w:r>
      <w:bookmarkEnd w:id="134"/>
      <w:bookmarkEnd w:id="135"/>
      <w:r>
        <w:rPr>
          <w:rFonts w:hint="eastAsia" w:ascii="仿宋" w:hAnsi="仿宋" w:eastAsia="仿宋"/>
          <w:b/>
          <w:sz w:val="24"/>
        </w:rPr>
        <w:t>（格式）</w:t>
      </w:r>
      <w:bookmarkEnd w:id="136"/>
    </w:p>
    <w:p>
      <w:pPr>
        <w:spacing w:line="360" w:lineRule="auto"/>
        <w:jc w:val="center"/>
        <w:outlineLvl w:val="9"/>
        <w:rPr>
          <w:rFonts w:ascii="仿宋" w:hAnsi="仿宋" w:eastAsia="仿宋"/>
          <w:b/>
          <w:sz w:val="32"/>
        </w:rPr>
      </w:pPr>
    </w:p>
    <w:p>
      <w:pPr>
        <w:spacing w:line="360" w:lineRule="auto"/>
        <w:jc w:val="center"/>
        <w:outlineLvl w:val="9"/>
        <w:rPr>
          <w:rFonts w:ascii="仿宋" w:hAnsi="仿宋" w:eastAsia="仿宋"/>
          <w:b/>
          <w:sz w:val="30"/>
          <w:szCs w:val="30"/>
        </w:rPr>
      </w:pPr>
      <w:r>
        <w:rPr>
          <w:rFonts w:hint="eastAsia" w:ascii="仿宋" w:hAnsi="仿宋" w:eastAsia="仿宋"/>
          <w:b/>
          <w:sz w:val="30"/>
          <w:szCs w:val="30"/>
        </w:rPr>
        <w:t>授权委托书</w:t>
      </w:r>
    </w:p>
    <w:p>
      <w:pPr>
        <w:spacing w:line="360" w:lineRule="auto"/>
        <w:outlineLvl w:val="9"/>
        <w:rPr>
          <w:rFonts w:ascii="仿宋" w:hAnsi="仿宋" w:eastAsia="仿宋"/>
          <w:b/>
          <w:sz w:val="24"/>
        </w:rPr>
      </w:pPr>
    </w:p>
    <w:p>
      <w:pPr>
        <w:snapToGrid w:val="0"/>
        <w:spacing w:line="360" w:lineRule="auto"/>
        <w:ind w:firstLine="480" w:firstLineChars="200"/>
        <w:outlineLvl w:val="9"/>
        <w:rPr>
          <w:rFonts w:ascii="仿宋" w:hAnsi="仿宋" w:eastAsia="仿宋"/>
          <w:sz w:val="24"/>
        </w:rPr>
      </w:pPr>
      <w:r>
        <w:rPr>
          <w:rFonts w:hint="eastAsia" w:ascii="仿宋" w:hAnsi="仿宋" w:eastAsia="仿宋"/>
          <w:sz w:val="24"/>
        </w:rPr>
        <w:t>本授权书声明：注册于</w:t>
      </w:r>
      <w:r>
        <w:rPr>
          <w:rFonts w:hint="eastAsia" w:ascii="仿宋" w:hAnsi="仿宋" w:eastAsia="仿宋"/>
          <w:sz w:val="24"/>
          <w:u w:val="single"/>
        </w:rPr>
        <w:t xml:space="preserve">              </w:t>
      </w:r>
      <w:r>
        <w:rPr>
          <w:rFonts w:hint="eastAsia" w:ascii="仿宋" w:hAnsi="仿宋" w:eastAsia="仿宋"/>
          <w:sz w:val="24"/>
        </w:rPr>
        <w:t>（国家名称）的</w:t>
      </w:r>
      <w:r>
        <w:rPr>
          <w:rFonts w:hint="eastAsia" w:ascii="仿宋" w:hAnsi="仿宋" w:eastAsia="仿宋"/>
          <w:sz w:val="24"/>
          <w:u w:val="single"/>
        </w:rPr>
        <w:t xml:space="preserve">              </w:t>
      </w:r>
      <w:r>
        <w:rPr>
          <w:rFonts w:hint="eastAsia" w:ascii="仿宋" w:hAnsi="仿宋" w:eastAsia="仿宋"/>
          <w:sz w:val="24"/>
        </w:rPr>
        <w:t>（乙方全称）在下面签字的</w:t>
      </w:r>
      <w:r>
        <w:rPr>
          <w:rFonts w:hint="eastAsia" w:ascii="仿宋" w:hAnsi="仿宋" w:eastAsia="仿宋"/>
          <w:sz w:val="24"/>
          <w:u w:val="single"/>
        </w:rPr>
        <w:t xml:space="preserve">          </w:t>
      </w:r>
      <w:r>
        <w:rPr>
          <w:rFonts w:hint="eastAsia" w:ascii="仿宋" w:hAnsi="仿宋" w:eastAsia="仿宋"/>
          <w:sz w:val="24"/>
        </w:rPr>
        <w:t>（法定代表人姓名、职务）代表本公司授权在下面签字的</w:t>
      </w:r>
      <w:r>
        <w:rPr>
          <w:rFonts w:hint="eastAsia" w:ascii="仿宋" w:hAnsi="仿宋" w:eastAsia="仿宋"/>
          <w:sz w:val="24"/>
          <w:u w:val="single"/>
        </w:rPr>
        <w:t xml:space="preserve">       </w:t>
      </w:r>
      <w:r>
        <w:rPr>
          <w:rFonts w:hint="eastAsia" w:ascii="仿宋" w:hAnsi="仿宋" w:eastAsia="仿宋"/>
          <w:sz w:val="24"/>
        </w:rPr>
        <w:t>（被授权人的姓名、职务）为本公司的合法代表，就合同编号</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合同》（以下简称“合同”）</w:t>
      </w:r>
      <w:r>
        <w:rPr>
          <w:rFonts w:hint="eastAsia" w:ascii="仿宋" w:hAnsi="仿宋" w:eastAsia="仿宋"/>
          <w:sz w:val="24"/>
        </w:rPr>
        <w:t>的签约，并以本公司名义处理一切与之有关的事务。</w:t>
      </w:r>
    </w:p>
    <w:p>
      <w:pPr>
        <w:snapToGrid w:val="0"/>
        <w:spacing w:line="360" w:lineRule="auto"/>
        <w:ind w:firstLine="480" w:firstLineChars="200"/>
        <w:outlineLvl w:val="9"/>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日签字生效，特此声明。</w:t>
      </w:r>
    </w:p>
    <w:p>
      <w:pPr>
        <w:snapToGrid w:val="0"/>
        <w:spacing w:line="360" w:lineRule="auto"/>
        <w:outlineLvl w:val="9"/>
        <w:rPr>
          <w:rFonts w:ascii="仿宋" w:hAnsi="仿宋" w:eastAsia="仿宋"/>
          <w:sz w:val="24"/>
        </w:rPr>
      </w:pPr>
    </w:p>
    <w:p>
      <w:pPr>
        <w:snapToGrid w:val="0"/>
        <w:spacing w:line="360" w:lineRule="auto"/>
        <w:outlineLvl w:val="9"/>
        <w:rPr>
          <w:rFonts w:ascii="仿宋" w:hAnsi="仿宋" w:eastAsia="仿宋"/>
          <w:sz w:val="24"/>
          <w:u w:val="single"/>
        </w:rPr>
      </w:pPr>
      <w:r>
        <w:rPr>
          <w:rFonts w:hint="eastAsia" w:ascii="仿宋" w:hAnsi="仿宋" w:eastAsia="仿宋"/>
          <w:sz w:val="24"/>
        </w:rPr>
        <w:t>法定代表人签字：</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u w:val="single"/>
        </w:rPr>
      </w:pPr>
      <w:r>
        <w:rPr>
          <w:rFonts w:hint="eastAsia" w:ascii="仿宋" w:hAnsi="仿宋" w:eastAsia="仿宋"/>
          <w:sz w:val="24"/>
        </w:rPr>
        <w:t>授权代表（被授权人，即授权代理人）签字：</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u w:val="single"/>
        </w:rPr>
      </w:pPr>
      <w:r>
        <w:rPr>
          <w:rFonts w:hint="eastAsia" w:ascii="仿宋" w:hAnsi="仿宋" w:eastAsia="仿宋"/>
          <w:sz w:val="24"/>
        </w:rPr>
        <w:t>乙方全称（公章）：</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u w:val="single"/>
        </w:rPr>
      </w:pPr>
      <w:r>
        <w:rPr>
          <w:rFonts w:hint="eastAsia" w:ascii="仿宋" w:hAnsi="仿宋" w:eastAsia="仿宋"/>
          <w:sz w:val="24"/>
        </w:rPr>
        <w:t>乙方地址：</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u w:val="single"/>
        </w:rPr>
      </w:pPr>
      <w:r>
        <w:rPr>
          <w:rFonts w:hint="eastAsia" w:ascii="仿宋" w:hAnsi="仿宋" w:eastAsia="仿宋"/>
          <w:sz w:val="24"/>
        </w:rPr>
        <w:t>电     话：</w:t>
      </w:r>
      <w:r>
        <w:rPr>
          <w:rFonts w:hint="eastAsia" w:ascii="仿宋" w:hAnsi="仿宋" w:eastAsia="仿宋"/>
          <w:sz w:val="24"/>
          <w:u w:val="single"/>
        </w:rPr>
        <w:t xml:space="preserve">                            </w:t>
      </w:r>
    </w:p>
    <w:p>
      <w:pPr>
        <w:snapToGrid w:val="0"/>
        <w:spacing w:line="360" w:lineRule="auto"/>
        <w:outlineLvl w:val="9"/>
        <w:rPr>
          <w:rFonts w:ascii="仿宋" w:hAnsi="仿宋" w:eastAsia="仿宋"/>
          <w:sz w:val="24"/>
        </w:rPr>
      </w:pPr>
      <w:r>
        <w:rPr>
          <w:rFonts w:hint="eastAsia" w:ascii="仿宋" w:hAnsi="仿宋" w:eastAsia="仿宋"/>
          <w:sz w:val="24"/>
        </w:rPr>
        <w:t>传     真：</w:t>
      </w:r>
      <w:r>
        <w:rPr>
          <w:rFonts w:hint="eastAsia" w:ascii="仿宋" w:hAnsi="仿宋" w:eastAsia="仿宋"/>
          <w:sz w:val="24"/>
          <w:u w:val="single"/>
        </w:rPr>
        <w:t xml:space="preserve">                            </w:t>
      </w:r>
    </w:p>
    <w:p>
      <w:pPr>
        <w:spacing w:line="360" w:lineRule="auto"/>
        <w:outlineLvl w:val="9"/>
        <w:rPr>
          <w:rFonts w:ascii="仿宋" w:hAnsi="仿宋" w:eastAsia="仿宋"/>
          <w:sz w:val="24"/>
          <w:u w:val="single"/>
        </w:rPr>
      </w:pPr>
    </w:p>
    <w:p>
      <w:pPr>
        <w:snapToGrid w:val="0"/>
        <w:spacing w:line="360" w:lineRule="auto"/>
        <w:outlineLvl w:val="9"/>
        <w:rPr>
          <w:rFonts w:ascii="仿宋" w:hAnsi="仿宋" w:eastAsia="仿宋"/>
          <w:b/>
          <w:sz w:val="24"/>
        </w:rPr>
      </w:pPr>
      <w:r>
        <w:rPr>
          <w:rFonts w:hint="eastAsia" w:ascii="仿宋" w:hAnsi="仿宋" w:eastAsia="仿宋"/>
          <w:b/>
          <w:sz w:val="24"/>
        </w:rPr>
        <w:t>附：</w:t>
      </w:r>
      <w:r>
        <w:rPr>
          <w:rFonts w:hint="eastAsia" w:ascii="仿宋" w:hAnsi="仿宋" w:eastAsia="仿宋"/>
          <w:sz w:val="24"/>
        </w:rPr>
        <w:t>授权人的法定代表人证明材料复印件（加盖单位公章）、授权人和被授权人的身份证彩色影印件（加盖单位公章）</w:t>
      </w:r>
    </w:p>
    <w:p>
      <w:pPr>
        <w:snapToGrid w:val="0"/>
        <w:spacing w:line="360" w:lineRule="auto"/>
        <w:outlineLvl w:val="9"/>
        <w:rPr>
          <w:rFonts w:ascii="仿宋" w:hAnsi="仿宋" w:eastAsia="仿宋"/>
          <w:sz w:val="24"/>
        </w:rPr>
      </w:pPr>
    </w:p>
    <w:p>
      <w:pPr>
        <w:outlineLvl w:val="9"/>
        <w:rPr>
          <w:rFonts w:ascii="仿宋" w:hAnsi="仿宋" w:eastAsia="仿宋" w:cs="仿宋"/>
        </w:rPr>
      </w:pPr>
    </w:p>
    <w:p>
      <w:pPr>
        <w:tabs>
          <w:tab w:val="left" w:pos="540"/>
        </w:tabs>
        <w:spacing w:line="500" w:lineRule="exact"/>
        <w:outlineLvl w:val="9"/>
        <w:rPr>
          <w:rFonts w:ascii="仿宋" w:hAnsi="仿宋" w:eastAsia="仿宋"/>
          <w:b/>
          <w:sz w:val="24"/>
        </w:rPr>
      </w:pPr>
    </w:p>
    <w:p>
      <w:pPr>
        <w:tabs>
          <w:tab w:val="left" w:pos="540"/>
        </w:tabs>
        <w:spacing w:line="500" w:lineRule="exact"/>
        <w:outlineLvl w:val="9"/>
        <w:rPr>
          <w:rFonts w:ascii="仿宋" w:hAnsi="仿宋" w:eastAsia="仿宋"/>
          <w:b/>
          <w:sz w:val="24"/>
        </w:rPr>
      </w:pPr>
      <w:r>
        <w:rPr>
          <w:rFonts w:hint="eastAsia" w:ascii="仿宋" w:hAnsi="仿宋" w:eastAsia="仿宋"/>
          <w:b/>
          <w:sz w:val="24"/>
        </w:rPr>
        <w:br w:type="page"/>
      </w:r>
      <w:bookmarkStart w:id="137" w:name="_Toc10354"/>
      <w:r>
        <w:rPr>
          <w:rFonts w:hint="eastAsia" w:ascii="仿宋" w:hAnsi="仿宋" w:eastAsia="仿宋"/>
          <w:b/>
          <w:sz w:val="24"/>
        </w:rPr>
        <w:t>附录2 银行履约保函（格式）</w:t>
      </w:r>
      <w:bookmarkEnd w:id="131"/>
      <w:bookmarkEnd w:id="132"/>
      <w:bookmarkEnd w:id="137"/>
    </w:p>
    <w:p>
      <w:pPr>
        <w:snapToGrid w:val="0"/>
        <w:spacing w:line="360" w:lineRule="auto"/>
        <w:jc w:val="center"/>
        <w:outlineLvl w:val="9"/>
        <w:rPr>
          <w:rFonts w:ascii="仿宋" w:hAnsi="仿宋" w:eastAsia="仿宋"/>
          <w:b/>
          <w:sz w:val="32"/>
        </w:rPr>
      </w:pPr>
    </w:p>
    <w:p>
      <w:pPr>
        <w:snapToGrid w:val="0"/>
        <w:spacing w:line="360" w:lineRule="auto"/>
        <w:jc w:val="center"/>
        <w:outlineLvl w:val="9"/>
        <w:rPr>
          <w:rFonts w:ascii="仿宋" w:hAnsi="仿宋" w:eastAsia="仿宋"/>
          <w:b/>
          <w:sz w:val="30"/>
          <w:szCs w:val="30"/>
        </w:rPr>
      </w:pPr>
      <w:r>
        <w:rPr>
          <w:rFonts w:hint="eastAsia" w:ascii="仿宋" w:hAnsi="仿宋" w:eastAsia="仿宋"/>
          <w:b/>
          <w:sz w:val="30"/>
          <w:szCs w:val="30"/>
        </w:rPr>
        <w:t>银行履约保函</w:t>
      </w:r>
    </w:p>
    <w:p>
      <w:pPr>
        <w:snapToGrid w:val="0"/>
        <w:spacing w:line="360" w:lineRule="auto"/>
        <w:ind w:right="480" w:firstLine="480" w:firstLineChars="200"/>
        <w:jc w:val="center"/>
        <w:outlineLvl w:val="9"/>
        <w:rPr>
          <w:rFonts w:ascii="仿宋" w:hAnsi="仿宋" w:eastAsia="仿宋"/>
          <w:sz w:val="24"/>
        </w:rPr>
      </w:pPr>
      <w:r>
        <w:rPr>
          <w:rFonts w:hint="eastAsia" w:ascii="仿宋" w:hAnsi="仿宋" w:eastAsia="仿宋"/>
          <w:sz w:val="24"/>
        </w:rPr>
        <w:t xml:space="preserve">                           </w:t>
      </w:r>
    </w:p>
    <w:p>
      <w:pPr>
        <w:snapToGrid w:val="0"/>
        <w:spacing w:line="360" w:lineRule="auto"/>
        <w:ind w:right="480"/>
        <w:outlineLvl w:val="9"/>
        <w:rPr>
          <w:rFonts w:ascii="仿宋" w:hAnsi="仿宋" w:eastAsia="仿宋"/>
          <w:sz w:val="24"/>
          <w:u w:val="single"/>
        </w:rPr>
      </w:pPr>
      <w:r>
        <w:rPr>
          <w:rFonts w:hint="eastAsia" w:ascii="仿宋" w:hAnsi="仿宋" w:eastAsia="仿宋"/>
          <w:sz w:val="24"/>
        </w:rPr>
        <w:t xml:space="preserve">                                                   保函编号：           </w:t>
      </w:r>
    </w:p>
    <w:p>
      <w:pPr>
        <w:adjustRightInd w:val="0"/>
        <w:snapToGrid w:val="0"/>
        <w:spacing w:line="360" w:lineRule="auto"/>
        <w:outlineLvl w:val="9"/>
        <w:rPr>
          <w:rFonts w:ascii="仿宋" w:hAnsi="仿宋" w:eastAsia="仿宋"/>
          <w:sz w:val="24"/>
          <w:u w:val="single"/>
        </w:rPr>
      </w:pPr>
      <w:r>
        <w:rPr>
          <w:rFonts w:hint="eastAsia" w:ascii="仿宋" w:hAnsi="仿宋" w:eastAsia="仿宋"/>
          <w:sz w:val="24"/>
          <w:u w:val="single"/>
        </w:rPr>
        <w:t xml:space="preserve">                      </w:t>
      </w:r>
      <w:r>
        <w:rPr>
          <w:rFonts w:hint="eastAsia" w:ascii="仿宋" w:hAnsi="仿宋" w:eastAsia="仿宋"/>
          <w:sz w:val="24"/>
        </w:rPr>
        <w:t>（甲方名称）：</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鉴于 </w:t>
      </w:r>
      <w:r>
        <w:rPr>
          <w:rFonts w:hint="eastAsia" w:ascii="仿宋" w:hAnsi="仿宋" w:eastAsia="仿宋"/>
          <w:sz w:val="24"/>
          <w:u w:val="single"/>
        </w:rPr>
        <w:t xml:space="preserve">          </w:t>
      </w:r>
      <w:r>
        <w:rPr>
          <w:rFonts w:hint="eastAsia" w:ascii="仿宋" w:hAnsi="仿宋" w:eastAsia="仿宋"/>
          <w:sz w:val="24"/>
        </w:rPr>
        <w:t>（甲方名称，以下简称“你方”）与</w:t>
      </w:r>
      <w:r>
        <w:rPr>
          <w:rFonts w:hint="eastAsia" w:ascii="仿宋" w:hAnsi="仿宋" w:eastAsia="仿宋"/>
          <w:sz w:val="24"/>
          <w:u w:val="single"/>
        </w:rPr>
        <w:t xml:space="preserve">          </w:t>
      </w:r>
      <w:r>
        <w:rPr>
          <w:rFonts w:hint="eastAsia" w:ascii="仿宋" w:hAnsi="仿宋" w:eastAsia="仿宋"/>
          <w:sz w:val="24"/>
        </w:rPr>
        <w:t>（乙方名称，以下简称“乙方”）于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日协商一致共同签订合同编号为</w:t>
      </w:r>
      <w:r>
        <w:rPr>
          <w:rFonts w:hint="eastAsia" w:ascii="仿宋" w:hAnsi="仿宋" w:eastAsia="仿宋"/>
          <w:sz w:val="24"/>
          <w:u w:val="single"/>
        </w:rPr>
        <w:t xml:space="preserve">          </w:t>
      </w:r>
      <w:r>
        <w:rPr>
          <w:rFonts w:hint="eastAsia" w:ascii="仿宋" w:hAnsi="仿宋" w:eastAsia="仿宋"/>
          <w:sz w:val="24"/>
        </w:rPr>
        <w:t>的《</w:t>
      </w:r>
      <w:r>
        <w:rPr>
          <w:rFonts w:hint="eastAsia" w:ascii="仿宋" w:hAnsi="仿宋" w:eastAsia="仿宋"/>
          <w:sz w:val="24"/>
          <w:u w:val="single"/>
        </w:rPr>
        <w:t xml:space="preserve">                  </w:t>
      </w:r>
      <w:r>
        <w:rPr>
          <w:rFonts w:hint="eastAsia" w:ascii="仿宋" w:hAnsi="仿宋" w:eastAsia="仿宋"/>
          <w:sz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1.担保金额为人民币（大写）</w:t>
      </w:r>
      <w:r>
        <w:rPr>
          <w:rFonts w:hint="eastAsia" w:ascii="仿宋" w:hAnsi="仿宋" w:eastAsia="仿宋"/>
          <w:sz w:val="24"/>
          <w:u w:val="single"/>
        </w:rPr>
        <w:t xml:space="preserve">           </w:t>
      </w:r>
      <w:r>
        <w:rPr>
          <w:rFonts w:hint="eastAsia" w:ascii="仿宋" w:hAnsi="仿宋" w:eastAsia="仿宋"/>
          <w:sz w:val="24"/>
        </w:rPr>
        <w:t>（</w:t>
      </w:r>
      <w:r>
        <w:rPr>
          <w:rFonts w:ascii="仿宋" w:eastAsia="仿宋"/>
          <w:sz w:val="24"/>
        </w:rPr>
        <w:t>¥</w:t>
      </w:r>
      <w:r>
        <w:rPr>
          <w:rFonts w:hint="eastAsia" w:ascii="仿宋" w:hAnsi="仿宋" w:eastAsia="仿宋"/>
          <w:sz w:val="24"/>
          <w:u w:val="single"/>
        </w:rPr>
        <w:t xml:space="preserve">        </w:t>
      </w:r>
      <w:r>
        <w:rPr>
          <w:rFonts w:hint="eastAsia" w:ascii="仿宋" w:hAnsi="仿宋" w:eastAsia="仿宋"/>
          <w:sz w:val="24"/>
        </w:rPr>
        <w:t>）。</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2. 担保有效期自本保函生效之日起至合同约定的服务期满之日止。</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4.你方和乙方按合同约定变更合同时，我方承担本担保规定的义务不变。</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w:t>
      </w:r>
      <w:r>
        <w:rPr>
          <w:rFonts w:hint="eastAsia" w:ascii="仿宋" w:hAnsi="仿宋" w:eastAsia="仿宋" w:cs="仿宋"/>
        </w:rPr>
        <w:t>5.因本保函发生的纠纷，可由双方协商解决，协商不成的，任何一方均可提请在甲方所在地仲裁委员会仲裁。</w:t>
      </w:r>
    </w:p>
    <w:p>
      <w:pPr>
        <w:adjustRightInd w:val="0"/>
        <w:snapToGrid w:val="0"/>
        <w:spacing w:line="360" w:lineRule="auto"/>
        <w:ind w:left="15" w:leftChars="7"/>
        <w:outlineLvl w:val="9"/>
        <w:rPr>
          <w:rFonts w:ascii="仿宋" w:hAnsi="仿宋" w:eastAsia="仿宋"/>
          <w:sz w:val="24"/>
        </w:rPr>
      </w:pPr>
      <w:r>
        <w:rPr>
          <w:rFonts w:hint="eastAsia" w:ascii="仿宋" w:hAnsi="仿宋" w:eastAsia="仿宋"/>
          <w:sz w:val="24"/>
        </w:rPr>
        <w:t xml:space="preserve">    6.本保函自我方法定代表人或授权代理人签字并加盖公章之日起生效。</w:t>
      </w:r>
    </w:p>
    <w:p>
      <w:pPr>
        <w:adjustRightInd w:val="0"/>
        <w:snapToGrid w:val="0"/>
        <w:spacing w:line="360" w:lineRule="auto"/>
        <w:outlineLvl w:val="9"/>
        <w:rPr>
          <w:rFonts w:ascii="仿宋" w:hAnsi="仿宋" w:eastAsia="仿宋"/>
          <w:sz w:val="24"/>
        </w:rPr>
      </w:pPr>
    </w:p>
    <w:p>
      <w:pPr>
        <w:adjustRightInd w:val="0"/>
        <w:snapToGrid w:val="0"/>
        <w:spacing w:line="360" w:lineRule="auto"/>
        <w:ind w:left="15" w:leftChars="7" w:firstLine="403" w:firstLineChars="168"/>
        <w:outlineLvl w:val="9"/>
        <w:rPr>
          <w:rFonts w:ascii="仿宋" w:hAnsi="仿宋" w:eastAsia="仿宋"/>
          <w:sz w:val="24"/>
        </w:rPr>
      </w:pPr>
      <w:r>
        <w:rPr>
          <w:rFonts w:hint="eastAsia" w:ascii="仿宋" w:hAnsi="仿宋" w:eastAsia="仿宋"/>
          <w:sz w:val="24"/>
        </w:rPr>
        <w:t>担保人：</w:t>
      </w:r>
      <w:r>
        <w:rPr>
          <w:rFonts w:hint="eastAsia" w:ascii="仿宋" w:hAnsi="仿宋" w:eastAsia="仿宋"/>
          <w:sz w:val="24"/>
          <w:u w:val="single"/>
        </w:rPr>
        <w:t xml:space="preserve">           </w:t>
      </w:r>
      <w:r>
        <w:rPr>
          <w:rFonts w:hint="eastAsia" w:ascii="仿宋" w:hAnsi="仿宋" w:eastAsia="仿宋"/>
          <w:sz w:val="24"/>
        </w:rPr>
        <w:t>（盖单位章）</w:t>
      </w:r>
    </w:p>
    <w:p>
      <w:pPr>
        <w:adjustRightInd w:val="0"/>
        <w:snapToGrid w:val="0"/>
        <w:spacing w:line="360" w:lineRule="auto"/>
        <w:ind w:left="15" w:leftChars="7" w:firstLine="403" w:firstLineChars="168"/>
        <w:outlineLvl w:val="9"/>
        <w:rPr>
          <w:rFonts w:ascii="仿宋" w:hAnsi="仿宋" w:eastAsia="仿宋"/>
          <w:sz w:val="24"/>
        </w:rPr>
      </w:pPr>
      <w:r>
        <w:rPr>
          <w:rFonts w:hint="eastAsia" w:ascii="仿宋" w:hAnsi="仿宋" w:eastAsia="仿宋"/>
          <w:sz w:val="24"/>
        </w:rPr>
        <w:t>法定代表人或授权代理人：</w:t>
      </w:r>
      <w:r>
        <w:rPr>
          <w:rFonts w:hint="eastAsia" w:ascii="仿宋" w:hAnsi="仿宋" w:eastAsia="仿宋"/>
          <w:sz w:val="24"/>
          <w:u w:val="single"/>
        </w:rPr>
        <w:t xml:space="preserve">           </w:t>
      </w:r>
      <w:r>
        <w:rPr>
          <w:rFonts w:hint="eastAsia" w:ascii="仿宋" w:hAnsi="仿宋" w:eastAsia="仿宋"/>
          <w:sz w:val="24"/>
        </w:rPr>
        <w:t>（签字）</w:t>
      </w:r>
    </w:p>
    <w:p>
      <w:pPr>
        <w:adjustRightInd w:val="0"/>
        <w:snapToGrid w:val="0"/>
        <w:spacing w:line="360" w:lineRule="auto"/>
        <w:ind w:left="15" w:leftChars="7" w:firstLine="403" w:firstLineChars="168"/>
        <w:outlineLvl w:val="9"/>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xml:space="preserve">           </w:t>
      </w:r>
    </w:p>
    <w:p>
      <w:pPr>
        <w:adjustRightInd w:val="0"/>
        <w:snapToGrid w:val="0"/>
        <w:spacing w:line="360" w:lineRule="auto"/>
        <w:ind w:left="15" w:leftChars="7" w:firstLine="403" w:firstLineChars="168"/>
        <w:outlineLvl w:val="9"/>
        <w:rPr>
          <w:rFonts w:ascii="仿宋" w:hAnsi="仿宋" w:eastAsia="仿宋"/>
          <w:sz w:val="24"/>
          <w:u w:val="single"/>
        </w:rPr>
      </w:pPr>
      <w:r>
        <w:rPr>
          <w:rFonts w:hint="eastAsia" w:ascii="仿宋" w:hAnsi="仿宋" w:eastAsia="仿宋"/>
          <w:sz w:val="24"/>
        </w:rPr>
        <w:t>邮政编码：</w:t>
      </w:r>
      <w:r>
        <w:rPr>
          <w:rFonts w:hint="eastAsia" w:ascii="仿宋" w:hAnsi="仿宋" w:eastAsia="仿宋"/>
          <w:sz w:val="24"/>
          <w:u w:val="single"/>
        </w:rPr>
        <w:t xml:space="preserve">           </w:t>
      </w:r>
    </w:p>
    <w:p>
      <w:pPr>
        <w:adjustRightInd w:val="0"/>
        <w:snapToGrid w:val="0"/>
        <w:spacing w:line="360" w:lineRule="auto"/>
        <w:ind w:left="15" w:leftChars="7" w:firstLine="403" w:firstLineChars="168"/>
        <w:outlineLvl w:val="9"/>
        <w:rPr>
          <w:rFonts w:ascii="仿宋" w:hAnsi="仿宋" w:eastAsia="仿宋"/>
          <w:sz w:val="24"/>
          <w:u w:val="single"/>
        </w:rPr>
      </w:pPr>
      <w:r>
        <w:rPr>
          <w:rFonts w:hint="eastAsia" w:ascii="仿宋" w:hAnsi="仿宋" w:eastAsia="仿宋"/>
          <w:sz w:val="24"/>
        </w:rPr>
        <w:t>电话：</w:t>
      </w:r>
      <w:r>
        <w:rPr>
          <w:rFonts w:hint="eastAsia" w:ascii="仿宋" w:hAnsi="仿宋" w:eastAsia="仿宋"/>
          <w:sz w:val="24"/>
          <w:u w:val="single"/>
        </w:rPr>
        <w:t xml:space="preserve">           </w:t>
      </w:r>
    </w:p>
    <w:p>
      <w:pPr>
        <w:adjustRightInd w:val="0"/>
        <w:snapToGrid w:val="0"/>
        <w:spacing w:line="360" w:lineRule="auto"/>
        <w:ind w:left="15" w:leftChars="7" w:firstLine="403" w:firstLineChars="168"/>
        <w:outlineLvl w:val="9"/>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xml:space="preserve">           </w:t>
      </w:r>
    </w:p>
    <w:p>
      <w:pPr>
        <w:adjustRightInd w:val="0"/>
        <w:snapToGrid w:val="0"/>
        <w:spacing w:line="360" w:lineRule="auto"/>
        <w:ind w:left="15" w:leftChars="7" w:firstLine="403" w:firstLineChars="168"/>
        <w:outlineLvl w:val="9"/>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outlineLvl w:val="9"/>
        <w:rPr>
          <w:rFonts w:ascii="仿宋" w:hAnsi="仿宋" w:eastAsia="仿宋"/>
          <w:b/>
          <w:sz w:val="32"/>
          <w:szCs w:val="32"/>
        </w:rPr>
      </w:pPr>
      <w:bookmarkStart w:id="138" w:name="_Toc415436810"/>
      <w:bookmarkStart w:id="139" w:name="_Toc411417811"/>
      <w:bookmarkStart w:id="140" w:name="_Toc18933"/>
      <w:r>
        <w:rPr>
          <w:rFonts w:hint="eastAsia" w:ascii="仿宋" w:hAnsi="仿宋" w:eastAsia="仿宋"/>
          <w:b/>
          <w:sz w:val="32"/>
          <w:szCs w:val="32"/>
        </w:rPr>
        <w:t>第七部分 招标文件及澄清与答疑文件</w:t>
      </w:r>
      <w:r>
        <w:rPr>
          <w:rFonts w:hint="eastAsia" w:ascii="仿宋" w:hAnsi="仿宋" w:eastAsia="仿宋"/>
          <w:b/>
          <w:sz w:val="32"/>
          <w:szCs w:val="72"/>
        </w:rPr>
        <w:t>及其他补充资料</w:t>
      </w:r>
      <w:r>
        <w:rPr>
          <w:rFonts w:hint="eastAsia" w:ascii="仿宋" w:hAnsi="仿宋" w:eastAsia="仿宋"/>
          <w:b/>
          <w:sz w:val="32"/>
          <w:szCs w:val="32"/>
        </w:rPr>
        <w:t>（另册）</w:t>
      </w:r>
      <w:bookmarkEnd w:id="138"/>
      <w:bookmarkEnd w:id="139"/>
      <w:bookmarkEnd w:id="140"/>
    </w:p>
    <w:p>
      <w:pPr>
        <w:outlineLvl w:val="9"/>
        <w:rPr>
          <w:rFonts w:ascii="仿宋" w:hAnsi="仿宋" w:eastAsia="仿宋"/>
          <w:b/>
          <w:sz w:val="32"/>
          <w:szCs w:val="32"/>
        </w:rPr>
      </w:pPr>
    </w:p>
    <w:p>
      <w:pPr>
        <w:outlineLvl w:val="9"/>
        <w:rPr>
          <w:rFonts w:ascii="仿宋" w:hAnsi="仿宋" w:eastAsia="仿宋"/>
          <w:b/>
          <w:sz w:val="32"/>
          <w:szCs w:val="32"/>
        </w:rPr>
      </w:pPr>
    </w:p>
    <w:p>
      <w:pPr>
        <w:outlineLvl w:val="9"/>
        <w:rPr>
          <w:rFonts w:ascii="仿宋" w:hAnsi="仿宋" w:eastAsia="仿宋"/>
          <w:b/>
          <w:sz w:val="32"/>
          <w:szCs w:val="32"/>
        </w:rPr>
      </w:pPr>
    </w:p>
    <w:p>
      <w:pPr>
        <w:adjustRightInd w:val="0"/>
        <w:snapToGrid w:val="0"/>
        <w:spacing w:line="360" w:lineRule="auto"/>
        <w:outlineLvl w:val="9"/>
        <w:rPr>
          <w:rFonts w:ascii="仿宋" w:hAnsi="仿宋" w:eastAsia="仿宋"/>
          <w:b/>
          <w:sz w:val="32"/>
          <w:szCs w:val="32"/>
        </w:rPr>
      </w:pPr>
      <w:bookmarkStart w:id="141" w:name="_Toc411417812"/>
    </w:p>
    <w:p>
      <w:pPr>
        <w:outlineLvl w:val="9"/>
        <w:rPr>
          <w:rFonts w:ascii="仿宋" w:hAnsi="仿宋" w:eastAsia="仿宋"/>
          <w:b/>
          <w:sz w:val="32"/>
          <w:szCs w:val="32"/>
        </w:rPr>
      </w:pPr>
      <w:r>
        <w:rPr>
          <w:rFonts w:hint="eastAsia" w:ascii="仿宋" w:hAnsi="仿宋" w:eastAsia="仿宋"/>
          <w:b/>
          <w:sz w:val="32"/>
          <w:szCs w:val="32"/>
        </w:rPr>
        <w:br w:type="page"/>
      </w:r>
      <w:bookmarkStart w:id="142" w:name="_Toc415436811"/>
      <w:bookmarkStart w:id="143" w:name="_Toc21962"/>
    </w:p>
    <w:p>
      <w:pPr>
        <w:adjustRightInd w:val="0"/>
        <w:snapToGrid w:val="0"/>
        <w:spacing w:line="360" w:lineRule="auto"/>
        <w:outlineLvl w:val="9"/>
        <w:rPr>
          <w:rFonts w:ascii="仿宋" w:hAnsi="仿宋" w:eastAsia="仿宋"/>
          <w:b/>
          <w:sz w:val="32"/>
          <w:szCs w:val="32"/>
        </w:rPr>
      </w:pPr>
      <w:r>
        <w:rPr>
          <w:rFonts w:hint="eastAsia" w:ascii="仿宋" w:hAnsi="仿宋" w:eastAsia="仿宋"/>
          <w:b/>
          <w:sz w:val="32"/>
          <w:szCs w:val="32"/>
        </w:rPr>
        <w:t>第八部分 投标文件及澄清文件</w:t>
      </w:r>
      <w:r>
        <w:rPr>
          <w:rFonts w:hint="eastAsia" w:ascii="仿宋" w:hAnsi="仿宋" w:eastAsia="仿宋"/>
          <w:b/>
          <w:sz w:val="32"/>
          <w:szCs w:val="72"/>
        </w:rPr>
        <w:t>及其他补充资料</w:t>
      </w:r>
      <w:r>
        <w:rPr>
          <w:rFonts w:hint="eastAsia" w:ascii="仿宋" w:hAnsi="仿宋" w:eastAsia="仿宋"/>
          <w:b/>
          <w:sz w:val="32"/>
          <w:szCs w:val="32"/>
        </w:rPr>
        <w:t>（另册）</w:t>
      </w:r>
      <w:bookmarkEnd w:id="141"/>
      <w:bookmarkEnd w:id="142"/>
      <w:bookmarkEnd w:id="143"/>
    </w:p>
    <w:bookmarkEnd w:id="133"/>
    <w:p>
      <w:pPr>
        <w:outlineLvl w:val="9"/>
      </w:pPr>
    </w:p>
    <w:p>
      <w:pPr>
        <w:rPr>
          <w:rFonts w:ascii="宋体" w:hAnsi="宋体" w:cs="宋体"/>
          <w:sz w:val="32"/>
          <w:szCs w:val="32"/>
        </w:rPr>
      </w:pPr>
    </w:p>
    <w:p>
      <w:pPr>
        <w:rPr>
          <w:rFonts w:ascii="宋体" w:hAnsi="宋体" w:cs="宋体"/>
          <w:sz w:val="32"/>
          <w:szCs w:val="32"/>
        </w:rPr>
      </w:pPr>
      <w:r>
        <w:rPr>
          <w:rFonts w:hint="eastAsia" w:ascii="宋体" w:hAnsi="宋体" w:cs="宋体"/>
          <w:sz w:val="32"/>
          <w:szCs w:val="32"/>
        </w:rPr>
        <w:br w:type="page"/>
      </w:r>
      <w:bookmarkStart w:id="144" w:name="_Toc27097"/>
    </w:p>
    <w:p>
      <w:pPr>
        <w:pStyle w:val="3"/>
        <w:keepNext w:val="0"/>
        <w:spacing w:line="360" w:lineRule="auto"/>
        <w:ind w:firstLine="643" w:firstLineChars="200"/>
        <w:rPr>
          <w:rFonts w:ascii="宋体" w:hAnsi="宋体" w:cs="宋体"/>
          <w:bCs w:val="0"/>
          <w:sz w:val="32"/>
          <w:szCs w:val="32"/>
        </w:rPr>
      </w:pPr>
      <w:bookmarkStart w:id="145" w:name="_Toc23700"/>
      <w:bookmarkStart w:id="146" w:name="_Toc9141"/>
      <w:r>
        <w:rPr>
          <w:rFonts w:hint="eastAsia" w:ascii="宋体" w:hAnsi="宋体" w:cs="宋体"/>
          <w:bCs w:val="0"/>
          <w:sz w:val="32"/>
          <w:szCs w:val="32"/>
        </w:rPr>
        <w:t>第六章  响应文件组成</w:t>
      </w:r>
      <w:bookmarkEnd w:id="144"/>
      <w:bookmarkEnd w:id="145"/>
      <w:bookmarkEnd w:id="146"/>
    </w:p>
    <w:p>
      <w:pPr>
        <w:spacing w:line="360" w:lineRule="auto"/>
        <w:ind w:firstLine="422" w:firstLineChars="200"/>
        <w:jc w:val="center"/>
        <w:rPr>
          <w:rFonts w:ascii="宋体" w:hAnsi="宋体"/>
          <w:b/>
        </w:rPr>
      </w:pPr>
    </w:p>
    <w:p>
      <w:pPr>
        <w:spacing w:line="360" w:lineRule="auto"/>
        <w:ind w:firstLine="420" w:firstLineChars="200"/>
        <w:jc w:val="center"/>
        <w:rPr>
          <w:rFonts w:ascii="宋体" w:hAnsi="宋体"/>
          <w:b/>
        </w:rPr>
      </w:pPr>
      <w:r>
        <mc:AlternateContent>
          <mc:Choice Requires="wps">
            <w:drawing>
              <wp:anchor distT="0" distB="0" distL="114300" distR="114300" simplePos="0" relativeHeight="251655168" behindDoc="0" locked="0" layoutInCell="1" allowOverlap="1">
                <wp:simplePos x="0" y="0"/>
                <wp:positionH relativeFrom="column">
                  <wp:posOffset>4229100</wp:posOffset>
                </wp:positionH>
                <wp:positionV relativeFrom="paragraph">
                  <wp:posOffset>0</wp:posOffset>
                </wp:positionV>
                <wp:extent cx="1114425" cy="419100"/>
                <wp:effectExtent l="9525" t="14605" r="9525" b="13970"/>
                <wp:wrapNone/>
                <wp:docPr id="10"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55168;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AZqW1wAAAAcBAAAPAAAA&#10;AAAAAAEAIAAAACIAAABkcnMvZG93bnJldi54bWxQSwECFAAUAAAACACHTuJArST4fRYCAAA8BAAA&#10;DgAAAAAAAAABACAAAAAmAQAAZHJzL2Uyb0RvYy54bWxQSwUGAAAAAAYABgBZAQAArgU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ascii="宋体" w:hAnsi="宋体" w:cs="Courier New"/>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spacing w:line="360" w:lineRule="auto"/>
        <w:jc w:val="center"/>
        <w:rPr>
          <w:rFonts w:ascii="宋体" w:hAnsi="宋体"/>
          <w:b/>
          <w:bCs/>
          <w:sz w:val="52"/>
          <w:szCs w:val="52"/>
        </w:rPr>
      </w:pPr>
      <w:r>
        <w:rPr>
          <w:rFonts w:hint="eastAsia" w:ascii="宋体" w:hAnsi="宋体"/>
          <w:b/>
          <w:bCs/>
          <w:sz w:val="52"/>
          <w:szCs w:val="52"/>
        </w:rPr>
        <w:t>响应文件</w:t>
      </w:r>
    </w:p>
    <w:p>
      <w:pPr>
        <w:pStyle w:val="2"/>
        <w:ind w:left="0" w:leftChars="0"/>
        <w:rPr>
          <w:rFonts w:ascii="宋体" w:hAnsi="宋体"/>
          <w:b/>
          <w:bCs/>
          <w:sz w:val="52"/>
          <w:szCs w:val="52"/>
        </w:rPr>
      </w:pPr>
    </w:p>
    <w:p/>
    <w:p>
      <w:pPr>
        <w:pStyle w:val="2"/>
        <w:ind w:left="0" w:leftChars="0"/>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
        <w:spacing w:line="360" w:lineRule="auto"/>
        <w:ind w:left="0" w:leftChars="0"/>
        <w:rPr>
          <w:rFonts w:ascii="宋体"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宋体" w:hAnsi="宋体"/>
          <w:b/>
          <w:bCs/>
          <w:sz w:val="44"/>
          <w:szCs w:val="44"/>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spacing w:line="360" w:lineRule="auto"/>
        <w:ind w:firstLine="883" w:firstLineChars="200"/>
        <w:jc w:val="center"/>
        <w:rPr>
          <w:rFonts w:ascii="宋体" w:hAnsi="宋体"/>
          <w:b/>
          <w:sz w:val="44"/>
          <w:szCs w:val="44"/>
        </w:rPr>
        <w:sectPr>
          <w:headerReference r:id="rId6" w:type="default"/>
          <w:footerReference r:id="rId7"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bookmarkStart w:id="147" w:name="_Toc27212"/>
    </w:p>
    <w:p>
      <w:pPr>
        <w:adjustRightInd w:val="0"/>
        <w:snapToGrid w:val="0"/>
        <w:spacing w:line="360" w:lineRule="auto"/>
        <w:ind w:firstLine="420" w:firstLineChars="200"/>
        <w:outlineLvl w:val="9"/>
        <w:rPr>
          <w:rFonts w:ascii="宋体" w:hAnsi="宋体"/>
          <w:szCs w:val="21"/>
        </w:rPr>
      </w:pPr>
      <w:bookmarkStart w:id="148" w:name="_Toc12110"/>
      <w:r>
        <w:rPr>
          <w:rFonts w:hint="eastAsia" w:ascii="宋体" w:hAnsi="宋体"/>
          <w:szCs w:val="21"/>
        </w:rPr>
        <w:t>一、谈判承诺书</w:t>
      </w:r>
      <w:bookmarkEnd w:id="147"/>
      <w:bookmarkEnd w:id="148"/>
    </w:p>
    <w:p>
      <w:pPr>
        <w:adjustRightInd w:val="0"/>
        <w:snapToGrid w:val="0"/>
        <w:spacing w:line="360" w:lineRule="auto"/>
        <w:ind w:firstLine="420" w:firstLineChars="200"/>
        <w:jc w:val="left"/>
        <w:outlineLvl w:val="9"/>
        <w:rPr>
          <w:rFonts w:ascii="宋体" w:hAnsi="宋体"/>
          <w:szCs w:val="21"/>
        </w:rPr>
      </w:pPr>
      <w:bookmarkStart w:id="149" w:name="_Toc6300"/>
      <w:bookmarkStart w:id="150" w:name="_Toc31855"/>
      <w:r>
        <w:rPr>
          <w:rFonts w:hint="eastAsia" w:ascii="宋体" w:hAnsi="宋体"/>
          <w:szCs w:val="21"/>
        </w:rPr>
        <w:t>二、法定代表人身份证明书</w:t>
      </w:r>
      <w:bookmarkEnd w:id="149"/>
      <w:bookmarkEnd w:id="150"/>
    </w:p>
    <w:p>
      <w:pPr>
        <w:adjustRightInd w:val="0"/>
        <w:snapToGrid w:val="0"/>
        <w:spacing w:line="360" w:lineRule="auto"/>
        <w:ind w:firstLine="420" w:firstLineChars="200"/>
        <w:jc w:val="left"/>
        <w:outlineLvl w:val="9"/>
        <w:rPr>
          <w:rFonts w:ascii="宋体" w:hAnsi="宋体"/>
          <w:szCs w:val="21"/>
        </w:rPr>
      </w:pPr>
      <w:bookmarkStart w:id="151" w:name="_Toc18323"/>
      <w:bookmarkStart w:id="152" w:name="_Toc26247"/>
      <w:r>
        <w:rPr>
          <w:rFonts w:hint="eastAsia" w:ascii="宋体" w:hAnsi="宋体"/>
          <w:szCs w:val="21"/>
        </w:rPr>
        <w:t>三、授权委托书</w:t>
      </w:r>
      <w:bookmarkEnd w:id="151"/>
      <w:bookmarkEnd w:id="152"/>
    </w:p>
    <w:p>
      <w:pPr>
        <w:adjustRightInd w:val="0"/>
        <w:snapToGrid w:val="0"/>
        <w:spacing w:line="360" w:lineRule="auto"/>
        <w:ind w:firstLine="420" w:firstLineChars="200"/>
        <w:jc w:val="left"/>
        <w:outlineLvl w:val="9"/>
        <w:rPr>
          <w:rFonts w:ascii="宋体" w:hAnsi="宋体"/>
          <w:szCs w:val="21"/>
        </w:rPr>
      </w:pPr>
      <w:bookmarkStart w:id="153" w:name="_Toc3192"/>
      <w:bookmarkStart w:id="154" w:name="_Toc30184"/>
      <w:r>
        <w:rPr>
          <w:rFonts w:hint="eastAsia" w:ascii="宋体" w:hAnsi="宋体"/>
          <w:szCs w:val="21"/>
        </w:rPr>
        <w:t>四、</w:t>
      </w:r>
      <w:r>
        <w:rPr>
          <w:rFonts w:hint="eastAsia" w:hAnsi="宋体"/>
          <w:szCs w:val="21"/>
        </w:rPr>
        <w:t>谈判单位资格条件证明文件</w:t>
      </w:r>
      <w:bookmarkEnd w:id="153"/>
      <w:bookmarkEnd w:id="154"/>
    </w:p>
    <w:p>
      <w:pPr>
        <w:adjustRightInd w:val="0"/>
        <w:snapToGrid w:val="0"/>
        <w:spacing w:line="360" w:lineRule="auto"/>
        <w:ind w:firstLine="420" w:firstLineChars="200"/>
        <w:outlineLvl w:val="9"/>
        <w:rPr>
          <w:rFonts w:ascii="宋体" w:hAnsi="宋体"/>
          <w:szCs w:val="21"/>
          <w:highlight w:val="none"/>
        </w:rPr>
      </w:pPr>
      <w:bookmarkStart w:id="155" w:name="_Toc4407"/>
      <w:bookmarkStart w:id="156" w:name="_Toc20762"/>
      <w:r>
        <w:rPr>
          <w:rFonts w:hint="eastAsia" w:ascii="宋体" w:hAnsi="宋体"/>
          <w:szCs w:val="21"/>
          <w:highlight w:val="none"/>
        </w:rPr>
        <w:t>五、</w:t>
      </w:r>
      <w:r>
        <w:rPr>
          <w:rFonts w:hint="eastAsia" w:hAnsi="宋体"/>
          <w:bCs/>
          <w:szCs w:val="21"/>
          <w:highlight w:val="none"/>
        </w:rPr>
        <w:t>服务方案</w:t>
      </w:r>
      <w:bookmarkEnd w:id="155"/>
      <w:bookmarkEnd w:id="156"/>
    </w:p>
    <w:p>
      <w:pPr>
        <w:adjustRightInd w:val="0"/>
        <w:snapToGrid w:val="0"/>
        <w:spacing w:line="360" w:lineRule="auto"/>
        <w:ind w:firstLine="420" w:firstLineChars="200"/>
        <w:jc w:val="left"/>
        <w:outlineLvl w:val="9"/>
        <w:rPr>
          <w:rFonts w:ascii="宋体" w:hAnsi="宋体"/>
          <w:szCs w:val="21"/>
          <w:highlight w:val="none"/>
        </w:rPr>
      </w:pPr>
      <w:bookmarkStart w:id="157" w:name="_Toc28465"/>
      <w:bookmarkStart w:id="158" w:name="_Toc2978"/>
      <w:r>
        <w:rPr>
          <w:rFonts w:hint="eastAsia" w:ascii="宋体" w:hAnsi="宋体"/>
          <w:szCs w:val="21"/>
          <w:highlight w:val="none"/>
        </w:rPr>
        <w:t>六、报价一览表</w:t>
      </w:r>
      <w:bookmarkEnd w:id="157"/>
      <w:bookmarkEnd w:id="158"/>
    </w:p>
    <w:p>
      <w:pPr>
        <w:adjustRightInd w:val="0"/>
        <w:snapToGrid w:val="0"/>
        <w:spacing w:line="360" w:lineRule="auto"/>
        <w:ind w:firstLine="420" w:firstLineChars="200"/>
        <w:jc w:val="left"/>
        <w:outlineLvl w:val="9"/>
        <w:rPr>
          <w:rFonts w:ascii="宋体" w:hAnsi="宋体"/>
          <w:szCs w:val="21"/>
        </w:rPr>
      </w:pPr>
      <w:bookmarkStart w:id="159" w:name="_Toc17943"/>
      <w:r>
        <w:rPr>
          <w:rFonts w:hint="eastAsia" w:ascii="宋体" w:hAnsi="宋体"/>
          <w:szCs w:val="21"/>
          <w:lang w:val="en-US" w:eastAsia="zh-CN"/>
        </w:rPr>
        <w:t>七</w:t>
      </w:r>
      <w:r>
        <w:rPr>
          <w:rFonts w:hint="eastAsia" w:ascii="宋体" w:hAnsi="宋体"/>
          <w:szCs w:val="21"/>
        </w:rPr>
        <w:t>、其他资料（如有）</w:t>
      </w:r>
      <w:bookmarkEnd w:id="159"/>
    </w:p>
    <w:p>
      <w:pPr>
        <w:spacing w:line="360" w:lineRule="auto"/>
        <w:ind w:firstLine="480" w:firstLineChars="200"/>
        <w:jc w:val="center"/>
        <w:outlineLvl w:val="1"/>
        <w:rPr>
          <w:rFonts w:ascii="黑体" w:hAnsi="黑体" w:eastAsia="黑体"/>
          <w:b/>
          <w:sz w:val="32"/>
          <w:szCs w:val="32"/>
        </w:rPr>
      </w:pPr>
      <w:r>
        <w:rPr>
          <w:rFonts w:hint="eastAsia" w:ascii="宋体" w:hAnsi="宋体"/>
          <w:sz w:val="24"/>
        </w:rPr>
        <w:br w:type="page"/>
      </w:r>
      <w:bookmarkStart w:id="160" w:name="_Toc6695"/>
      <w:bookmarkStart w:id="161" w:name="_Toc27785"/>
      <w:r>
        <w:rPr>
          <w:rFonts w:hint="eastAsia" w:ascii="宋体" w:hAnsi="宋体" w:cs="宋体"/>
          <w:b/>
          <w:sz w:val="32"/>
          <w:szCs w:val="32"/>
        </w:rPr>
        <w:t>一、谈判承诺书</w:t>
      </w:r>
      <w:bookmarkEnd w:id="160"/>
      <w:bookmarkEnd w:id="161"/>
    </w:p>
    <w:p>
      <w:pPr>
        <w:adjustRightInd w:val="0"/>
        <w:snapToGrid w:val="0"/>
        <w:spacing w:line="360" w:lineRule="auto"/>
        <w:ind w:firstLine="480" w:firstLineChars="200"/>
        <w:rPr>
          <w:rFonts w:ascii="仿宋_GB2312" w:hAnsi="宋体" w:eastAsia="仿宋_GB2312"/>
          <w:sz w:val="24"/>
        </w:rPr>
      </w:pPr>
    </w:p>
    <w:p>
      <w:pPr>
        <w:adjustRightInd w:val="0"/>
        <w:snapToGrid w:val="0"/>
        <w:spacing w:line="360" w:lineRule="auto"/>
        <w:ind w:firstLine="420" w:firstLineChars="200"/>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adjustRightInd w:val="0"/>
        <w:snapToGrid w:val="0"/>
        <w:spacing w:line="360" w:lineRule="auto"/>
        <w:ind w:left="210" w:leftChars="100" w:firstLine="210" w:firstLineChars="1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spacing w:line="360" w:lineRule="auto"/>
        <w:ind w:firstLine="420" w:firstLineChars="200"/>
        <w:rPr>
          <w:rFonts w:hAnsi="宋体"/>
        </w:rPr>
      </w:pPr>
      <w:r>
        <w:rPr>
          <w:rFonts w:hint="eastAsia"/>
        </w:rPr>
        <w:t>十一、如有违反本承诺书内容的行为，愿意承担由此产生的法律责任及后果。</w:t>
      </w:r>
    </w:p>
    <w:p>
      <w:pPr>
        <w:adjustRightInd w:val="0"/>
        <w:snapToGrid w:val="0"/>
        <w:spacing w:line="360" w:lineRule="auto"/>
        <w:ind w:firstLine="420" w:firstLineChars="200"/>
        <w:rPr>
          <w:rFonts w:ascii="宋体" w:hAnsi="宋体"/>
          <w:bCs/>
          <w:szCs w:val="21"/>
        </w:rPr>
      </w:pPr>
    </w:p>
    <w:p>
      <w:pPr>
        <w:pStyle w:val="25"/>
        <w:adjustRightInd w:val="0"/>
        <w:snapToGrid w:val="0"/>
        <w:spacing w:line="360" w:lineRule="auto"/>
        <w:ind w:firstLine="420" w:firstLineChars="200"/>
        <w:rPr>
          <w:rFonts w:hAnsi="宋体"/>
        </w:rPr>
      </w:pPr>
    </w:p>
    <w:p>
      <w:pPr>
        <w:spacing w:line="360" w:lineRule="auto"/>
        <w:ind w:firstLine="420" w:firstLineChars="200"/>
        <w:rPr>
          <w:u w:val="single"/>
        </w:rPr>
      </w:pPr>
      <w:r>
        <w:rPr>
          <w:rFonts w:hint="eastAsia"/>
        </w:rPr>
        <w:t>谈判单位名称：</w:t>
      </w:r>
      <w:r>
        <w:rPr>
          <w:rFonts w:hint="eastAsia"/>
          <w:u w:val="single"/>
        </w:rPr>
        <w:t xml:space="preserve">    （盖单位章）    </w:t>
      </w:r>
    </w:p>
    <w:p>
      <w:pPr>
        <w:spacing w:line="360" w:lineRule="auto"/>
        <w:ind w:firstLine="420" w:firstLineChars="200"/>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outlineLvl w:val="1"/>
        <w:rPr>
          <w:rFonts w:ascii="宋体" w:hAnsi="宋体" w:cs="宋体"/>
          <w:b/>
          <w:sz w:val="32"/>
          <w:szCs w:val="32"/>
        </w:rPr>
      </w:pPr>
      <w:bookmarkStart w:id="162" w:name="_Toc22601"/>
      <w:bookmarkStart w:id="163" w:name="_Toc10304"/>
      <w:r>
        <w:rPr>
          <w:rFonts w:hint="eastAsia" w:ascii="宋体" w:hAnsi="宋体" w:cs="宋体"/>
          <w:b/>
          <w:sz w:val="32"/>
          <w:szCs w:val="32"/>
        </w:rPr>
        <w:t>二、法定代表人身份证明书</w:t>
      </w:r>
      <w:bookmarkEnd w:id="162"/>
      <w:bookmarkEnd w:id="163"/>
    </w:p>
    <w:p>
      <w:pPr>
        <w:snapToGrid w:val="0"/>
        <w:spacing w:line="360" w:lineRule="auto"/>
        <w:ind w:firstLine="420" w:firstLineChars="200"/>
        <w:rPr>
          <w:rFonts w:ascii="宋体" w:hAnsi="宋体"/>
          <w:szCs w:val="21"/>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mc:AlternateContent>
          <mc:Choice Requires="wps">
            <w:drawing>
              <wp:anchor distT="0" distB="0" distL="114300" distR="114300" simplePos="0" relativeHeight="251657216" behindDoc="1" locked="0" layoutInCell="1" allowOverlap="1">
                <wp:simplePos x="0" y="0"/>
                <wp:positionH relativeFrom="column">
                  <wp:posOffset>2820670</wp:posOffset>
                </wp:positionH>
                <wp:positionV relativeFrom="paragraph">
                  <wp:posOffset>146050</wp:posOffset>
                </wp:positionV>
                <wp:extent cx="2355850" cy="1221105"/>
                <wp:effectExtent l="10795" t="10795" r="5080" b="6350"/>
                <wp:wrapNone/>
                <wp:docPr id="9"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59264;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DDNhUhEQIAADA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OCt29cAAAAKAQAADwAAAAAAAAAB&#10;ACAAAAAiAAAAZHJzL2Rvd25yZXYueG1sUEsBAhQAFAAAAAgAh07iQMM2FSERAgAAMAQAAA4AAAAA&#10;AAAAAQAgAAAAJgEAAGRycy9lMm9Eb2MueG1sUEsFBgAAAAAGAAYAWQEAAKkFA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656192" behindDoc="1" locked="0" layoutInCell="1" allowOverlap="1">
                <wp:simplePos x="0" y="0"/>
                <wp:positionH relativeFrom="column">
                  <wp:posOffset>-111760</wp:posOffset>
                </wp:positionH>
                <wp:positionV relativeFrom="paragraph">
                  <wp:posOffset>146050</wp:posOffset>
                </wp:positionV>
                <wp:extent cx="2355850" cy="1221105"/>
                <wp:effectExtent l="12065" t="10795" r="13335" b="635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60288;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FUyrycRAgAAMA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VTKvJxECAAAwBAAADgAA&#10;AAAAAAABACAAAAAo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outlineLvl w:val="1"/>
        <w:rPr>
          <w:rFonts w:ascii="黑体" w:hAnsi="宋体" w:eastAsia="黑体"/>
          <w:b/>
          <w:sz w:val="32"/>
          <w:szCs w:val="32"/>
        </w:rPr>
      </w:pPr>
      <w:r>
        <w:rPr>
          <w:rFonts w:ascii="黑体" w:hAnsi="华文中宋" w:eastAsia="黑体"/>
          <w:bCs/>
          <w:sz w:val="24"/>
        </w:rPr>
        <w:br w:type="page"/>
      </w:r>
      <w:bookmarkStart w:id="164" w:name="_Toc9508"/>
      <w:bookmarkStart w:id="165" w:name="_Toc17922"/>
      <w:r>
        <w:rPr>
          <w:rFonts w:hint="eastAsia" w:ascii="宋体" w:hAnsi="宋体" w:cs="宋体"/>
          <w:b/>
          <w:sz w:val="32"/>
          <w:szCs w:val="32"/>
        </w:rPr>
        <w:t>三、授权委托书</w:t>
      </w:r>
      <w:bookmarkEnd w:id="164"/>
      <w:bookmarkEnd w:id="165"/>
    </w:p>
    <w:p>
      <w:pPr>
        <w:adjustRightInd w:val="0"/>
        <w:snapToGrid w:val="0"/>
        <w:spacing w:line="360" w:lineRule="auto"/>
        <w:ind w:firstLine="562" w:firstLineChars="200"/>
        <w:jc w:val="center"/>
        <w:rPr>
          <w:rFonts w:ascii="黑体" w:hAnsi="华文中宋" w:eastAsia="黑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ind w:firstLine="420" w:firstLineChars="200"/>
        <w:rPr>
          <w:rFonts w:ascii="宋体" w:hAnsi="宋体"/>
          <w:szCs w:val="21"/>
        </w:rPr>
      </w:pPr>
      <w:r>
        <w:rPr>
          <w:rFonts w:hint="eastAsia" w:ascii="宋体" w:hAnsi="宋体"/>
          <w:szCs w:val="21"/>
        </w:rPr>
        <w:t>本授权书于年月日签字生效，特此声明。</w:t>
      </w:r>
    </w:p>
    <w:p>
      <w:pPr>
        <w:adjustRightInd w:val="0"/>
        <w:snapToGrid w:val="0"/>
        <w:spacing w:before="161"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18415</wp:posOffset>
                </wp:positionV>
                <wp:extent cx="1410970" cy="1299845"/>
                <wp:effectExtent l="9525" t="6350" r="8255" b="8255"/>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8240;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S66PYAAAACQEAAA8AAAAA&#10;AAAAAQAgAAAAIgAAAGRycy9kb3ducmV2LnhtbFBLAQIUABQAAAAIAIdO4kD4Wgm5FAIAADAEAAAO&#10;AAAAAAAAAAEAIAAAACcBAABkcnMvZTJvRG9jLnhtbFBLBQYAAAAABgAGAFkBAACtBQ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3455670</wp:posOffset>
                </wp:positionH>
                <wp:positionV relativeFrom="paragraph">
                  <wp:posOffset>3810</wp:posOffset>
                </wp:positionV>
                <wp:extent cx="1555750" cy="1271270"/>
                <wp:effectExtent l="7620" t="10795" r="8255" b="13335"/>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6192;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4CsYq1gAAAAgBAAAPAAAAAAAA&#10;AAEAIAAAACIAAABkcnMvZG93bnJldi54bWxQSwECFAAUAAAACACHTuJAxD4/ZhQCAAAwBAAADgAA&#10;AAAAAAABACAAAAAl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1694815</wp:posOffset>
                </wp:positionH>
                <wp:positionV relativeFrom="paragraph">
                  <wp:posOffset>17145</wp:posOffset>
                </wp:positionV>
                <wp:extent cx="1433195" cy="1278255"/>
                <wp:effectExtent l="8890" t="5080" r="5715" b="12065"/>
                <wp:wrapNone/>
                <wp:docPr id="5"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7216;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Is+JbM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ind w:firstLine="420" w:firstLineChars="200"/>
        <w:rPr>
          <w:rFonts w:ascii="宋体" w:hAnsi="宋体"/>
          <w:szCs w:val="21"/>
        </w:rPr>
        <w:sectPr>
          <w:pgSz w:w="12240" w:h="15840"/>
          <w:pgMar w:top="1440" w:right="1800" w:bottom="1440" w:left="1800" w:header="720" w:footer="720" w:gutter="0"/>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outlineLvl w:val="1"/>
        <w:rPr>
          <w:rFonts w:ascii="黑体" w:eastAsia="黑体"/>
          <w:sz w:val="24"/>
        </w:rPr>
      </w:pPr>
      <w:bookmarkStart w:id="166" w:name="_Toc9936"/>
      <w:bookmarkStart w:id="167" w:name="_Toc7790"/>
      <w:r>
        <w:rPr>
          <w:rFonts w:hint="eastAsia" w:ascii="黑体" w:hAnsi="宋体" w:eastAsia="黑体"/>
          <w:b/>
          <w:sz w:val="32"/>
          <w:szCs w:val="32"/>
        </w:rPr>
        <w:t>四、谈判单位资格证明文件</w:t>
      </w:r>
      <w:bookmarkEnd w:id="166"/>
      <w:bookmarkEnd w:id="167"/>
    </w:p>
    <w:p>
      <w:pPr>
        <w:adjustRightInd w:val="0"/>
        <w:snapToGrid w:val="0"/>
        <w:spacing w:line="360" w:lineRule="auto"/>
        <w:ind w:firstLine="420" w:firstLineChars="200"/>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spacing w:line="360" w:lineRule="auto"/>
        <w:ind w:firstLine="420"/>
        <w:jc w:val="left"/>
        <w:rPr>
          <w:rFonts w:ascii="宋体" w:hAnsi="宋体" w:cs="宋体"/>
        </w:rPr>
      </w:pPr>
      <w:r>
        <w:rPr>
          <w:rFonts w:hint="eastAsia" w:ascii="宋体" w:hAnsi="宋体" w:cs="宋体"/>
        </w:rPr>
        <w:t>1.谈判单位须为具有独立法人资格、自主经营、独立核算的公司。须提供营业执照副本复印件（须加盖谈判单位公章）</w:t>
      </w:r>
    </w:p>
    <w:p>
      <w:pPr>
        <w:spacing w:line="360" w:lineRule="auto"/>
        <w:ind w:firstLine="420"/>
        <w:jc w:val="left"/>
        <w:rPr>
          <w:rFonts w:ascii="宋体" w:hAnsi="宋体" w:cs="宋体"/>
        </w:rPr>
      </w:pPr>
      <w:r>
        <w:rPr>
          <w:rFonts w:hint="eastAsia" w:ascii="宋体" w:hAnsi="宋体" w:cs="宋体"/>
        </w:rPr>
        <w:t>2.第一标段：谈判单位须具有质量技术监督部门核发的有效期内的</w:t>
      </w:r>
      <w:r>
        <w:rPr>
          <w:rFonts w:hint="eastAsia" w:ascii="宋体" w:hAnsi="宋体" w:cs="仿宋_GB2312"/>
        </w:rPr>
        <w:t>《特种设备制造许可证》(起重机械)或《特种设备安装改造维修许可证》(起重机械)。</w:t>
      </w:r>
    </w:p>
    <w:p>
      <w:pPr>
        <w:spacing w:line="360" w:lineRule="auto"/>
        <w:ind w:firstLine="420"/>
        <w:jc w:val="left"/>
        <w:rPr>
          <w:rFonts w:ascii="宋体" w:hAnsi="宋体" w:cs="仿宋_GB2312"/>
        </w:rPr>
      </w:pPr>
      <w:r>
        <w:rPr>
          <w:rFonts w:hint="eastAsia" w:ascii="宋体" w:hAnsi="宋体" w:cs="宋体"/>
        </w:rPr>
        <w:t>第二标段：谈判单位须具有质量技术监督部门核发的有效期内的</w:t>
      </w:r>
      <w:r>
        <w:rPr>
          <w:rFonts w:hint="eastAsia" w:ascii="宋体" w:hAnsi="宋体" w:cs="仿宋_GB2312"/>
        </w:rPr>
        <w:t>《特种设备制造许可证》(场内</w:t>
      </w:r>
      <w:r>
        <w:rPr>
          <w:rFonts w:hint="eastAsia" w:hAnsi="Calibri"/>
          <w:color w:val="000000"/>
        </w:rPr>
        <w:t>专用</w:t>
      </w:r>
      <w:r>
        <w:rPr>
          <w:rFonts w:hint="eastAsia" w:ascii="宋体" w:hAnsi="宋体" w:cs="仿宋_GB2312"/>
        </w:rPr>
        <w:t>机动车辆)或《特种设备安装改造维修许可证》(场内</w:t>
      </w:r>
      <w:r>
        <w:rPr>
          <w:rFonts w:hint="eastAsia" w:hAnsi="Calibri"/>
          <w:color w:val="000000"/>
        </w:rPr>
        <w:t>专用</w:t>
      </w:r>
      <w:r>
        <w:rPr>
          <w:rFonts w:hint="eastAsia" w:ascii="宋体" w:hAnsi="宋体" w:cs="仿宋_GB2312"/>
        </w:rPr>
        <w:t>机动车辆)。</w:t>
      </w:r>
    </w:p>
    <w:p>
      <w:pPr>
        <w:spacing w:line="360" w:lineRule="auto"/>
        <w:ind w:firstLine="420"/>
        <w:jc w:val="left"/>
        <w:rPr>
          <w:rFonts w:ascii="宋体" w:hAnsi="宋体" w:cs="宋体"/>
        </w:rPr>
      </w:pPr>
      <w:r>
        <w:rPr>
          <w:rFonts w:hint="eastAsia" w:ascii="宋体" w:hAnsi="宋体" w:cs="宋体"/>
        </w:rPr>
        <w:t>须提供以上资质证书原件。</w:t>
      </w:r>
    </w:p>
    <w:p>
      <w:pPr>
        <w:spacing w:line="360" w:lineRule="auto"/>
        <w:ind w:firstLine="420"/>
        <w:rPr>
          <w:rFonts w:ascii="宋体" w:hAnsi="宋体" w:cs="宋体"/>
        </w:rPr>
      </w:pPr>
      <w:r>
        <w:rPr>
          <w:rFonts w:hint="eastAsia" w:ascii="宋体" w:hAnsi="宋体" w:cs="宋体"/>
        </w:rPr>
        <w:t>3.谈判单位在本项目响应文件递交截止之日前36个月内须具有特种设备或轨道交通工艺检修类设备维修保养服务业绩。不接受联合体业绩、港澳台或境外业绩。</w:t>
      </w:r>
    </w:p>
    <w:p>
      <w:pPr>
        <w:spacing w:line="360" w:lineRule="auto"/>
        <w:ind w:firstLine="420" w:firstLineChars="200"/>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hint="eastAsia" w:ascii="宋体" w:hAnsi="宋体"/>
          <w:color w:val="000000"/>
          <w:szCs w:val="21"/>
        </w:rPr>
        <w:t>4.谈判单位认为与本项目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b/>
          <w:bCs/>
          <w:szCs w:val="21"/>
        </w:rPr>
        <w:t>2.上述证明文件原件须用文件袋单独包装，在响应文件递交的同时一并提交。</w:t>
      </w:r>
    </w:p>
    <w:p>
      <w:pPr>
        <w:adjustRightInd w:val="0"/>
        <w:snapToGrid w:val="0"/>
        <w:spacing w:line="360" w:lineRule="auto"/>
        <w:ind w:firstLine="643" w:firstLineChars="200"/>
        <w:jc w:val="center"/>
        <w:outlineLvl w:val="1"/>
        <w:rPr>
          <w:rFonts w:ascii="黑体" w:hAnsi="宋体" w:eastAsia="黑体"/>
          <w:b/>
          <w:bCs/>
          <w:sz w:val="32"/>
          <w:szCs w:val="32"/>
        </w:rPr>
      </w:pPr>
      <w:bookmarkStart w:id="168" w:name="_Toc8854"/>
      <w:bookmarkStart w:id="169" w:name="_Toc24430"/>
      <w:r>
        <w:rPr>
          <w:rFonts w:hint="eastAsia" w:ascii="黑体" w:hAnsi="宋体" w:eastAsia="黑体"/>
          <w:b/>
          <w:sz w:val="32"/>
          <w:szCs w:val="32"/>
        </w:rPr>
        <w:t>五、</w:t>
      </w:r>
      <w:r>
        <w:rPr>
          <w:rFonts w:hint="eastAsia" w:ascii="黑体" w:hAnsi="宋体" w:eastAsia="黑体"/>
          <w:b/>
          <w:bCs/>
          <w:sz w:val="32"/>
          <w:szCs w:val="32"/>
        </w:rPr>
        <w:t>服务方案</w:t>
      </w:r>
      <w:bookmarkEnd w:id="168"/>
      <w:bookmarkEnd w:id="169"/>
    </w:p>
    <w:p>
      <w:pPr>
        <w:adjustRightInd w:val="0"/>
        <w:snapToGrid w:val="0"/>
        <w:spacing w:line="360" w:lineRule="auto"/>
        <w:ind w:firstLine="643" w:firstLineChars="200"/>
        <w:jc w:val="center"/>
        <w:rPr>
          <w:rFonts w:ascii="黑体" w:hAnsi="宋体" w:eastAsia="黑体"/>
          <w:b/>
          <w:bCs/>
          <w:sz w:val="32"/>
          <w:szCs w:val="32"/>
        </w:rPr>
      </w:pPr>
    </w:p>
    <w:p>
      <w:pPr>
        <w:adjustRightInd w:val="0"/>
        <w:snapToGrid w:val="0"/>
        <w:spacing w:line="360" w:lineRule="auto"/>
        <w:ind w:firstLine="562" w:firstLineChars="200"/>
        <w:jc w:val="center"/>
        <w:rPr>
          <w:rFonts w:ascii="宋体" w:hAnsi="宋体"/>
          <w:b/>
          <w:bCs/>
          <w:sz w:val="28"/>
          <w:szCs w:val="28"/>
        </w:rPr>
      </w:pPr>
    </w:p>
    <w:p>
      <w:pPr>
        <w:adjustRightInd w:val="0"/>
        <w:snapToGrid w:val="0"/>
        <w:spacing w:line="360" w:lineRule="auto"/>
        <w:ind w:firstLine="422" w:firstLineChars="20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9"/>
        <w:rPr>
          <w:rFonts w:ascii="宋体" w:hAnsi="宋体"/>
          <w:bCs/>
          <w:sz w:val="21"/>
          <w:szCs w:val="21"/>
        </w:rPr>
      </w:pPr>
      <w:bookmarkStart w:id="170" w:name="_Toc8554"/>
      <w:bookmarkStart w:id="171" w:name="_Toc29652"/>
      <w:bookmarkStart w:id="172" w:name="_Toc2524"/>
      <w:r>
        <w:rPr>
          <w:rFonts w:hint="eastAsia" w:ascii="宋体" w:hAnsi="宋体"/>
          <w:sz w:val="21"/>
          <w:szCs w:val="21"/>
        </w:rPr>
        <w:t>谈判单位名称：</w:t>
      </w:r>
      <w:r>
        <w:rPr>
          <w:rFonts w:hint="eastAsia" w:ascii="宋体" w:hAnsi="宋体"/>
          <w:sz w:val="21"/>
          <w:szCs w:val="21"/>
          <w:u w:val="single"/>
        </w:rPr>
        <w:t xml:space="preserve">    （盖单位章）</w:t>
      </w:r>
      <w:bookmarkEnd w:id="170"/>
      <w:bookmarkEnd w:id="171"/>
      <w:bookmarkEnd w:id="172"/>
      <w:r>
        <w:rPr>
          <w:rFonts w:hint="eastAsia" w:ascii="宋体" w:hAnsi="宋体"/>
          <w:sz w:val="21"/>
          <w:szCs w:val="21"/>
          <w:u w:val="single"/>
        </w:rPr>
        <w:t xml:space="preserve">    </w:t>
      </w:r>
    </w:p>
    <w:p>
      <w:pPr>
        <w:adjustRightInd w:val="0"/>
        <w:snapToGrid w:val="0"/>
        <w:spacing w:line="360" w:lineRule="auto"/>
        <w:ind w:firstLine="420" w:firstLineChars="200"/>
        <w:outlineLvl w:val="9"/>
        <w:rPr>
          <w:rFonts w:ascii="宋体" w:hAnsi="宋体"/>
          <w:szCs w:val="21"/>
        </w:rPr>
      </w:pPr>
      <w:bookmarkStart w:id="173" w:name="_Toc8996"/>
      <w:bookmarkStart w:id="174" w:name="_Toc10577"/>
      <w:bookmarkStart w:id="175" w:name="_Toc6287"/>
      <w:r>
        <w:rPr>
          <w:rFonts w:hint="eastAsia" w:ascii="宋体" w:hAnsi="宋体"/>
          <w:szCs w:val="21"/>
        </w:rPr>
        <w:t>法定代表人或其委托代理人(签字或盖章)：</w:t>
      </w:r>
      <w:bookmarkEnd w:id="173"/>
      <w:bookmarkEnd w:id="174"/>
      <w:bookmarkEnd w:id="175"/>
      <w:r>
        <w:rPr>
          <w:rFonts w:hint="eastAsia" w:ascii="宋体" w:hAnsi="宋体"/>
          <w:szCs w:val="21"/>
          <w:u w:val="single"/>
        </w:rPr>
        <w:t xml:space="preserve">               </w:t>
      </w:r>
    </w:p>
    <w:p>
      <w:pPr>
        <w:spacing w:line="360" w:lineRule="auto"/>
        <w:ind w:firstLine="420" w:firstLineChars="200"/>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outlineLvl w:val="1"/>
        <w:rPr>
          <w:rFonts w:ascii="黑体" w:hAnsi="宋体" w:eastAsia="黑体"/>
          <w:b/>
          <w:sz w:val="32"/>
          <w:szCs w:val="32"/>
        </w:rPr>
      </w:pPr>
      <w:r>
        <w:rPr>
          <w:rFonts w:ascii="宋体" w:hAnsi="宋体"/>
          <w:sz w:val="24"/>
        </w:rPr>
        <w:br w:type="page"/>
      </w:r>
      <w:bookmarkStart w:id="176" w:name="_Toc18590"/>
      <w:bookmarkStart w:id="177" w:name="_Toc22346"/>
      <w:r>
        <w:rPr>
          <w:rFonts w:hint="eastAsia" w:ascii="黑体" w:hAnsi="宋体" w:eastAsia="黑体"/>
          <w:b/>
          <w:bCs/>
          <w:sz w:val="32"/>
          <w:szCs w:val="32"/>
        </w:rPr>
        <w:t>六、报价一览表(一标段)</w:t>
      </w:r>
      <w:bookmarkEnd w:id="176"/>
      <w:bookmarkEnd w:id="177"/>
    </w:p>
    <w:p>
      <w:pPr>
        <w:adjustRightInd w:val="0"/>
        <w:snapToGrid w:val="0"/>
        <w:spacing w:line="360" w:lineRule="auto"/>
        <w:ind w:firstLine="480" w:firstLineChars="200"/>
        <w:jc w:val="right"/>
        <w:rPr>
          <w:rFonts w:ascii="黑体" w:hAnsi="宋体" w:eastAsia="黑体"/>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9"/>
        <w:rPr>
          <w:rFonts w:ascii="宋体" w:hAnsi="宋体"/>
          <w:bCs/>
          <w:sz w:val="21"/>
          <w:szCs w:val="21"/>
        </w:rPr>
      </w:pPr>
      <w:bookmarkStart w:id="178" w:name="_Toc15367"/>
      <w:bookmarkStart w:id="179" w:name="_Toc26371"/>
      <w:bookmarkStart w:id="180" w:name="_Toc22197"/>
      <w:r>
        <w:rPr>
          <w:rFonts w:hint="eastAsia" w:ascii="宋体" w:hAnsi="宋体"/>
          <w:sz w:val="21"/>
          <w:szCs w:val="21"/>
        </w:rPr>
        <w:t>谈判单位名称：</w:t>
      </w:r>
      <w:r>
        <w:rPr>
          <w:rFonts w:hint="eastAsia" w:ascii="宋体" w:hAnsi="宋体"/>
          <w:sz w:val="21"/>
          <w:szCs w:val="21"/>
          <w:u w:val="single"/>
        </w:rPr>
        <w:t xml:space="preserve">    （盖单位章）</w:t>
      </w:r>
      <w:bookmarkEnd w:id="178"/>
      <w:bookmarkEnd w:id="179"/>
      <w:bookmarkEnd w:id="180"/>
      <w:r>
        <w:rPr>
          <w:rFonts w:hint="eastAsia" w:ascii="宋体" w:hAnsi="宋体"/>
          <w:sz w:val="21"/>
          <w:szCs w:val="21"/>
          <w:u w:val="single"/>
        </w:rPr>
        <w:t xml:space="preserve">    </w:t>
      </w:r>
    </w:p>
    <w:p>
      <w:pPr>
        <w:adjustRightInd w:val="0"/>
        <w:snapToGrid w:val="0"/>
        <w:spacing w:line="360" w:lineRule="auto"/>
        <w:ind w:firstLine="420" w:firstLineChars="200"/>
        <w:outlineLvl w:val="9"/>
        <w:rPr>
          <w:rFonts w:ascii="宋体" w:hAnsi="宋体"/>
          <w:szCs w:val="21"/>
        </w:rPr>
      </w:pPr>
      <w:bookmarkStart w:id="181" w:name="_Toc14381"/>
      <w:bookmarkStart w:id="182" w:name="_Toc7637"/>
      <w:bookmarkStart w:id="183" w:name="_Toc26095"/>
      <w:r>
        <w:rPr>
          <w:rFonts w:hint="eastAsia" w:ascii="宋体" w:hAnsi="宋体"/>
          <w:szCs w:val="21"/>
        </w:rPr>
        <w:t>法定代表人或其委托代理人(签字或盖章)：</w:t>
      </w:r>
      <w:bookmarkEnd w:id="181"/>
      <w:bookmarkEnd w:id="182"/>
      <w:bookmarkEnd w:id="183"/>
      <w:r>
        <w:rPr>
          <w:rFonts w:hint="eastAsia" w:ascii="宋体" w:hAnsi="宋体"/>
          <w:szCs w:val="21"/>
          <w:u w:val="single"/>
        </w:rPr>
        <w:t xml:space="preserve">               </w:t>
      </w:r>
    </w:p>
    <w:p>
      <w:pPr>
        <w:spacing w:line="360" w:lineRule="auto"/>
        <w:ind w:firstLine="420" w:firstLineChars="200"/>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9"/>
        <w:rPr>
          <w:rFonts w:ascii="黑体" w:eastAsia="黑体"/>
          <w:b/>
          <w:sz w:val="32"/>
          <w:szCs w:val="32"/>
        </w:rPr>
      </w:pPr>
    </w:p>
    <w:p>
      <w:pPr>
        <w:spacing w:line="360" w:lineRule="auto"/>
        <w:ind w:firstLine="643" w:firstLineChars="200"/>
        <w:jc w:val="center"/>
        <w:rPr>
          <w:rFonts w:ascii="黑体" w:hAnsi="宋体" w:eastAsia="黑体"/>
          <w:b/>
          <w:bCs/>
          <w:sz w:val="32"/>
          <w:szCs w:val="32"/>
        </w:rPr>
      </w:pPr>
    </w:p>
    <w:p>
      <w:pPr>
        <w:spacing w:line="360" w:lineRule="auto"/>
        <w:ind w:firstLine="643" w:firstLineChars="200"/>
        <w:jc w:val="center"/>
        <w:rPr>
          <w:rFonts w:ascii="宋体" w:hAnsi="宋体"/>
          <w:b/>
          <w:sz w:val="32"/>
          <w:szCs w:val="32"/>
        </w:rPr>
      </w:pPr>
    </w:p>
    <w:p>
      <w:pPr>
        <w:spacing w:line="360" w:lineRule="auto"/>
        <w:ind w:firstLine="643" w:firstLineChars="200"/>
        <w:jc w:val="center"/>
        <w:rPr>
          <w:rFonts w:ascii="宋体" w:hAnsi="宋体"/>
          <w:b/>
          <w:sz w:val="32"/>
          <w:szCs w:val="32"/>
        </w:rPr>
      </w:pPr>
    </w:p>
    <w:p>
      <w:pPr>
        <w:spacing w:line="360" w:lineRule="auto"/>
        <w:ind w:firstLine="643" w:firstLineChars="200"/>
        <w:jc w:val="center"/>
        <w:rPr>
          <w:rFonts w:ascii="宋体" w:hAnsi="宋体"/>
          <w:b/>
          <w:sz w:val="32"/>
          <w:szCs w:val="32"/>
        </w:rPr>
      </w:pPr>
    </w:p>
    <w:p>
      <w:pPr>
        <w:spacing w:line="360" w:lineRule="auto"/>
        <w:ind w:firstLine="643" w:firstLineChars="200"/>
        <w:jc w:val="center"/>
        <w:rPr>
          <w:rFonts w:ascii="宋体" w:hAnsi="宋体"/>
          <w:b/>
          <w:sz w:val="32"/>
          <w:szCs w:val="32"/>
        </w:rPr>
      </w:pPr>
    </w:p>
    <w:p>
      <w:pPr>
        <w:adjustRightInd w:val="0"/>
        <w:snapToGrid w:val="0"/>
        <w:spacing w:line="360" w:lineRule="auto"/>
        <w:rPr>
          <w:rFonts w:ascii="黑体" w:hAnsi="宋体" w:eastAsia="黑体"/>
          <w:b/>
          <w:sz w:val="32"/>
          <w:szCs w:val="32"/>
        </w:rPr>
      </w:pPr>
    </w:p>
    <w:p>
      <w:pPr>
        <w:spacing w:line="360" w:lineRule="auto"/>
        <w:ind w:firstLine="643" w:firstLineChars="200"/>
        <w:jc w:val="center"/>
        <w:rPr>
          <w:rFonts w:ascii="黑体" w:hAnsi="宋体" w:eastAsia="黑体"/>
          <w:b/>
          <w:sz w:val="32"/>
          <w:szCs w:val="32"/>
        </w:rPr>
      </w:pPr>
      <w:r>
        <w:rPr>
          <w:rFonts w:hint="eastAsia" w:ascii="黑体" w:hAnsi="宋体" w:eastAsia="黑体"/>
          <w:b/>
          <w:bCs/>
          <w:sz w:val="32"/>
          <w:szCs w:val="32"/>
        </w:rPr>
        <w:t>报价一览表（二标段）</w:t>
      </w:r>
    </w:p>
    <w:p>
      <w:pPr>
        <w:adjustRightInd w:val="0"/>
        <w:snapToGrid w:val="0"/>
        <w:spacing w:line="360" w:lineRule="auto"/>
        <w:ind w:firstLine="480" w:firstLineChars="200"/>
        <w:jc w:val="right"/>
        <w:rPr>
          <w:rFonts w:ascii="黑体" w:hAnsi="宋体" w:eastAsia="黑体"/>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hint="eastAsia" w:ascii="宋体" w:hAnsi="宋体" w:eastAsia="宋体"/>
                <w:b/>
                <w:szCs w:val="21"/>
                <w:lang w:eastAsia="zh-CN"/>
              </w:rPr>
            </w:pPr>
            <w:r>
              <w:rPr>
                <w:rFonts w:hint="eastAsia" w:ascii="宋体" w:hAnsi="宋体"/>
                <w:b/>
                <w:szCs w:val="21"/>
              </w:rPr>
              <w:t>谈判</w:t>
            </w:r>
            <w:r>
              <w:rPr>
                <w:rFonts w:ascii="宋体" w:hAnsi="宋体"/>
                <w:b/>
                <w:szCs w:val="21"/>
              </w:rPr>
              <w:t>总报价</w:t>
            </w:r>
            <w:r>
              <w:rPr>
                <w:rFonts w:hint="eastAsia" w:ascii="宋体" w:hAnsi="宋体"/>
                <w:b/>
                <w:szCs w:val="21"/>
                <w:lang w:eastAsia="zh-CN"/>
              </w:rPr>
              <w:t>（</w:t>
            </w:r>
            <w:r>
              <w:rPr>
                <w:rFonts w:hint="eastAsia" w:ascii="宋体" w:hAnsi="宋体"/>
                <w:b/>
                <w:szCs w:val="21"/>
                <w:lang w:val="en-US" w:eastAsia="zh-CN"/>
              </w:rPr>
              <w:t>①+②+③</w:t>
            </w:r>
            <w:r>
              <w:rPr>
                <w:rFonts w:hint="eastAsia" w:ascii="宋体" w:hAnsi="宋体"/>
                <w:b/>
                <w:szCs w:val="21"/>
                <w:lang w:eastAsia="zh-CN"/>
              </w:rPr>
              <w:t>）</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hint="eastAsia" w:ascii="宋体" w:hAnsi="宋体"/>
                <w:b w:val="0"/>
                <w:bCs/>
                <w:szCs w:val="21"/>
              </w:rPr>
            </w:pPr>
            <w:r>
              <w:rPr>
                <w:rFonts w:hint="eastAsia" w:ascii="宋体" w:hAnsi="宋体"/>
                <w:b/>
                <w:szCs w:val="21"/>
                <w:lang w:val="en-US" w:eastAsia="zh-CN"/>
              </w:rPr>
              <w:t>①</w:t>
            </w:r>
            <w:r>
              <w:rPr>
                <w:rFonts w:hint="eastAsia" w:ascii="宋体" w:hAnsi="宋体"/>
                <w:b/>
                <w:szCs w:val="21"/>
              </w:rPr>
              <w:t>三号线报价</w:t>
            </w:r>
          </w:p>
        </w:tc>
        <w:tc>
          <w:tcPr>
            <w:tcW w:w="4017" w:type="dxa"/>
            <w:vAlign w:val="center"/>
          </w:tcPr>
          <w:p>
            <w:pPr>
              <w:ind w:firstLine="630" w:firstLineChars="300"/>
              <w:rPr>
                <w:rFonts w:hint="eastAsia" w:ascii="宋体" w:hAnsi="宋体"/>
                <w:szCs w:val="21"/>
              </w:rPr>
            </w:pPr>
            <w:r>
              <w:rPr>
                <w:rFonts w:hint="eastAsia" w:ascii="宋体" w:hAnsi="宋体"/>
                <w:szCs w:val="21"/>
              </w:rPr>
              <w:t>大写：        元</w:t>
            </w:r>
          </w:p>
        </w:tc>
        <w:tc>
          <w:tcPr>
            <w:tcW w:w="4016" w:type="dxa"/>
            <w:vAlign w:val="center"/>
          </w:tcPr>
          <w:p>
            <w:pPr>
              <w:spacing w:line="420" w:lineRule="exact"/>
              <w:ind w:firstLine="630" w:firstLineChars="300"/>
              <w:rPr>
                <w:rFonts w:hint="eastAsia" w:ascii="宋体" w:hAnsi="宋体"/>
                <w:szCs w:val="21"/>
              </w:rPr>
            </w:pPr>
            <w:r>
              <w:rPr>
                <w:rFonts w:hint="eastAsia" w:ascii="宋体" w:hAnsi="宋体"/>
                <w:szCs w:val="21"/>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hint="eastAsia" w:ascii="宋体" w:hAnsi="宋体"/>
                <w:b/>
                <w:szCs w:val="21"/>
              </w:rPr>
            </w:pPr>
            <w:r>
              <w:rPr>
                <w:rFonts w:hint="eastAsia" w:ascii="宋体" w:hAnsi="宋体"/>
                <w:b/>
                <w:szCs w:val="21"/>
                <w:lang w:val="en-US" w:eastAsia="zh-CN"/>
              </w:rPr>
              <w:t>②</w:t>
            </w:r>
            <w:r>
              <w:rPr>
                <w:rFonts w:hint="eastAsia" w:ascii="宋体" w:hAnsi="宋体"/>
                <w:b/>
                <w:szCs w:val="21"/>
              </w:rPr>
              <w:t>四号线报价</w:t>
            </w:r>
          </w:p>
        </w:tc>
        <w:tc>
          <w:tcPr>
            <w:tcW w:w="4017" w:type="dxa"/>
            <w:vAlign w:val="center"/>
          </w:tcPr>
          <w:p>
            <w:pPr>
              <w:ind w:firstLine="630" w:firstLineChars="300"/>
              <w:rPr>
                <w:rFonts w:hint="eastAsia" w:ascii="宋体" w:hAnsi="宋体"/>
                <w:szCs w:val="21"/>
              </w:rPr>
            </w:pPr>
            <w:r>
              <w:rPr>
                <w:rFonts w:hint="eastAsia" w:ascii="宋体" w:hAnsi="宋体"/>
                <w:szCs w:val="21"/>
              </w:rPr>
              <w:t>大写：        元</w:t>
            </w:r>
          </w:p>
        </w:tc>
        <w:tc>
          <w:tcPr>
            <w:tcW w:w="4016" w:type="dxa"/>
            <w:vAlign w:val="center"/>
          </w:tcPr>
          <w:p>
            <w:pPr>
              <w:spacing w:line="420" w:lineRule="exact"/>
              <w:ind w:firstLine="630" w:firstLineChars="300"/>
              <w:rPr>
                <w:rFonts w:hint="eastAsia" w:ascii="宋体" w:hAnsi="宋体"/>
                <w:szCs w:val="21"/>
              </w:rPr>
            </w:pPr>
            <w:r>
              <w:rPr>
                <w:rFonts w:hint="eastAsia" w:ascii="宋体" w:hAnsi="宋体"/>
                <w:szCs w:val="21"/>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hint="eastAsia" w:ascii="宋体" w:hAnsi="宋体"/>
                <w:b/>
                <w:szCs w:val="21"/>
              </w:rPr>
            </w:pPr>
            <w:r>
              <w:rPr>
                <w:rFonts w:hint="eastAsia" w:ascii="宋体" w:hAnsi="宋体"/>
                <w:b/>
                <w:szCs w:val="21"/>
                <w:lang w:val="en-US" w:eastAsia="zh-CN"/>
              </w:rPr>
              <w:t>③</w:t>
            </w:r>
            <w:r>
              <w:rPr>
                <w:rFonts w:hint="eastAsia" w:ascii="宋体" w:hAnsi="宋体"/>
                <w:b/>
                <w:szCs w:val="21"/>
              </w:rPr>
              <w:t>五号线报价</w:t>
            </w:r>
          </w:p>
        </w:tc>
        <w:tc>
          <w:tcPr>
            <w:tcW w:w="4017" w:type="dxa"/>
            <w:vAlign w:val="center"/>
          </w:tcPr>
          <w:p>
            <w:pPr>
              <w:ind w:firstLine="630" w:firstLineChars="300"/>
              <w:rPr>
                <w:rFonts w:hint="eastAsia" w:ascii="宋体" w:hAnsi="宋体"/>
                <w:szCs w:val="21"/>
              </w:rPr>
            </w:pPr>
            <w:r>
              <w:rPr>
                <w:rFonts w:hint="eastAsia" w:ascii="宋体" w:hAnsi="宋体"/>
                <w:szCs w:val="21"/>
              </w:rPr>
              <w:t>大写：        元</w:t>
            </w:r>
          </w:p>
        </w:tc>
        <w:tc>
          <w:tcPr>
            <w:tcW w:w="4016" w:type="dxa"/>
            <w:vAlign w:val="center"/>
          </w:tcPr>
          <w:p>
            <w:pPr>
              <w:spacing w:line="420" w:lineRule="exact"/>
              <w:ind w:firstLine="630" w:firstLineChars="300"/>
              <w:rPr>
                <w:rFonts w:hint="eastAsia" w:ascii="宋体" w:hAnsi="宋体"/>
                <w:szCs w:val="21"/>
              </w:rPr>
            </w:pPr>
            <w:r>
              <w:rPr>
                <w:rFonts w:hint="eastAsia" w:ascii="宋体" w:hAnsi="宋体"/>
                <w:szCs w:val="21"/>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0"/>
        <w:rPr>
          <w:rFonts w:ascii="黑体" w:eastAsia="黑体"/>
          <w:b/>
          <w:sz w:val="32"/>
          <w:szCs w:val="32"/>
        </w:rPr>
      </w:pPr>
    </w:p>
    <w:p>
      <w:pPr>
        <w:spacing w:line="360" w:lineRule="auto"/>
        <w:ind w:firstLine="643" w:firstLineChars="200"/>
        <w:jc w:val="center"/>
        <w:rPr>
          <w:rFonts w:ascii="黑体" w:hAnsi="宋体" w:eastAsia="黑体"/>
          <w:b/>
          <w:bCs/>
          <w:sz w:val="32"/>
          <w:szCs w:val="32"/>
        </w:rPr>
      </w:pPr>
    </w:p>
    <w:p>
      <w:pPr>
        <w:spacing w:line="360" w:lineRule="auto"/>
        <w:rPr>
          <w:rFonts w:ascii="仿宋_GB2312" w:hAnsi="仿宋_GB2312" w:eastAsia="仿宋_GB2312" w:cs="仿宋_GB2312"/>
          <w:color w:val="000000"/>
        </w:rPr>
      </w:pPr>
    </w:p>
    <w:p>
      <w:pPr>
        <w:spacing w:line="360" w:lineRule="auto"/>
        <w:ind w:firstLine="643" w:firstLineChars="200"/>
        <w:jc w:val="center"/>
        <w:outlineLvl w:val="1"/>
        <w:rPr>
          <w:rFonts w:ascii="黑体" w:hAnsi="宋体" w:eastAsia="黑体"/>
          <w:b/>
          <w:sz w:val="32"/>
          <w:szCs w:val="32"/>
        </w:rPr>
      </w:pPr>
      <w:bookmarkStart w:id="184" w:name="_Toc1964"/>
      <w:bookmarkStart w:id="185" w:name="_Toc15306"/>
      <w:bookmarkStart w:id="186" w:name="_Toc8265"/>
      <w:r>
        <w:rPr>
          <w:rFonts w:hint="eastAsia" w:ascii="黑体" w:hAnsi="宋体" w:eastAsia="黑体"/>
          <w:b/>
          <w:sz w:val="32"/>
          <w:szCs w:val="32"/>
          <w:lang w:val="en-US" w:eastAsia="zh-CN"/>
        </w:rPr>
        <w:t>七</w:t>
      </w:r>
      <w:r>
        <w:rPr>
          <w:rFonts w:hint="eastAsia" w:ascii="黑体" w:hAnsi="宋体" w:eastAsia="黑体"/>
          <w:b/>
          <w:sz w:val="32"/>
          <w:szCs w:val="32"/>
        </w:rPr>
        <w:t>、其他资料(如有)</w:t>
      </w:r>
      <w:bookmarkEnd w:id="184"/>
      <w:bookmarkEnd w:id="185"/>
      <w:bookmarkEnd w:id="186"/>
    </w:p>
    <w:p>
      <w:pPr>
        <w:adjustRightInd w:val="0"/>
        <w:snapToGrid w:val="0"/>
        <w:spacing w:before="161" w:beforeLines="50" w:line="360" w:lineRule="auto"/>
        <w:ind w:firstLine="560" w:firstLineChars="200"/>
        <w:jc w:val="center"/>
        <w:outlineLvl w:val="0"/>
        <w:rPr>
          <w:rFonts w:ascii="宋体" w:hAnsi="宋体"/>
          <w:sz w:val="28"/>
          <w:szCs w:val="28"/>
        </w:rPr>
      </w:pPr>
    </w:p>
    <w:p>
      <w:pPr>
        <w:adjustRightInd w:val="0"/>
        <w:snapToGrid w:val="0"/>
        <w:spacing w:before="161" w:beforeLines="50" w:line="360" w:lineRule="auto"/>
        <w:ind w:firstLine="420" w:firstLineChars="200"/>
        <w:jc w:val="center"/>
        <w:outlineLvl w:val="9"/>
        <w:rPr>
          <w:rFonts w:ascii="宋体" w:hAnsi="宋体"/>
          <w:szCs w:val="21"/>
        </w:rPr>
      </w:pPr>
      <w:bookmarkStart w:id="187" w:name="_Toc3706"/>
      <w:bookmarkStart w:id="188" w:name="_Toc15601"/>
      <w:r>
        <w:rPr>
          <w:rFonts w:hint="eastAsia" w:ascii="宋体" w:hAnsi="宋体"/>
          <w:szCs w:val="21"/>
        </w:rPr>
        <w:t>谈判单位认为需要提供的其他报价资料，格式自拟。</w:t>
      </w:r>
      <w:bookmarkEnd w:id="187"/>
      <w:bookmarkEnd w:id="188"/>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84480"/>
              <wp:effectExtent l="0" t="0" r="0" b="3175"/>
              <wp:wrapNone/>
              <wp:docPr id="4"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56192;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p0xstAAAAADAQAADwAAAAAAAAAB&#10;ACAAAAAiAAAAZHJzL2Rvd25yZXYueG1sUEsBAhQAFAAAAAgAh07iQLxEElLfAQAAtQMAAA4AAAAA&#10;AAAAAQAgAAAAHwEAAGRycy9lMm9Eb2MueG1sUEsFBgAAAAAGAAYAWQEAAHAFA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2</w:t>
                    </w:r>
                    <w:r>
                      <w:rPr>
                        <w:lang w:val="zh-CN"/>
                      </w:rPr>
                      <w:fldChar w:fldCharType="end"/>
                    </w:r>
                  </w:p>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DRDNUy4AEAALU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1905" r="1905" b="0"/>
              <wp:wrapNone/>
              <wp:docPr id="2"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AZZ9fx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190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wUVxntAQAAtA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DzK0ztfUNado7wwvIIhpsZRvbsF+ckz&#10;C9etsBt1hQh9q0RN9FJl9qh0xPERpOrfQk19xDZAAhoaNBGQ1GCETmvan1ajhsBkbJkvXp5fcCbp&#10;KT/PF4uLyC0TxVTs0IfXCgyLQcmRNp/Axe7WhzF1Som9LKx116Xtd/a3C8KMN4l85DsyD0M1HMWo&#10;oN7TGAijmcj8FLSAnznryUglt+R0zro3loSInpsCnIJqCoSVVFjywNkYXofRm1uHetMS7iT1FYm1&#10;1mmQqOrI4ciSrJGkONo4eu/xd8r69bOtH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5X5J0AAA&#10;AAMBAAAPAAAAAAAAAAEAIAAAACIAAABkcnMvZG93bnJldi54bWxQSwECFAAUAAAACACHTuJAvBRX&#10;Ge0BAAC0AwAADgAAAAAAAAABACAAAAAfAQAAZHJzL2Uyb0RvYy54bWxQSwUGAAAAAAYABgBZAQAA&#10;f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52640"/>
    <w:rsid w:val="00055ECF"/>
    <w:rsid w:val="00063D15"/>
    <w:rsid w:val="00066AB7"/>
    <w:rsid w:val="00074928"/>
    <w:rsid w:val="00091C9D"/>
    <w:rsid w:val="000A5809"/>
    <w:rsid w:val="000C106E"/>
    <w:rsid w:val="000E6636"/>
    <w:rsid w:val="00115FE6"/>
    <w:rsid w:val="001453A1"/>
    <w:rsid w:val="00162D59"/>
    <w:rsid w:val="00186162"/>
    <w:rsid w:val="00195655"/>
    <w:rsid w:val="001C23BF"/>
    <w:rsid w:val="002069C8"/>
    <w:rsid w:val="002139EB"/>
    <w:rsid w:val="0021454A"/>
    <w:rsid w:val="0022188F"/>
    <w:rsid w:val="00222DFA"/>
    <w:rsid w:val="00224DF9"/>
    <w:rsid w:val="00230A1A"/>
    <w:rsid w:val="002314A3"/>
    <w:rsid w:val="002523FD"/>
    <w:rsid w:val="00255546"/>
    <w:rsid w:val="00274721"/>
    <w:rsid w:val="00281EA3"/>
    <w:rsid w:val="00286014"/>
    <w:rsid w:val="002B1D56"/>
    <w:rsid w:val="002C4E38"/>
    <w:rsid w:val="003102A2"/>
    <w:rsid w:val="00320A89"/>
    <w:rsid w:val="00331810"/>
    <w:rsid w:val="00372E6D"/>
    <w:rsid w:val="00380064"/>
    <w:rsid w:val="00381105"/>
    <w:rsid w:val="00392E64"/>
    <w:rsid w:val="003958B2"/>
    <w:rsid w:val="0039632C"/>
    <w:rsid w:val="003977AA"/>
    <w:rsid w:val="003B1109"/>
    <w:rsid w:val="003D080C"/>
    <w:rsid w:val="003F46A7"/>
    <w:rsid w:val="004014FD"/>
    <w:rsid w:val="004117E8"/>
    <w:rsid w:val="00423B85"/>
    <w:rsid w:val="00440769"/>
    <w:rsid w:val="00453EE9"/>
    <w:rsid w:val="00473865"/>
    <w:rsid w:val="0048093D"/>
    <w:rsid w:val="00495DBC"/>
    <w:rsid w:val="00495F57"/>
    <w:rsid w:val="004C092F"/>
    <w:rsid w:val="00503035"/>
    <w:rsid w:val="00504DED"/>
    <w:rsid w:val="00526589"/>
    <w:rsid w:val="00545140"/>
    <w:rsid w:val="0055214F"/>
    <w:rsid w:val="005556A5"/>
    <w:rsid w:val="00556D35"/>
    <w:rsid w:val="0056143E"/>
    <w:rsid w:val="00585311"/>
    <w:rsid w:val="00586FAC"/>
    <w:rsid w:val="0058754B"/>
    <w:rsid w:val="005C1A77"/>
    <w:rsid w:val="005C5230"/>
    <w:rsid w:val="005C688B"/>
    <w:rsid w:val="005D735B"/>
    <w:rsid w:val="005E6BBB"/>
    <w:rsid w:val="00641E72"/>
    <w:rsid w:val="00644857"/>
    <w:rsid w:val="006772FA"/>
    <w:rsid w:val="0068504A"/>
    <w:rsid w:val="0068515F"/>
    <w:rsid w:val="00687C87"/>
    <w:rsid w:val="006B6300"/>
    <w:rsid w:val="006D0A13"/>
    <w:rsid w:val="006E025D"/>
    <w:rsid w:val="006F5FAC"/>
    <w:rsid w:val="0070784A"/>
    <w:rsid w:val="00730CC6"/>
    <w:rsid w:val="00740D0D"/>
    <w:rsid w:val="00793ABB"/>
    <w:rsid w:val="0079784E"/>
    <w:rsid w:val="007B6DC5"/>
    <w:rsid w:val="007D0446"/>
    <w:rsid w:val="007F3811"/>
    <w:rsid w:val="00802770"/>
    <w:rsid w:val="0080713D"/>
    <w:rsid w:val="0081382B"/>
    <w:rsid w:val="00833D69"/>
    <w:rsid w:val="00840485"/>
    <w:rsid w:val="008511F3"/>
    <w:rsid w:val="0085674B"/>
    <w:rsid w:val="008B6242"/>
    <w:rsid w:val="008C1DE5"/>
    <w:rsid w:val="008C45E0"/>
    <w:rsid w:val="008C7C9F"/>
    <w:rsid w:val="00915948"/>
    <w:rsid w:val="00923E97"/>
    <w:rsid w:val="009407FD"/>
    <w:rsid w:val="00951DAC"/>
    <w:rsid w:val="00976388"/>
    <w:rsid w:val="009A5642"/>
    <w:rsid w:val="009B5270"/>
    <w:rsid w:val="009C10AF"/>
    <w:rsid w:val="009C1EDF"/>
    <w:rsid w:val="009D41D7"/>
    <w:rsid w:val="009D7D4A"/>
    <w:rsid w:val="009E03FD"/>
    <w:rsid w:val="00A01E31"/>
    <w:rsid w:val="00A34DC1"/>
    <w:rsid w:val="00A41E73"/>
    <w:rsid w:val="00A618F2"/>
    <w:rsid w:val="00A61CCE"/>
    <w:rsid w:val="00A92B7C"/>
    <w:rsid w:val="00AA1709"/>
    <w:rsid w:val="00AA1EDB"/>
    <w:rsid w:val="00AB013C"/>
    <w:rsid w:val="00AB2B99"/>
    <w:rsid w:val="00AD758B"/>
    <w:rsid w:val="00AF11ED"/>
    <w:rsid w:val="00AF4459"/>
    <w:rsid w:val="00B01BA0"/>
    <w:rsid w:val="00B51FCB"/>
    <w:rsid w:val="00B74689"/>
    <w:rsid w:val="00B82298"/>
    <w:rsid w:val="00BB7B97"/>
    <w:rsid w:val="00BC5265"/>
    <w:rsid w:val="00C0069B"/>
    <w:rsid w:val="00C16FEA"/>
    <w:rsid w:val="00C20479"/>
    <w:rsid w:val="00C532E5"/>
    <w:rsid w:val="00C57914"/>
    <w:rsid w:val="00C6008B"/>
    <w:rsid w:val="00C758E3"/>
    <w:rsid w:val="00C928D3"/>
    <w:rsid w:val="00CB534B"/>
    <w:rsid w:val="00CE0073"/>
    <w:rsid w:val="00CE2B29"/>
    <w:rsid w:val="00CE51F2"/>
    <w:rsid w:val="00CE631C"/>
    <w:rsid w:val="00CE703D"/>
    <w:rsid w:val="00CF0192"/>
    <w:rsid w:val="00D026AB"/>
    <w:rsid w:val="00D164FE"/>
    <w:rsid w:val="00D22C6A"/>
    <w:rsid w:val="00D31733"/>
    <w:rsid w:val="00D36EF3"/>
    <w:rsid w:val="00D43330"/>
    <w:rsid w:val="00D452E1"/>
    <w:rsid w:val="00D84A7F"/>
    <w:rsid w:val="00D92A34"/>
    <w:rsid w:val="00DA39B5"/>
    <w:rsid w:val="00DA51BD"/>
    <w:rsid w:val="00DF2EC4"/>
    <w:rsid w:val="00DF363F"/>
    <w:rsid w:val="00E14F05"/>
    <w:rsid w:val="00E32EEF"/>
    <w:rsid w:val="00E77817"/>
    <w:rsid w:val="00E944EE"/>
    <w:rsid w:val="00EF6911"/>
    <w:rsid w:val="00F37996"/>
    <w:rsid w:val="00F410E0"/>
    <w:rsid w:val="00F579E9"/>
    <w:rsid w:val="00F9771D"/>
    <w:rsid w:val="00FA6734"/>
    <w:rsid w:val="00FC5CDF"/>
    <w:rsid w:val="00FD6823"/>
    <w:rsid w:val="00FE3699"/>
    <w:rsid w:val="00FE65AA"/>
    <w:rsid w:val="016E73A8"/>
    <w:rsid w:val="01DE6B70"/>
    <w:rsid w:val="02016232"/>
    <w:rsid w:val="028D51BD"/>
    <w:rsid w:val="02906CCC"/>
    <w:rsid w:val="03D609D8"/>
    <w:rsid w:val="03ED3E80"/>
    <w:rsid w:val="04072F21"/>
    <w:rsid w:val="04266FF5"/>
    <w:rsid w:val="05894214"/>
    <w:rsid w:val="062F084E"/>
    <w:rsid w:val="06373A93"/>
    <w:rsid w:val="06C32324"/>
    <w:rsid w:val="06ED5013"/>
    <w:rsid w:val="070C59FF"/>
    <w:rsid w:val="073C0D51"/>
    <w:rsid w:val="07962CC5"/>
    <w:rsid w:val="08023E55"/>
    <w:rsid w:val="08C565F2"/>
    <w:rsid w:val="08D34996"/>
    <w:rsid w:val="09664C98"/>
    <w:rsid w:val="097D1C20"/>
    <w:rsid w:val="097F42B9"/>
    <w:rsid w:val="09D51EAA"/>
    <w:rsid w:val="09D61CB2"/>
    <w:rsid w:val="0A0E6B2D"/>
    <w:rsid w:val="0A9A0228"/>
    <w:rsid w:val="0AE806D9"/>
    <w:rsid w:val="0B507786"/>
    <w:rsid w:val="0BF55579"/>
    <w:rsid w:val="0C164A2F"/>
    <w:rsid w:val="0D66668B"/>
    <w:rsid w:val="0DC8414C"/>
    <w:rsid w:val="0DEF2D5E"/>
    <w:rsid w:val="0E616540"/>
    <w:rsid w:val="0EA37AB0"/>
    <w:rsid w:val="0EE35C4D"/>
    <w:rsid w:val="0EF775BA"/>
    <w:rsid w:val="0FED629B"/>
    <w:rsid w:val="0FEE6040"/>
    <w:rsid w:val="10136B46"/>
    <w:rsid w:val="10404AF7"/>
    <w:rsid w:val="10703D88"/>
    <w:rsid w:val="110C2C29"/>
    <w:rsid w:val="116410CB"/>
    <w:rsid w:val="11FB259E"/>
    <w:rsid w:val="12281DA5"/>
    <w:rsid w:val="123A3214"/>
    <w:rsid w:val="12A055F7"/>
    <w:rsid w:val="136544CD"/>
    <w:rsid w:val="13690C80"/>
    <w:rsid w:val="13796109"/>
    <w:rsid w:val="13C911E0"/>
    <w:rsid w:val="1411188B"/>
    <w:rsid w:val="14AB387C"/>
    <w:rsid w:val="15D00CD9"/>
    <w:rsid w:val="15D67DAD"/>
    <w:rsid w:val="15DD7FEE"/>
    <w:rsid w:val="15ED6A1A"/>
    <w:rsid w:val="15F420D4"/>
    <w:rsid w:val="162F1698"/>
    <w:rsid w:val="18120B9A"/>
    <w:rsid w:val="184738E0"/>
    <w:rsid w:val="18702B64"/>
    <w:rsid w:val="1893797B"/>
    <w:rsid w:val="18EB4CFD"/>
    <w:rsid w:val="19035318"/>
    <w:rsid w:val="19630DF4"/>
    <w:rsid w:val="1A494A67"/>
    <w:rsid w:val="1A80468D"/>
    <w:rsid w:val="1B2E6483"/>
    <w:rsid w:val="1B324E6A"/>
    <w:rsid w:val="1B7E393D"/>
    <w:rsid w:val="1B84373D"/>
    <w:rsid w:val="1C3228C1"/>
    <w:rsid w:val="1CA829D6"/>
    <w:rsid w:val="1D094ED9"/>
    <w:rsid w:val="1D5C448C"/>
    <w:rsid w:val="1DE17D2F"/>
    <w:rsid w:val="1E2E7FC9"/>
    <w:rsid w:val="1E981D4A"/>
    <w:rsid w:val="1EA91EF2"/>
    <w:rsid w:val="1EFC3574"/>
    <w:rsid w:val="1FD401CA"/>
    <w:rsid w:val="1FEE4803"/>
    <w:rsid w:val="20512691"/>
    <w:rsid w:val="219C6F36"/>
    <w:rsid w:val="22001CA7"/>
    <w:rsid w:val="23217DAC"/>
    <w:rsid w:val="233E41F0"/>
    <w:rsid w:val="23540F1C"/>
    <w:rsid w:val="23E30A60"/>
    <w:rsid w:val="23F8119B"/>
    <w:rsid w:val="245E2FE6"/>
    <w:rsid w:val="246F6022"/>
    <w:rsid w:val="24967E12"/>
    <w:rsid w:val="24BC37AA"/>
    <w:rsid w:val="257C49E6"/>
    <w:rsid w:val="25E338F9"/>
    <w:rsid w:val="25F769C5"/>
    <w:rsid w:val="2658296F"/>
    <w:rsid w:val="26662701"/>
    <w:rsid w:val="267F0FB7"/>
    <w:rsid w:val="26B0428E"/>
    <w:rsid w:val="26D60619"/>
    <w:rsid w:val="26D67C30"/>
    <w:rsid w:val="273B23BD"/>
    <w:rsid w:val="27405291"/>
    <w:rsid w:val="27BC032E"/>
    <w:rsid w:val="2888133C"/>
    <w:rsid w:val="289A2E84"/>
    <w:rsid w:val="289B6E5A"/>
    <w:rsid w:val="28B63124"/>
    <w:rsid w:val="29057976"/>
    <w:rsid w:val="29210A38"/>
    <w:rsid w:val="2951072C"/>
    <w:rsid w:val="29AD5174"/>
    <w:rsid w:val="29B837B9"/>
    <w:rsid w:val="29FE6640"/>
    <w:rsid w:val="2A1C4185"/>
    <w:rsid w:val="2A286230"/>
    <w:rsid w:val="2AC97A0D"/>
    <w:rsid w:val="2B300A17"/>
    <w:rsid w:val="2BA62F06"/>
    <w:rsid w:val="2C074F20"/>
    <w:rsid w:val="2C162F55"/>
    <w:rsid w:val="2C3C6E9F"/>
    <w:rsid w:val="2C7627E2"/>
    <w:rsid w:val="2C8743A0"/>
    <w:rsid w:val="2C9812D6"/>
    <w:rsid w:val="2CEC7BE0"/>
    <w:rsid w:val="2D0954A4"/>
    <w:rsid w:val="2D8D261C"/>
    <w:rsid w:val="2DDB7325"/>
    <w:rsid w:val="2DE03EF4"/>
    <w:rsid w:val="2EA33208"/>
    <w:rsid w:val="308C20F3"/>
    <w:rsid w:val="30F77CED"/>
    <w:rsid w:val="31B61A82"/>
    <w:rsid w:val="31F70B9D"/>
    <w:rsid w:val="32B27CA8"/>
    <w:rsid w:val="32BC60F3"/>
    <w:rsid w:val="32F7027C"/>
    <w:rsid w:val="3326112B"/>
    <w:rsid w:val="334232CB"/>
    <w:rsid w:val="33911B57"/>
    <w:rsid w:val="33AB69E0"/>
    <w:rsid w:val="33BD1A5D"/>
    <w:rsid w:val="343B7C3F"/>
    <w:rsid w:val="348F0A67"/>
    <w:rsid w:val="349537D0"/>
    <w:rsid w:val="349B5C67"/>
    <w:rsid w:val="34E645D0"/>
    <w:rsid w:val="35411F39"/>
    <w:rsid w:val="359D78EF"/>
    <w:rsid w:val="35BF4105"/>
    <w:rsid w:val="36586AB4"/>
    <w:rsid w:val="36630339"/>
    <w:rsid w:val="36E403EC"/>
    <w:rsid w:val="37CF7050"/>
    <w:rsid w:val="38907664"/>
    <w:rsid w:val="38BA3C52"/>
    <w:rsid w:val="38DE4586"/>
    <w:rsid w:val="392B2144"/>
    <w:rsid w:val="393175BC"/>
    <w:rsid w:val="393442DF"/>
    <w:rsid w:val="39805729"/>
    <w:rsid w:val="3990507E"/>
    <w:rsid w:val="39E27939"/>
    <w:rsid w:val="3A4D2CF6"/>
    <w:rsid w:val="3A9B6040"/>
    <w:rsid w:val="3AA26377"/>
    <w:rsid w:val="3B081FD9"/>
    <w:rsid w:val="3B235613"/>
    <w:rsid w:val="3BC74370"/>
    <w:rsid w:val="3BEB57F0"/>
    <w:rsid w:val="3C263F3D"/>
    <w:rsid w:val="3C7916B4"/>
    <w:rsid w:val="3CB459C9"/>
    <w:rsid w:val="3CD25B3D"/>
    <w:rsid w:val="3D0A5E7D"/>
    <w:rsid w:val="3D350E98"/>
    <w:rsid w:val="3DEB25E2"/>
    <w:rsid w:val="3E322758"/>
    <w:rsid w:val="3E7850AB"/>
    <w:rsid w:val="3ECD75DF"/>
    <w:rsid w:val="3F4A541A"/>
    <w:rsid w:val="3FBA58EB"/>
    <w:rsid w:val="3FED00A7"/>
    <w:rsid w:val="401F311B"/>
    <w:rsid w:val="405C3D02"/>
    <w:rsid w:val="40BE1148"/>
    <w:rsid w:val="422E542C"/>
    <w:rsid w:val="425B2511"/>
    <w:rsid w:val="42A637B4"/>
    <w:rsid w:val="434660D0"/>
    <w:rsid w:val="440073E5"/>
    <w:rsid w:val="4431133A"/>
    <w:rsid w:val="456672DC"/>
    <w:rsid w:val="4575004E"/>
    <w:rsid w:val="457B4715"/>
    <w:rsid w:val="45BD7EF6"/>
    <w:rsid w:val="45E63F63"/>
    <w:rsid w:val="469965DF"/>
    <w:rsid w:val="46E17929"/>
    <w:rsid w:val="47C611F1"/>
    <w:rsid w:val="48605FB4"/>
    <w:rsid w:val="48E83724"/>
    <w:rsid w:val="499058B9"/>
    <w:rsid w:val="49FF577F"/>
    <w:rsid w:val="4A164FC6"/>
    <w:rsid w:val="4A191E04"/>
    <w:rsid w:val="4A7D69AB"/>
    <w:rsid w:val="4A937376"/>
    <w:rsid w:val="4AC5638E"/>
    <w:rsid w:val="4BC844E4"/>
    <w:rsid w:val="4CF400BB"/>
    <w:rsid w:val="4D40298C"/>
    <w:rsid w:val="4D6E4698"/>
    <w:rsid w:val="4DB24FC1"/>
    <w:rsid w:val="4E8548FC"/>
    <w:rsid w:val="4EC90D3E"/>
    <w:rsid w:val="4ED86330"/>
    <w:rsid w:val="4EEF295D"/>
    <w:rsid w:val="4F3F5187"/>
    <w:rsid w:val="4F792F65"/>
    <w:rsid w:val="4FE612A7"/>
    <w:rsid w:val="511B3EBE"/>
    <w:rsid w:val="51322546"/>
    <w:rsid w:val="51482C9B"/>
    <w:rsid w:val="520F2FBE"/>
    <w:rsid w:val="522D2330"/>
    <w:rsid w:val="52ED035A"/>
    <w:rsid w:val="52F421A7"/>
    <w:rsid w:val="5322696F"/>
    <w:rsid w:val="536F235B"/>
    <w:rsid w:val="5444354A"/>
    <w:rsid w:val="548A000A"/>
    <w:rsid w:val="54957FF7"/>
    <w:rsid w:val="550C1056"/>
    <w:rsid w:val="561F5D04"/>
    <w:rsid w:val="56C20F2D"/>
    <w:rsid w:val="57477B2B"/>
    <w:rsid w:val="574F0046"/>
    <w:rsid w:val="57C86EED"/>
    <w:rsid w:val="57E564A0"/>
    <w:rsid w:val="57F32752"/>
    <w:rsid w:val="583D5903"/>
    <w:rsid w:val="58F11BFD"/>
    <w:rsid w:val="593E1A2F"/>
    <w:rsid w:val="596D221D"/>
    <w:rsid w:val="598409DC"/>
    <w:rsid w:val="59BC25A2"/>
    <w:rsid w:val="59D37CF1"/>
    <w:rsid w:val="5A0B3E07"/>
    <w:rsid w:val="5A10433E"/>
    <w:rsid w:val="5AA747AA"/>
    <w:rsid w:val="5ADF6442"/>
    <w:rsid w:val="5B1146F6"/>
    <w:rsid w:val="5B1D7FDB"/>
    <w:rsid w:val="5B95287A"/>
    <w:rsid w:val="5BD5183B"/>
    <w:rsid w:val="5C524815"/>
    <w:rsid w:val="5CDA0CDF"/>
    <w:rsid w:val="5D396783"/>
    <w:rsid w:val="5D481133"/>
    <w:rsid w:val="5D4F4FA5"/>
    <w:rsid w:val="5DA1750E"/>
    <w:rsid w:val="5E074C4D"/>
    <w:rsid w:val="5E583446"/>
    <w:rsid w:val="5EB1616D"/>
    <w:rsid w:val="5FA05D36"/>
    <w:rsid w:val="60F765D6"/>
    <w:rsid w:val="61583AE8"/>
    <w:rsid w:val="62134014"/>
    <w:rsid w:val="624A6D8F"/>
    <w:rsid w:val="62977883"/>
    <w:rsid w:val="62A85CDD"/>
    <w:rsid w:val="62CC2A90"/>
    <w:rsid w:val="62E35C5C"/>
    <w:rsid w:val="632A666E"/>
    <w:rsid w:val="6336440C"/>
    <w:rsid w:val="643A1B9E"/>
    <w:rsid w:val="64546A26"/>
    <w:rsid w:val="65D24928"/>
    <w:rsid w:val="65E83D26"/>
    <w:rsid w:val="65FC519A"/>
    <w:rsid w:val="660E66F4"/>
    <w:rsid w:val="66386A74"/>
    <w:rsid w:val="66585984"/>
    <w:rsid w:val="66B1224E"/>
    <w:rsid w:val="670D79CE"/>
    <w:rsid w:val="67392F67"/>
    <w:rsid w:val="673B1F5E"/>
    <w:rsid w:val="677F4A59"/>
    <w:rsid w:val="685925FD"/>
    <w:rsid w:val="688245A4"/>
    <w:rsid w:val="68E036D6"/>
    <w:rsid w:val="692F2AE9"/>
    <w:rsid w:val="69CE2E46"/>
    <w:rsid w:val="69E76564"/>
    <w:rsid w:val="69EC46FC"/>
    <w:rsid w:val="69EF1903"/>
    <w:rsid w:val="6A636C96"/>
    <w:rsid w:val="6ABE21AD"/>
    <w:rsid w:val="6B776B5F"/>
    <w:rsid w:val="6B787FB3"/>
    <w:rsid w:val="6B96184C"/>
    <w:rsid w:val="6B9A5005"/>
    <w:rsid w:val="6C302921"/>
    <w:rsid w:val="6CED62AE"/>
    <w:rsid w:val="6CF25E26"/>
    <w:rsid w:val="6D314D7D"/>
    <w:rsid w:val="6D3D627E"/>
    <w:rsid w:val="6F6A71BB"/>
    <w:rsid w:val="6F850583"/>
    <w:rsid w:val="6FBC3B21"/>
    <w:rsid w:val="6FF33E1A"/>
    <w:rsid w:val="702F5C21"/>
    <w:rsid w:val="703F0DE2"/>
    <w:rsid w:val="707F5EAA"/>
    <w:rsid w:val="70A0219C"/>
    <w:rsid w:val="70AD2231"/>
    <w:rsid w:val="710E6F5D"/>
    <w:rsid w:val="71252D0C"/>
    <w:rsid w:val="71CB3F1D"/>
    <w:rsid w:val="71E26C6A"/>
    <w:rsid w:val="71E4774E"/>
    <w:rsid w:val="72AC7558"/>
    <w:rsid w:val="72BD20D2"/>
    <w:rsid w:val="730A11F0"/>
    <w:rsid w:val="732E19FC"/>
    <w:rsid w:val="738F320C"/>
    <w:rsid w:val="73952AC6"/>
    <w:rsid w:val="74410A18"/>
    <w:rsid w:val="760667A9"/>
    <w:rsid w:val="76660401"/>
    <w:rsid w:val="767505A2"/>
    <w:rsid w:val="76B624F7"/>
    <w:rsid w:val="770C4A8E"/>
    <w:rsid w:val="77684BEC"/>
    <w:rsid w:val="781264F1"/>
    <w:rsid w:val="78B90391"/>
    <w:rsid w:val="791D1490"/>
    <w:rsid w:val="793D6147"/>
    <w:rsid w:val="79547B6C"/>
    <w:rsid w:val="795A63AB"/>
    <w:rsid w:val="796B5880"/>
    <w:rsid w:val="799431EE"/>
    <w:rsid w:val="79B22731"/>
    <w:rsid w:val="79EE69A0"/>
    <w:rsid w:val="7A375F45"/>
    <w:rsid w:val="7A8377CB"/>
    <w:rsid w:val="7A851190"/>
    <w:rsid w:val="7AB93CAD"/>
    <w:rsid w:val="7AD51802"/>
    <w:rsid w:val="7B1D620C"/>
    <w:rsid w:val="7B215D72"/>
    <w:rsid w:val="7B625890"/>
    <w:rsid w:val="7BB22C87"/>
    <w:rsid w:val="7C4F29A4"/>
    <w:rsid w:val="7C5E0BB5"/>
    <w:rsid w:val="7C996C5E"/>
    <w:rsid w:val="7CC80EC9"/>
    <w:rsid w:val="7D3149F1"/>
    <w:rsid w:val="7D5831A8"/>
    <w:rsid w:val="7D920E34"/>
    <w:rsid w:val="7DAE2B75"/>
    <w:rsid w:val="7DDC42F1"/>
    <w:rsid w:val="7DF00C43"/>
    <w:rsid w:val="7E3A378B"/>
    <w:rsid w:val="7E5343A3"/>
    <w:rsid w:val="7E5366E5"/>
    <w:rsid w:val="7E64299E"/>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link w:val="360"/>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表段落2"/>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link w:val="31"/>
    <w:qFormat/>
    <w:uiPriority w:val="0"/>
    <w:rPr>
      <w:sz w:val="18"/>
      <w:szCs w:val="18"/>
    </w:rPr>
  </w:style>
  <w:style w:type="character" w:customStyle="1" w:styleId="217">
    <w:name w:val="页脚 Char2"/>
    <w:link w:val="30"/>
    <w:qFormat/>
    <w:uiPriority w:val="0"/>
    <w:rPr>
      <w:sz w:val="18"/>
      <w:szCs w:val="18"/>
    </w:rPr>
  </w:style>
  <w:style w:type="character" w:customStyle="1" w:styleId="218">
    <w:name w:val="标题 1 Char1"/>
    <w:link w:val="3"/>
    <w:qFormat/>
    <w:uiPriority w:val="0"/>
    <w:rPr>
      <w:rFonts w:ascii="Times New Roman" w:hAnsi="Times New Roman" w:eastAsia="宋体" w:cs="Times New Roman"/>
      <w:b/>
      <w:bCs/>
      <w:kern w:val="0"/>
      <w:sz w:val="24"/>
      <w:szCs w:val="20"/>
    </w:rPr>
  </w:style>
  <w:style w:type="character" w:customStyle="1" w:styleId="219">
    <w:name w:val="标题 2 Char1"/>
    <w:link w:val="4"/>
    <w:qFormat/>
    <w:uiPriority w:val="0"/>
    <w:rPr>
      <w:rFonts w:ascii="Arial" w:hAnsi="Arial" w:eastAsia="宋体" w:cs="Times New Roman"/>
      <w:b/>
      <w:bCs/>
      <w:kern w:val="0"/>
      <w:sz w:val="24"/>
      <w:szCs w:val="32"/>
    </w:rPr>
  </w:style>
  <w:style w:type="character" w:customStyle="1" w:styleId="220">
    <w:name w:val="标题 3 Char1"/>
    <w:link w:val="5"/>
    <w:qFormat/>
    <w:uiPriority w:val="0"/>
    <w:rPr>
      <w:rFonts w:ascii="Times New Roman" w:hAnsi="Times New Roman" w:eastAsia="宋体" w:cs="Times New Roman"/>
      <w:b/>
      <w:bCs/>
      <w:kern w:val="0"/>
      <w:sz w:val="32"/>
      <w:szCs w:val="32"/>
    </w:rPr>
  </w:style>
  <w:style w:type="character" w:customStyle="1" w:styleId="221">
    <w:name w:val="标题 4 Char1"/>
    <w:link w:val="6"/>
    <w:qFormat/>
    <w:uiPriority w:val="0"/>
    <w:rPr>
      <w:rFonts w:ascii="Arial" w:hAnsi="Arial" w:eastAsia="黑体" w:cs="Times New Roman"/>
      <w:b/>
      <w:bCs/>
      <w:kern w:val="0"/>
      <w:sz w:val="28"/>
      <w:szCs w:val="28"/>
    </w:rPr>
  </w:style>
  <w:style w:type="character" w:customStyle="1" w:styleId="222">
    <w:name w:val="标题 5 Char1"/>
    <w:link w:val="7"/>
    <w:qFormat/>
    <w:uiPriority w:val="0"/>
    <w:rPr>
      <w:rFonts w:ascii="Times New Roman" w:hAnsi="Times New Roman" w:eastAsia="宋体" w:cs="Times New Roman"/>
      <w:b/>
      <w:bCs/>
      <w:kern w:val="0"/>
      <w:sz w:val="28"/>
      <w:szCs w:val="28"/>
    </w:rPr>
  </w:style>
  <w:style w:type="character" w:customStyle="1" w:styleId="223">
    <w:name w:val="标题 6 Char1"/>
    <w:link w:val="8"/>
    <w:qFormat/>
    <w:uiPriority w:val="0"/>
    <w:rPr>
      <w:rFonts w:ascii="Arial" w:hAnsi="Arial" w:eastAsia="黑体" w:cs="Times New Roman"/>
      <w:b/>
      <w:bCs/>
      <w:kern w:val="0"/>
      <w:sz w:val="24"/>
      <w:szCs w:val="24"/>
    </w:rPr>
  </w:style>
  <w:style w:type="character" w:customStyle="1" w:styleId="224">
    <w:name w:val="标题 7 Char1"/>
    <w:link w:val="9"/>
    <w:qFormat/>
    <w:uiPriority w:val="0"/>
    <w:rPr>
      <w:rFonts w:ascii="Times New Roman" w:hAnsi="Times New Roman" w:eastAsia="宋体" w:cs="Times New Roman"/>
      <w:b/>
      <w:bCs/>
      <w:kern w:val="0"/>
      <w:sz w:val="24"/>
      <w:szCs w:val="24"/>
    </w:rPr>
  </w:style>
  <w:style w:type="character" w:customStyle="1" w:styleId="225">
    <w:name w:val="标题 8 Char1"/>
    <w:link w:val="10"/>
    <w:qFormat/>
    <w:uiPriority w:val="0"/>
    <w:rPr>
      <w:rFonts w:ascii="Arial" w:hAnsi="Arial" w:eastAsia="黑体" w:cs="Times New Roman"/>
      <w:kern w:val="0"/>
      <w:sz w:val="24"/>
      <w:szCs w:val="24"/>
    </w:rPr>
  </w:style>
  <w:style w:type="character" w:customStyle="1" w:styleId="226">
    <w:name w:val="标题 9 Char1"/>
    <w:link w:val="11"/>
    <w:qFormat/>
    <w:uiPriority w:val="0"/>
    <w:rPr>
      <w:rFonts w:ascii="Arial" w:hAnsi="Arial" w:eastAsia="黑体" w:cs="Times New Roman"/>
      <w:kern w:val="0"/>
      <w:sz w:val="20"/>
      <w:szCs w:val="21"/>
    </w:rPr>
  </w:style>
  <w:style w:type="character" w:customStyle="1" w:styleId="227">
    <w:name w:val="正文文本 2 Char"/>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link w:val="43"/>
    <w:qFormat/>
    <w:uiPriority w:val="0"/>
    <w:rPr>
      <w:rFonts w:ascii="Cambria" w:hAnsi="Cambria" w:eastAsia="宋体" w:cs="Times New Roman"/>
      <w:b/>
      <w:sz w:val="32"/>
      <w:szCs w:val="24"/>
    </w:rPr>
  </w:style>
  <w:style w:type="character" w:customStyle="1" w:styleId="255">
    <w:name w:val="正文文本缩进 2 Char"/>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Char"/>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link w:val="40"/>
    <w:qFormat/>
    <w:uiPriority w:val="0"/>
    <w:rPr>
      <w:rFonts w:ascii="Arial" w:hAnsi="Arial" w:eastAsia="宋体" w:cs="Arial"/>
      <w:kern w:val="0"/>
      <w:sz w:val="24"/>
      <w:szCs w:val="24"/>
    </w:rPr>
  </w:style>
  <w:style w:type="character" w:customStyle="1" w:styleId="268">
    <w:name w:val="称呼 Char"/>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Char"/>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首行缩进 Char"/>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character" w:customStyle="1" w:styleId="357">
    <w:name w:val="页脚 Char"/>
    <w:qFormat/>
    <w:uiPriority w:val="99"/>
    <w:rPr>
      <w:kern w:val="2"/>
      <w:sz w:val="18"/>
      <w:szCs w:val="18"/>
    </w:rPr>
  </w:style>
  <w:style w:type="paragraph" w:customStyle="1" w:styleId="358">
    <w:name w:val="标题 22"/>
    <w:basedOn w:val="1"/>
    <w:next w:val="359"/>
    <w:qFormat/>
    <w:uiPriority w:val="0"/>
    <w:pPr>
      <w:spacing w:before="240" w:line="300" w:lineRule="auto"/>
      <w:outlineLvl w:val="1"/>
    </w:pPr>
    <w:rPr>
      <w:rFonts w:ascii="宋体" w:hAnsi="宋体"/>
      <w:b/>
      <w:snapToGrid w:val="0"/>
      <w:kern w:val="0"/>
      <w:sz w:val="28"/>
    </w:rPr>
  </w:style>
  <w:style w:type="paragraph" w:customStyle="1" w:styleId="359">
    <w:name w:val="正文缩进4"/>
    <w:basedOn w:val="1"/>
    <w:qFormat/>
    <w:uiPriority w:val="0"/>
    <w:pPr>
      <w:tabs>
        <w:tab w:val="left" w:pos="720"/>
      </w:tabs>
      <w:ind w:left="624" w:hanging="624"/>
      <w:textAlignment w:val="baseline"/>
    </w:pPr>
    <w:rPr>
      <w:rFonts w:hint="eastAsia" w:ascii="宋体"/>
    </w:rPr>
  </w:style>
  <w:style w:type="character" w:customStyle="1" w:styleId="360">
    <w:name w:val="目录 1 Char"/>
    <w:link w:val="32"/>
    <w:qFormat/>
    <w:uiPriority w:val="3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297F3-EEA4-44F6-9639-5EC3C1A157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3767</Words>
  <Characters>21474</Characters>
  <Lines>178</Lines>
  <Paragraphs>50</Paragraphs>
  <TotalTime>7</TotalTime>
  <ScaleCrop>false</ScaleCrop>
  <LinksUpToDate>false</LinksUpToDate>
  <CharactersWithSpaces>25191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2019-12-20T07:17:00Z</dcterms:created>
  <dc:creator>李 毅</dc:creator>
  <cp:lastModifiedBy>Administrator</cp:lastModifiedBy>
  <cp:lastPrinted>2019-12-23T07:05:00Z</cp:lastPrinted>
  <dcterms:modified xsi:type="dcterms:W3CDTF">2019-12-24T01:51:47Z</dcterms:modified>
  <dc:title>长沙市轨道交通运营有限公司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