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hAnsi="宋体"/>
          <w:b/>
        </w:rPr>
      </w:pPr>
    </w:p>
    <w:p>
      <w:pPr>
        <w:pStyle w:val="25"/>
        <w:spacing w:line="360" w:lineRule="auto"/>
        <w:ind w:firstLine="1044" w:firstLineChars="200"/>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ind w:firstLine="1044" w:firstLineChars="200"/>
        <w:jc w:val="center"/>
        <w:rPr>
          <w:rFonts w:hAnsi="宋体"/>
          <w:b/>
          <w:sz w:val="52"/>
          <w:szCs w:val="52"/>
        </w:rPr>
      </w:pPr>
      <w:r>
        <w:rPr>
          <w:rFonts w:hint="eastAsia" w:hAnsi="宋体"/>
          <w:b/>
          <w:sz w:val="52"/>
          <w:szCs w:val="52"/>
        </w:rPr>
        <w:t>自主竞争性谈判文件</w:t>
      </w:r>
    </w:p>
    <w:p>
      <w:pPr>
        <w:pStyle w:val="25"/>
        <w:adjustRightInd w:val="0"/>
        <w:snapToGrid w:val="0"/>
        <w:spacing w:before="161"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9" w:hanging="2249" w:hangingChars="7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长沙市轨道交通2号线运营期2019-2021年度无线通信系统委外维保服务项目</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采购单位名称：</w:t>
      </w:r>
      <w:r>
        <w:rPr>
          <w:rFonts w:ascii="宋体" w:hAnsi="宋体" w:cs="Courier New"/>
          <w:b/>
          <w:sz w:val="32"/>
          <w:szCs w:val="21"/>
          <w:u w:val="single"/>
        </w:rPr>
        <w:t>长沙市轨道交通运营有限公司</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谈判项目编号：</w:t>
      </w:r>
      <w:r>
        <w:rPr>
          <w:rFonts w:hint="eastAsia" w:ascii="宋体" w:hAnsi="宋体" w:cs="Courier New"/>
          <w:b/>
          <w:sz w:val="32"/>
          <w:szCs w:val="21"/>
          <w:u w:val="single"/>
        </w:rPr>
        <w:t>长轨运服采【2019】1号</w:t>
      </w: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ind w:firstLine="643" w:firstLineChars="200"/>
        <w:jc w:val="center"/>
        <w:rPr>
          <w:rFonts w:hAnsi="宋体"/>
          <w:b/>
          <w:sz w:val="32"/>
        </w:rPr>
      </w:pPr>
      <w:r>
        <w:rPr>
          <w:rFonts w:hint="eastAsia" w:hAnsi="宋体"/>
          <w:b/>
          <w:sz w:val="32"/>
          <w:u w:val="single"/>
        </w:rPr>
        <w:t>二〇一九</w:t>
      </w:r>
      <w:r>
        <w:rPr>
          <w:rFonts w:hint="eastAsia" w:hAnsi="宋体"/>
          <w:b/>
          <w:sz w:val="32"/>
        </w:rPr>
        <w:t>年</w:t>
      </w:r>
      <w:r>
        <w:rPr>
          <w:rFonts w:hint="eastAsia" w:hAnsi="宋体"/>
          <w:b/>
          <w:sz w:val="32"/>
          <w:u w:val="single"/>
        </w:rPr>
        <w:t>十</w:t>
      </w:r>
      <w:r>
        <w:rPr>
          <w:rFonts w:hint="eastAsia" w:hAnsi="宋体"/>
          <w:b/>
          <w:sz w:val="32"/>
          <w:u w:val="single"/>
          <w:lang w:eastAsia="zh-CN"/>
        </w:rPr>
        <w:t>一</w:t>
      </w:r>
      <w:r>
        <w:rPr>
          <w:rFonts w:hint="eastAsia" w:hAnsi="宋体"/>
          <w:b/>
          <w:sz w:val="32"/>
        </w:rPr>
        <w:t>月</w:t>
      </w:r>
    </w:p>
    <w:p>
      <w:pPr>
        <w:pStyle w:val="25"/>
        <w:adjustRightInd w:val="0"/>
        <w:snapToGrid w:val="0"/>
        <w:spacing w:line="360" w:lineRule="auto"/>
        <w:ind w:firstLine="643" w:firstLineChars="200"/>
        <w:jc w:val="center"/>
        <w:rPr>
          <w:rFonts w:hAnsi="宋体"/>
          <w:b/>
          <w:sz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32"/>
        <w:tabs>
          <w:tab w:val="right" w:leader="dot" w:pos="9972"/>
        </w:tabs>
        <w:spacing w:line="360" w:lineRule="auto"/>
        <w:ind w:firstLine="420" w:firstLineChars="200"/>
        <w:jc w:val="center"/>
      </w:pPr>
    </w:p>
    <w:p>
      <w:pPr>
        <w:pStyle w:val="32"/>
        <w:tabs>
          <w:tab w:val="right" w:leader="dot" w:pos="9972"/>
        </w:tabs>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"_Toc18373" </w:instrText>
      </w:r>
      <w:r>
        <w:fldChar w:fldCharType="separate"/>
      </w:r>
      <w:r>
        <w:rPr>
          <w:rFonts w:hint="eastAsia" w:ascii="宋体" w:hAnsi="宋体" w:cs="宋体"/>
        </w:rPr>
        <w:t>第一章  谈判邀请公告</w:t>
      </w:r>
      <w:r>
        <w:rPr>
          <w:rFonts w:hint="eastAsia" w:ascii="宋体" w:hAnsi="宋体" w:cs="宋体"/>
        </w:rPr>
        <w:tab/>
      </w:r>
      <w:r>
        <w:rPr>
          <w:rFonts w:hint="eastAsia" w:ascii="宋体" w:hAnsi="宋体" w:cs="宋体"/>
          <w:lang w:val="en-US" w:eastAsia="zh-CN"/>
        </w:rPr>
        <w:t>1</w:t>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"_Toc5436"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972"/>
        </w:tabs>
        <w:spacing w:line="360" w:lineRule="auto"/>
        <w:ind w:left="0" w:leftChars="0" w:firstLine="840" w:firstLineChars="400"/>
        <w:rPr>
          <w:rFonts w:ascii="宋体" w:hAnsi="宋体" w:cs="宋体"/>
        </w:rPr>
      </w:pPr>
      <w:r>
        <w:fldChar w:fldCharType="begin"/>
      </w:r>
      <w:r>
        <w:instrText xml:space="preserve"> HYPERLINK \l "_Toc22770" </w:instrText>
      </w:r>
      <w:r>
        <w:fldChar w:fldCharType="separate"/>
      </w:r>
      <w:r>
        <w:rPr>
          <w:rFonts w:hint="eastAsia" w:ascii="宋体" w:hAnsi="宋体" w:cs="宋体"/>
        </w:rPr>
        <w:t>谈判须知前附表</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972"/>
        </w:tabs>
        <w:spacing w:line="360" w:lineRule="auto"/>
        <w:ind w:left="0" w:leftChars="0" w:firstLine="840" w:firstLineChars="400"/>
        <w:rPr>
          <w:rFonts w:ascii="宋体" w:hAnsi="宋体" w:cs="宋体"/>
        </w:rPr>
      </w:pPr>
      <w:r>
        <w:fldChar w:fldCharType="begin"/>
      </w:r>
      <w:r>
        <w:instrText xml:space="preserve"> HYPERLINK \l "_Toc30385" </w:instrText>
      </w:r>
      <w:r>
        <w:fldChar w:fldCharType="separate"/>
      </w:r>
      <w:r>
        <w:rPr>
          <w:rFonts w:hint="eastAsia" w:ascii="宋体" w:hAnsi="宋体" w:cs="宋体"/>
          <w:szCs w:val="30"/>
        </w:rPr>
        <w:t>谈判须知正文</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"_Toc23354" </w:instrText>
      </w:r>
      <w:r>
        <w:fldChar w:fldCharType="separate"/>
      </w:r>
      <w:r>
        <w:rPr>
          <w:rFonts w:hint="eastAsia" w:ascii="宋体" w:hAnsi="宋体" w:cs="宋体"/>
        </w:rPr>
        <w:t>一、说明</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"_Toc19198" </w:instrText>
      </w:r>
      <w:r>
        <w:fldChar w:fldCharType="separate"/>
      </w:r>
      <w:r>
        <w:rPr>
          <w:rFonts w:hint="eastAsia" w:ascii="宋体" w:hAnsi="宋体" w:cs="宋体"/>
        </w:rPr>
        <w:t>二、谈判文件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"_Toc24457" </w:instrText>
      </w:r>
      <w:r>
        <w:fldChar w:fldCharType="separate"/>
      </w:r>
      <w:r>
        <w:rPr>
          <w:rFonts w:hint="eastAsia" w:ascii="宋体" w:hAnsi="宋体" w:cs="宋体"/>
        </w:rPr>
        <w:t>三、响应文件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"_Toc664" </w:instrText>
      </w:r>
      <w:r>
        <w:fldChar w:fldCharType="separate"/>
      </w:r>
      <w:r>
        <w:rPr>
          <w:rFonts w:hint="eastAsia" w:ascii="宋体" w:hAnsi="宋体" w:cs="宋体"/>
        </w:rPr>
        <w:t>四、响应文件的递交</w:t>
      </w:r>
      <w:r>
        <w:rPr>
          <w:rFonts w:hint="eastAsia" w:ascii="宋体" w:hAnsi="宋体" w:cs="宋体"/>
        </w:rPr>
        <w:tab/>
      </w:r>
      <w:r>
        <w:rPr>
          <w:rFonts w:hint="eastAsia" w:ascii="宋体" w:hAnsi="宋体" w:cs="宋体"/>
        </w:rPr>
        <w:t>9</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"_Toc4809" </w:instrText>
      </w:r>
      <w:r>
        <w:fldChar w:fldCharType="separate"/>
      </w:r>
      <w:r>
        <w:rPr>
          <w:rFonts w:hint="eastAsia" w:ascii="宋体" w:hAnsi="宋体" w:cs="宋体"/>
        </w:rPr>
        <w:t>五、响应文件的评审</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"_Toc25543" </w:instrText>
      </w:r>
      <w:r>
        <w:fldChar w:fldCharType="separate"/>
      </w:r>
      <w:r>
        <w:rPr>
          <w:rFonts w:hint="eastAsia" w:ascii="宋体" w:hAnsi="宋体" w:cs="宋体"/>
        </w:rPr>
        <w:t>六、响应文件的澄清、说明及补正</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"_Toc25353" </w:instrText>
      </w:r>
      <w:r>
        <w:fldChar w:fldCharType="separate"/>
      </w:r>
      <w:r>
        <w:rPr>
          <w:rFonts w:hint="eastAsia" w:ascii="宋体" w:hAnsi="宋体" w:cs="宋体"/>
        </w:rPr>
        <w:t>七、中选结果与授予合同</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"_Toc27069" </w:instrText>
      </w:r>
      <w:r>
        <w:fldChar w:fldCharType="separate"/>
      </w:r>
      <w:r>
        <w:rPr>
          <w:rFonts w:hint="eastAsia" w:ascii="宋体" w:hAnsi="宋体" w:cs="宋体"/>
        </w:rPr>
        <w:t>八、其他</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"_Toc30375"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_Toc30375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"_Toc8585"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_Toc8585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"_Toc19957"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_Toc19957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"_Toc27097" </w:instrText>
      </w:r>
      <w:r>
        <w:fldChar w:fldCharType="separate"/>
      </w:r>
      <w:r>
        <w:rPr>
          <w:rFonts w:hint="eastAsia" w:ascii="宋体" w:hAnsi="宋体" w:cs="宋体"/>
          <w:szCs w:val="32"/>
        </w:rPr>
        <w:t>第六章  响应文件组成</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5</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"_Toc27212" </w:instrText>
      </w:r>
      <w:r>
        <w:fldChar w:fldCharType="separate"/>
      </w:r>
      <w:r>
        <w:rPr>
          <w:rFonts w:hint="eastAsia" w:ascii="宋体" w:hAnsi="宋体" w:cs="宋体"/>
        </w:rPr>
        <w:t>一、谈判承诺书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7</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"_Toc31855" </w:instrText>
      </w:r>
      <w:r>
        <w:fldChar w:fldCharType="separate"/>
      </w:r>
      <w:r>
        <w:rPr>
          <w:rFonts w:hint="eastAsia" w:ascii="宋体" w:hAnsi="宋体" w:cs="宋体"/>
        </w:rPr>
        <w:t>二、法定代表人身份证明书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_Toc31855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"_Toc26247" </w:instrText>
      </w:r>
      <w:r>
        <w:fldChar w:fldCharType="separate"/>
      </w:r>
      <w:r>
        <w:rPr>
          <w:rFonts w:hint="eastAsia" w:ascii="宋体" w:hAnsi="宋体" w:cs="宋体"/>
        </w:rPr>
        <w:t>三、授权委托书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9</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"_Toc30184" </w:instrText>
      </w:r>
      <w:r>
        <w:fldChar w:fldCharType="separate"/>
      </w:r>
      <w:r>
        <w:rPr>
          <w:rFonts w:hint="eastAsia" w:ascii="宋体" w:hAnsi="宋体" w:cs="宋体"/>
        </w:rPr>
        <w:t>四、谈判单位资格证明文件</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0</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"_Toc4407" </w:instrText>
      </w:r>
      <w:r>
        <w:fldChar w:fldCharType="separate"/>
      </w:r>
      <w:r>
        <w:rPr>
          <w:rFonts w:hint="eastAsia" w:ascii="宋体" w:hAnsi="宋体" w:cs="宋体"/>
        </w:rPr>
        <w:t>五、</w:t>
      </w:r>
      <w:r>
        <w:rPr>
          <w:rFonts w:hint="eastAsia" w:ascii="宋体" w:hAnsi="宋体" w:cs="宋体"/>
          <w:bCs/>
        </w:rPr>
        <w:t>服务方案（如有）</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1</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"_Toc2978" </w:instrText>
      </w:r>
      <w:r>
        <w:fldChar w:fldCharType="separate"/>
      </w:r>
      <w:r>
        <w:rPr>
          <w:rFonts w:hint="eastAsia" w:ascii="宋体" w:hAnsi="宋体" w:cs="宋体"/>
        </w:rPr>
        <w:t>六、报价一览表</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2</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"_Toc8265" </w:instrText>
      </w:r>
      <w:r>
        <w:fldChar w:fldCharType="separate"/>
      </w:r>
      <w:r>
        <w:rPr>
          <w:rFonts w:hint="eastAsia" w:ascii="宋体" w:hAnsi="宋体" w:cs="宋体"/>
          <w:lang w:val="zh-CN"/>
        </w:rPr>
        <w:t>七</w:t>
      </w:r>
      <w:r>
        <w:rPr>
          <w:rFonts w:hint="eastAsia" w:ascii="宋体" w:hAnsi="宋体" w:cs="宋体"/>
        </w:rPr>
        <w:t>、其他资料(如有)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_Toc8265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spacing w:line="360" w:lineRule="auto"/>
        <w:ind w:firstLine="420" w:firstLineChars="200"/>
        <w:rPr>
          <w:rFonts w:ascii="黑体" w:hAnsi="宋体" w:eastAsia="黑体"/>
          <w:b/>
          <w:sz w:val="32"/>
          <w:szCs w:val="32"/>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ascii="宋体" w:hAnsi="宋体" w:cs="宋体"/>
          <w:bCs/>
          <w:lang w:val="zh-CN"/>
        </w:rPr>
        <w:fldChar w:fldCharType="end"/>
      </w:r>
    </w:p>
    <w:p>
      <w:pPr>
        <w:pStyle w:val="3"/>
        <w:keepNext w:val="0"/>
        <w:spacing w:line="360" w:lineRule="auto"/>
        <w:ind w:firstLine="643" w:firstLineChars="200"/>
        <w:rPr>
          <w:rFonts w:ascii="宋体" w:hAnsi="宋体" w:cs="宋体"/>
          <w:sz w:val="32"/>
          <w:szCs w:val="32"/>
        </w:rPr>
      </w:pPr>
      <w:bookmarkStart w:id="0" w:name="_Toc18373"/>
      <w:r>
        <w:rPr>
          <w:rFonts w:hint="eastAsia" w:ascii="宋体" w:hAnsi="宋体" w:cs="宋体"/>
          <w:sz w:val="32"/>
          <w:szCs w:val="32"/>
        </w:rPr>
        <w:t>第一章  谈判邀请公告</w:t>
      </w:r>
      <w:bookmarkEnd w:id="0"/>
    </w:p>
    <w:p>
      <w:pPr>
        <w:spacing w:line="360" w:lineRule="auto"/>
        <w:ind w:firstLine="420" w:firstLineChars="200"/>
        <w:jc w:val="left"/>
        <w:rPr>
          <w:rFonts w:ascii="宋体" w:hAnsi="宋体" w:cs="宋体"/>
          <w:iCs/>
          <w:u w:val="single"/>
        </w:rPr>
      </w:pPr>
      <w:r>
        <w:rPr>
          <w:rFonts w:hint="eastAsia" w:ascii="宋体" w:hAnsi="宋体" w:cs="宋体"/>
          <w:iCs/>
          <w:highlight w:val="none"/>
          <w:u w:val="single"/>
        </w:rPr>
        <w:t>湖南明诚项目管理有限公司</w:t>
      </w:r>
      <w:r>
        <w:rPr>
          <w:rFonts w:hint="eastAsia" w:ascii="宋体" w:hAnsi="宋体" w:cs="宋体"/>
          <w:highlight w:val="none"/>
        </w:rPr>
        <w:t>受</w:t>
      </w:r>
      <w:r>
        <w:rPr>
          <w:highlight w:val="none"/>
          <w:u w:val="single"/>
        </w:rPr>
        <w:t>长沙市轨道交通运营有限公司</w:t>
      </w:r>
      <w:r>
        <w:rPr>
          <w:rFonts w:hint="eastAsia" w:ascii="宋体" w:hAnsi="宋体" w:cs="宋体"/>
          <w:highlight w:val="none"/>
        </w:rPr>
        <w:t>的委托，</w:t>
      </w:r>
      <w:r>
        <w:rPr>
          <w:rFonts w:hint="eastAsia" w:ascii="宋体" w:hAnsi="宋体" w:cs="宋体"/>
          <w:iCs/>
          <w:highlight w:val="none"/>
        </w:rPr>
        <w:t>对</w:t>
      </w:r>
      <w:r>
        <w:rPr>
          <w:rFonts w:hint="eastAsia" w:ascii="宋体"/>
          <w:color w:val="000000"/>
          <w:highlight w:val="none"/>
          <w:u w:val="single"/>
        </w:rPr>
        <w:t>长沙市轨道交通2号线运营期2019-2021年度无线通信系统委外维保服务项目</w:t>
      </w:r>
      <w:r>
        <w:rPr>
          <w:rFonts w:hint="eastAsia" w:ascii="宋体" w:hAnsi="宋体" w:cs="宋体"/>
          <w:iCs/>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rPr>
      </w:pPr>
      <w:r>
        <w:rPr>
          <w:rFonts w:hint="eastAsia" w:hAnsi="宋体"/>
          <w:b/>
          <w:iCs/>
        </w:rPr>
        <w:t>一、项目概况</w:t>
      </w:r>
    </w:p>
    <w:p>
      <w:pPr>
        <w:pStyle w:val="25"/>
        <w:adjustRightInd w:val="0"/>
        <w:snapToGrid w:val="0"/>
        <w:spacing w:line="360" w:lineRule="auto"/>
        <w:ind w:firstLine="420" w:firstLineChars="200"/>
        <w:rPr>
          <w:rFonts w:hAnsi="宋体" w:cs="宋体"/>
          <w:iCs/>
          <w:highlight w:val="none"/>
        </w:rPr>
      </w:pPr>
      <w:r>
        <w:rPr>
          <w:rFonts w:hint="eastAsia" w:hAnsi="宋体" w:cs="宋体"/>
          <w:iCs/>
          <w:highlight w:val="none"/>
        </w:rPr>
        <w:t>1.项目名称：</w:t>
      </w:r>
      <w:r>
        <w:rPr>
          <w:rFonts w:hint="eastAsia"/>
          <w:color w:val="000000"/>
          <w:highlight w:val="none"/>
        </w:rPr>
        <w:t>长沙市轨道交通2号线运营期2019-2021年度无线通信系统委外维保服务项目</w:t>
      </w:r>
    </w:p>
    <w:p>
      <w:pPr>
        <w:pStyle w:val="25"/>
        <w:adjustRightInd w:val="0"/>
        <w:snapToGrid w:val="0"/>
        <w:spacing w:line="360" w:lineRule="auto"/>
        <w:ind w:firstLine="420" w:firstLineChars="200"/>
        <w:rPr>
          <w:rFonts w:hAnsi="宋体" w:cs="宋体"/>
          <w:iCs/>
        </w:rPr>
      </w:pPr>
      <w:r>
        <w:rPr>
          <w:rFonts w:hint="eastAsia" w:hAnsi="宋体" w:cs="宋体"/>
          <w:iCs/>
        </w:rPr>
        <w:t>2.</w:t>
      </w:r>
      <w:r>
        <w:rPr>
          <w:rFonts w:hint="eastAsia" w:hAnsi="宋体" w:cs="宋体"/>
          <w:iCs/>
          <w:highlight w:val="none"/>
        </w:rPr>
        <w:t>谈判</w:t>
      </w:r>
      <w:r>
        <w:rPr>
          <w:highlight w:val="none"/>
        </w:rPr>
        <w:t>最高投标限价</w:t>
      </w:r>
      <w:r>
        <w:rPr>
          <w:rFonts w:hint="eastAsia" w:hAnsi="宋体" w:cs="宋体"/>
          <w:iCs/>
        </w:rPr>
        <w:t>：</w:t>
      </w:r>
      <w:r>
        <w:rPr>
          <w:rFonts w:hint="eastAsia" w:hAnsi="宋体" w:cs="宋体"/>
          <w:iCs/>
          <w:highlight w:val="none"/>
        </w:rPr>
        <w:t>719900</w:t>
      </w:r>
      <w:r>
        <w:rPr>
          <w:rFonts w:hint="eastAsia" w:hAnsi="宋体" w:cs="宋体"/>
          <w:iCs/>
          <w:highlight w:val="none"/>
          <w:lang w:val="en-US" w:eastAsia="zh-CN"/>
        </w:rPr>
        <w:t>.00</w:t>
      </w:r>
      <w:r>
        <w:rPr>
          <w:rFonts w:hint="eastAsia" w:hAnsi="宋体" w:cs="宋体"/>
          <w:iCs/>
          <w:highlight w:val="none"/>
        </w:rPr>
        <w:t>元</w:t>
      </w:r>
    </w:p>
    <w:p>
      <w:pPr>
        <w:spacing w:line="360" w:lineRule="auto"/>
        <w:ind w:firstLine="420" w:firstLineChars="200"/>
        <w:jc w:val="left"/>
        <w:rPr>
          <w:rFonts w:ascii="宋体" w:hAnsi="宋体" w:cs="宋体"/>
          <w:iCs/>
          <w:highlight w:val="none"/>
          <w:u w:val="single"/>
        </w:rPr>
      </w:pPr>
      <w:r>
        <w:rPr>
          <w:rFonts w:hint="eastAsia" w:ascii="宋体" w:hAnsi="宋体" w:cs="宋体"/>
          <w:iCs/>
          <w:szCs w:val="21"/>
          <w:highlight w:val="none"/>
        </w:rPr>
        <w:t>3.</w:t>
      </w:r>
      <w:r>
        <w:rPr>
          <w:rFonts w:hint="eastAsia" w:ascii="宋体" w:hAnsi="宋体" w:cs="宋体"/>
          <w:iCs/>
          <w:highlight w:val="none"/>
        </w:rPr>
        <w:t>谈判内容：</w:t>
      </w:r>
      <w:r>
        <w:rPr>
          <w:rFonts w:hint="eastAsia" w:ascii="宋体" w:hAnsi="宋体" w:cs="宋体"/>
          <w:highlight w:val="none"/>
        </w:rPr>
        <w:t>本项目主要为长沙市轨道交通2号线无线通信系统无线交换机维护及故障处理</w:t>
      </w:r>
      <w:r>
        <w:rPr>
          <w:rFonts w:hint="eastAsia" w:ascii="宋体" w:hAnsi="宋体" w:cs="宋体"/>
          <w:iCs/>
          <w:highlight w:val="none"/>
        </w:rPr>
        <w:t>。（具体详见用户需求书）</w:t>
      </w:r>
    </w:p>
    <w:p>
      <w:pPr>
        <w:spacing w:line="360" w:lineRule="auto"/>
        <w:ind w:firstLine="420" w:firstLineChars="200"/>
        <w:jc w:val="left"/>
        <w:rPr>
          <w:rFonts w:ascii="宋体" w:hAnsi="宋体" w:cs="宋体"/>
          <w:iCs/>
          <w:u w:val="single"/>
        </w:rPr>
      </w:pPr>
      <w:r>
        <w:rPr>
          <w:rFonts w:hint="eastAsia" w:ascii="宋体" w:hAnsi="宋体" w:cs="宋体"/>
          <w:iCs/>
        </w:rPr>
        <w:t>4</w:t>
      </w:r>
      <w:r>
        <w:rPr>
          <w:rFonts w:hint="eastAsia" w:ascii="宋体" w:hAnsi="宋体" w:cs="宋体"/>
          <w:iCs/>
          <w:szCs w:val="21"/>
        </w:rPr>
        <w:t>.</w:t>
      </w:r>
      <w:r>
        <w:rPr>
          <w:rFonts w:hint="eastAsia" w:ascii="宋体" w:hAnsi="宋体" w:cs="宋体"/>
          <w:iCs/>
        </w:rPr>
        <w:t>标段划分：共划分1个标段。</w:t>
      </w:r>
    </w:p>
    <w:p>
      <w:pPr>
        <w:spacing w:line="360" w:lineRule="auto"/>
        <w:ind w:firstLine="420" w:firstLineChars="200"/>
        <w:jc w:val="left"/>
        <w:rPr>
          <w:rFonts w:ascii="宋体" w:hAnsi="宋体" w:cs="宋体"/>
          <w:iCs/>
          <w:highlight w:val="none"/>
        </w:rPr>
      </w:pPr>
      <w:r>
        <w:rPr>
          <w:rFonts w:hint="eastAsia" w:ascii="宋体" w:hAnsi="宋体" w:cs="宋体"/>
          <w:iCs/>
          <w:highlight w:val="none"/>
        </w:rPr>
        <w:t>5</w:t>
      </w:r>
      <w:r>
        <w:rPr>
          <w:rFonts w:hint="eastAsia" w:ascii="宋体" w:hAnsi="宋体" w:cs="宋体"/>
          <w:iCs/>
          <w:szCs w:val="21"/>
          <w:highlight w:val="none"/>
        </w:rPr>
        <w:t>.</w:t>
      </w:r>
      <w:r>
        <w:rPr>
          <w:rFonts w:hint="eastAsia" w:ascii="宋体" w:hAnsi="宋体" w:cs="宋体"/>
          <w:iCs/>
          <w:highlight w:val="none"/>
        </w:rPr>
        <w:t>服务期限：</w:t>
      </w:r>
      <w:r>
        <w:rPr>
          <w:rFonts w:hint="eastAsia" w:ascii="宋体" w:hAnsi="宋体" w:cs="宋体"/>
          <w:highlight w:val="none"/>
        </w:rPr>
        <w:t>本项目服务期限暂定为</w:t>
      </w:r>
      <w:r>
        <w:rPr>
          <w:rFonts w:hint="eastAsia" w:ascii="宋体"/>
          <w:color w:val="000000"/>
          <w:highlight w:val="none"/>
        </w:rPr>
        <w:t>2019年11月1日至2021年10月31日（实际服务时间以供应商接到招标人发出开工令起算，总计24个月</w:t>
      </w:r>
      <w:r>
        <w:rPr>
          <w:rFonts w:hint="eastAsia" w:ascii="宋体" w:hAnsi="宋体" w:cs="宋体"/>
          <w:highlight w:val="none"/>
        </w:rPr>
        <w:t>。）</w:t>
      </w:r>
      <w:r>
        <w:rPr>
          <w:rFonts w:hint="eastAsia" w:ascii="宋体" w:hAnsi="宋体" w:cs="宋体"/>
          <w:iCs/>
          <w:highlight w:val="none"/>
        </w:rPr>
        <w:t>。</w:t>
      </w:r>
    </w:p>
    <w:p>
      <w:pPr>
        <w:pStyle w:val="2"/>
        <w:rPr>
          <w:highlight w:val="none"/>
        </w:rPr>
      </w:pPr>
      <w:r>
        <w:rPr>
          <w:rFonts w:hint="eastAsia"/>
          <w:highlight w:val="none"/>
        </w:rPr>
        <w:t>6.质保期：</w:t>
      </w:r>
      <w:r>
        <w:rPr>
          <w:rFonts w:hint="eastAsia" w:ascii="宋体" w:hAnsi="宋体" w:cs="宋体"/>
          <w:highlight w:val="none"/>
        </w:rPr>
        <w:t>90天（从设备、设备组件交付招标人之日起）。（具体详见用户需求书）。</w:t>
      </w:r>
    </w:p>
    <w:p>
      <w:pPr>
        <w:spacing w:line="360" w:lineRule="auto"/>
        <w:ind w:firstLine="420" w:firstLineChars="200"/>
        <w:jc w:val="left"/>
        <w:rPr>
          <w:rFonts w:ascii="宋体" w:hAnsi="宋体" w:cs="宋体"/>
          <w:bCs/>
          <w:highlight w:val="none"/>
          <w:u w:val="single"/>
        </w:rPr>
      </w:pPr>
      <w:r>
        <w:rPr>
          <w:rFonts w:ascii="宋体" w:hAnsi="宋体" w:cs="宋体"/>
          <w:iCs/>
          <w:highlight w:val="none"/>
        </w:rPr>
        <w:t>7</w:t>
      </w:r>
      <w:r>
        <w:rPr>
          <w:rFonts w:hint="eastAsia" w:ascii="宋体" w:hAnsi="宋体" w:cs="宋体"/>
          <w:iCs/>
          <w:szCs w:val="21"/>
          <w:highlight w:val="none"/>
        </w:rPr>
        <w:t>.</w:t>
      </w:r>
      <w:r>
        <w:rPr>
          <w:rFonts w:hint="eastAsia" w:ascii="宋体" w:hAnsi="宋体" w:cs="宋体"/>
          <w:iCs/>
          <w:highlight w:val="none"/>
        </w:rPr>
        <w:t>采购范围：</w:t>
      </w:r>
      <w:r>
        <w:rPr>
          <w:rFonts w:hint="eastAsia" w:ascii="宋体" w:hAnsi="宋体" w:cs="宋体"/>
          <w:highlight w:val="none"/>
        </w:rPr>
        <w:t>本项目主要为长沙市轨道交通2号线无线通信系统无线交换机维护及故障处理。（具体详见用户需求书）</w:t>
      </w:r>
    </w:p>
    <w:p>
      <w:pPr>
        <w:pStyle w:val="25"/>
        <w:adjustRightInd w:val="0"/>
        <w:snapToGrid w:val="0"/>
        <w:spacing w:line="360" w:lineRule="auto"/>
        <w:ind w:firstLine="422" w:firstLineChars="200"/>
        <w:rPr>
          <w:rFonts w:hAnsi="宋体"/>
          <w:b/>
          <w:iCs/>
        </w:rPr>
      </w:pPr>
      <w:r>
        <w:rPr>
          <w:rFonts w:hint="eastAsia" w:hAnsi="宋体"/>
          <w:b/>
          <w:iCs/>
        </w:rPr>
        <w:t>二、资格要求</w:t>
      </w:r>
    </w:p>
    <w:p>
      <w:pPr>
        <w:spacing w:line="360" w:lineRule="auto"/>
        <w:ind w:firstLine="525" w:firstLineChars="250"/>
        <w:rPr>
          <w:rFonts w:hint="eastAsia" w:ascii="宋体" w:hAnsi="宋体" w:cs="宋体"/>
          <w:highlight w:val="none"/>
        </w:rPr>
      </w:pPr>
      <w:r>
        <w:rPr>
          <w:rFonts w:hint="eastAsia" w:ascii="宋体" w:hAnsi="宋体" w:cs="宋体"/>
          <w:highlight w:val="none"/>
        </w:rPr>
        <w:t>1.谈判单位须为具有独立法人资格、自主经营、独立核算的公司。</w:t>
      </w:r>
    </w:p>
    <w:p>
      <w:pPr>
        <w:spacing w:line="360" w:lineRule="auto"/>
        <w:ind w:firstLine="525" w:firstLineChars="250"/>
        <w:rPr>
          <w:rFonts w:hint="eastAsia" w:ascii="宋体" w:hAnsi="宋体" w:cs="宋体"/>
          <w:highlight w:val="none"/>
        </w:rPr>
      </w:pPr>
      <w:r>
        <w:rPr>
          <w:rFonts w:hint="eastAsia" w:ascii="宋体" w:hAnsi="宋体" w:cs="宋体"/>
          <w:highlight w:val="none"/>
        </w:rPr>
        <w:t>2.谈判单位在本项目响应文件递交截止之日前60个月内须具有不少于3个TETRA系统的服务、维保类似项目业绩。</w:t>
      </w:r>
      <w:r>
        <w:rPr>
          <w:rFonts w:hint="eastAsia" w:ascii="宋体" w:hAnsi="宋体" w:cs="宋体"/>
          <w:highlight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525" w:firstLineChars="250"/>
        <w:rPr>
          <w:rFonts w:ascii="宋体" w:hAnsi="宋体" w:cs="宋体"/>
          <w:highlight w:val="none"/>
        </w:rPr>
      </w:pPr>
      <w:r>
        <w:rPr>
          <w:rFonts w:hint="eastAsia" w:ascii="宋体" w:hAnsi="宋体" w:cs="宋体"/>
          <w:highlight w:val="none"/>
        </w:rPr>
        <w:t>3.本项目谈判不接受联合体形式参与。</w:t>
      </w:r>
    </w:p>
    <w:p>
      <w:pPr>
        <w:spacing w:line="360" w:lineRule="auto"/>
        <w:ind w:firstLine="525" w:firstLineChars="250"/>
        <w:rPr>
          <w:rFonts w:ascii="宋体" w:hAnsi="宋体" w:cs="宋体"/>
          <w:highlight w:val="none"/>
        </w:rPr>
      </w:pPr>
      <w:r>
        <w:rPr>
          <w:rFonts w:hint="eastAsia" w:ascii="宋体" w:hAnsi="宋体" w:cs="宋体"/>
          <w:highlight w:val="none"/>
        </w:rPr>
        <w:t>4.被长沙市轨道交通集团函告禁止在一定期限内参与轨道公司项目投标或谈判的单位按函告内容执行。</w:t>
      </w:r>
    </w:p>
    <w:p>
      <w:pPr>
        <w:spacing w:line="360" w:lineRule="auto"/>
        <w:ind w:firstLine="424" w:firstLineChars="201"/>
        <w:rPr>
          <w:rFonts w:hAnsi="宋体"/>
          <w:b/>
          <w:bCs/>
          <w:iCs/>
        </w:rPr>
      </w:pPr>
      <w:r>
        <w:rPr>
          <w:rFonts w:hint="eastAsia" w:ascii="宋体" w:hAnsi="宋体"/>
          <w:b/>
          <w:bCs/>
          <w:szCs w:val="21"/>
        </w:rPr>
        <w:t>三、</w:t>
      </w:r>
      <w:r>
        <w:rPr>
          <w:rFonts w:hint="eastAsia" w:hAnsi="宋体"/>
          <w:b/>
          <w:bCs/>
          <w:iCs/>
        </w:rPr>
        <w:t>评审办法</w:t>
      </w:r>
    </w:p>
    <w:p>
      <w:pPr>
        <w:adjustRightInd w:val="0"/>
        <w:snapToGrid w:val="0"/>
        <w:spacing w:line="360" w:lineRule="auto"/>
        <w:ind w:firstLine="420" w:firstLineChars="200"/>
        <w:rPr>
          <w:rFonts w:ascii="宋体" w:hAnsi="宋体"/>
          <w:szCs w:val="21"/>
        </w:rPr>
      </w:pPr>
      <w:r>
        <w:rPr>
          <w:rFonts w:hint="eastAsia" w:ascii="宋体" w:hAnsi="宋体" w:cs="Courier New"/>
          <w:iCs/>
          <w:szCs w:val="21"/>
        </w:rPr>
        <w:t>本项目评审办法采用经符合性审查合格后的最低价法。</w:t>
      </w:r>
    </w:p>
    <w:p>
      <w:pPr>
        <w:spacing w:line="360" w:lineRule="auto"/>
        <w:ind w:firstLine="422" w:firstLineChars="200"/>
        <w:rPr>
          <w:rFonts w:ascii="宋体" w:hAnsi="宋体"/>
          <w:b/>
          <w:bCs/>
          <w:szCs w:val="21"/>
        </w:rPr>
      </w:pPr>
      <w:r>
        <w:rPr>
          <w:rFonts w:hint="eastAsia" w:ascii="宋体" w:hAnsi="宋体"/>
          <w:b/>
          <w:bCs/>
          <w:color w:val="000000"/>
          <w:szCs w:val="21"/>
        </w:rPr>
        <w:t>四、自主竞争性谈判文件的获取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凡有意参加谈判的单位，请于</w:t>
      </w:r>
      <w:r>
        <w:rPr>
          <w:rFonts w:hint="eastAsia" w:ascii="宋体" w:hAnsi="宋体"/>
          <w:szCs w:val="21"/>
          <w:highlight w:val="none"/>
          <w:u w:val="single"/>
        </w:rPr>
        <w:t>2019</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11</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lang w:val="en-US" w:eastAsia="zh-CN"/>
        </w:rPr>
        <w:t>6</w:t>
      </w:r>
      <w:r>
        <w:rPr>
          <w:rFonts w:ascii="宋体" w:hAnsi="宋体"/>
          <w:szCs w:val="21"/>
          <w:highlight w:val="none"/>
          <w:u w:val="single"/>
        </w:rPr>
        <w:t xml:space="preserve"> </w:t>
      </w:r>
      <w:r>
        <w:rPr>
          <w:rFonts w:hint="eastAsia" w:ascii="宋体" w:hAnsi="宋体"/>
          <w:szCs w:val="21"/>
          <w:highlight w:val="none"/>
        </w:rPr>
        <w:t>日至2019年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11</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lang w:val="en-US" w:eastAsia="zh-CN"/>
        </w:rPr>
        <w:t>12</w:t>
      </w:r>
      <w:r>
        <w:rPr>
          <w:rFonts w:ascii="宋体" w:hAnsi="宋体"/>
          <w:szCs w:val="21"/>
          <w:highlight w:val="none"/>
          <w:u w:val="single"/>
        </w:rPr>
        <w:t xml:space="preserve"> </w:t>
      </w:r>
      <w:r>
        <w:rPr>
          <w:rFonts w:hint="eastAsia" w:ascii="宋体" w:hAnsi="宋体"/>
          <w:szCs w:val="21"/>
          <w:highlight w:val="none"/>
        </w:rPr>
        <w:t>日登</w:t>
      </w:r>
      <w:r>
        <w:rPr>
          <w:rFonts w:hint="eastAsia" w:ascii="宋体" w:hAnsi="宋体"/>
          <w:szCs w:val="21"/>
        </w:rPr>
        <w:t>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spacing w:line="360" w:lineRule="auto"/>
        <w:ind w:firstLine="422" w:firstLineChars="200"/>
        <w:rPr>
          <w:rFonts w:ascii="宋体" w:hAnsi="宋体"/>
          <w:b/>
          <w:bCs/>
          <w:szCs w:val="21"/>
        </w:rPr>
      </w:pPr>
      <w:r>
        <w:rPr>
          <w:rFonts w:hint="eastAsia" w:ascii="宋体" w:hAnsi="宋体"/>
          <w:b/>
          <w:bCs/>
          <w:szCs w:val="21"/>
        </w:rPr>
        <w:t>五、</w:t>
      </w:r>
      <w:r>
        <w:rPr>
          <w:rFonts w:hint="eastAsia" w:hAnsi="宋体"/>
          <w:b/>
          <w:bCs/>
          <w:iCs/>
        </w:rPr>
        <w:t>谈判文件的</w:t>
      </w:r>
      <w:r>
        <w:rPr>
          <w:rFonts w:hint="eastAsia" w:ascii="宋体" w:hAnsi="宋体"/>
          <w:b/>
          <w:bCs/>
          <w:szCs w:val="21"/>
        </w:rPr>
        <w:t>澄清与答疑</w:t>
      </w:r>
    </w:p>
    <w:p>
      <w:pPr>
        <w:spacing w:line="360" w:lineRule="auto"/>
        <w:ind w:firstLine="420" w:firstLineChars="200"/>
        <w:rPr>
          <w:rFonts w:ascii="宋体" w:hAnsi="宋体" w:cs="Courier New"/>
          <w:iCs/>
          <w:szCs w:val="21"/>
        </w:rPr>
      </w:pPr>
      <w:r>
        <w:rPr>
          <w:rFonts w:hint="eastAsia" w:ascii="宋体" w:hAnsi="宋体"/>
          <w:szCs w:val="21"/>
        </w:rPr>
        <w:t>1.</w:t>
      </w:r>
      <w:r>
        <w:rPr>
          <w:rFonts w:hint="eastAsia" w:ascii="宋体" w:hAnsi="宋体" w:cs="Courier New"/>
          <w:iCs/>
          <w:szCs w:val="21"/>
        </w:rPr>
        <w:t>本项目不组织答疑会和现场踏勘。</w:t>
      </w:r>
    </w:p>
    <w:p>
      <w:pPr>
        <w:spacing w:line="360" w:lineRule="auto"/>
        <w:ind w:firstLine="420" w:firstLineChars="200"/>
        <w:rPr>
          <w:rFonts w:ascii="宋体" w:hAnsi="宋体" w:cs="Courier New"/>
          <w:iCs/>
          <w:szCs w:val="21"/>
        </w:rPr>
      </w:pPr>
      <w:r>
        <w:rPr>
          <w:rFonts w:hint="eastAsia" w:ascii="宋体" w:hAnsi="宋体" w:cs="Courier New"/>
          <w:iCs/>
          <w:szCs w:val="21"/>
        </w:rPr>
        <w:t>2.谈判单位若对谈判文件有任何疑问，</w:t>
      </w:r>
      <w:r>
        <w:rPr>
          <w:rFonts w:hint="eastAsia" w:ascii="宋体" w:hAnsi="宋体"/>
          <w:szCs w:val="21"/>
        </w:rPr>
        <w:t>应</w:t>
      </w:r>
      <w:r>
        <w:rPr>
          <w:rFonts w:hint="eastAsia" w:ascii="宋体" w:hAnsi="宋体"/>
          <w:szCs w:val="21"/>
          <w:highlight w:val="none"/>
        </w:rPr>
        <w:t>于</w:t>
      </w:r>
      <w:r>
        <w:rPr>
          <w:rFonts w:hint="eastAsia" w:ascii="宋体" w:hAnsi="宋体"/>
          <w:szCs w:val="21"/>
          <w:highlight w:val="none"/>
          <w:u w:val="single"/>
        </w:rPr>
        <w:t>2019</w:t>
      </w:r>
      <w:r>
        <w:rPr>
          <w:rFonts w:hint="eastAsia" w:ascii="宋体" w:hAnsi="宋体"/>
          <w:szCs w:val="21"/>
          <w:highlight w:val="none"/>
        </w:rPr>
        <w:t>年</w:t>
      </w:r>
      <w:r>
        <w:rPr>
          <w:rFonts w:hint="eastAsia" w:ascii="宋体" w:hAnsi="宋体"/>
          <w:szCs w:val="21"/>
          <w:highlight w:val="none"/>
          <w:u w:val="single"/>
          <w:lang w:val="en-US" w:eastAsia="zh-CN"/>
        </w:rPr>
        <w:t>11</w:t>
      </w:r>
      <w:r>
        <w:rPr>
          <w:rFonts w:hint="eastAsia" w:ascii="宋体" w:hAnsi="宋体"/>
          <w:szCs w:val="21"/>
          <w:highlight w:val="none"/>
        </w:rPr>
        <w:t>月</w:t>
      </w:r>
      <w:r>
        <w:rPr>
          <w:rFonts w:hint="eastAsia" w:ascii="宋体" w:hAnsi="宋体"/>
          <w:szCs w:val="21"/>
          <w:highlight w:val="none"/>
          <w:u w:val="single"/>
          <w:lang w:val="en-US" w:eastAsia="zh-CN"/>
        </w:rPr>
        <w:t>13</w:t>
      </w:r>
      <w:r>
        <w:rPr>
          <w:rFonts w:hint="eastAsia" w:ascii="宋体" w:hAnsi="宋体"/>
          <w:szCs w:val="21"/>
          <w:highlight w:val="none"/>
        </w:rPr>
        <w:t>日</w:t>
      </w:r>
      <w:r>
        <w:rPr>
          <w:rFonts w:hint="eastAsia" w:ascii="宋体" w:hAnsi="宋体" w:cs="Courier New"/>
          <w:iCs/>
          <w:szCs w:val="21"/>
          <w:highlight w:val="none"/>
        </w:rPr>
        <w:t>17</w:t>
      </w:r>
      <w:r>
        <w:rPr>
          <w:rFonts w:hint="eastAsia" w:ascii="宋体" w:hAnsi="宋体" w:cs="Courier New"/>
          <w:iCs/>
          <w:szCs w:val="21"/>
        </w:rPr>
        <w:t>：00时（含）前（节假日除外）以书面形式（经法定代表人签字或盖章，并加盖单位公章）递交至采购代理机构。</w:t>
      </w:r>
    </w:p>
    <w:p>
      <w:pPr>
        <w:spacing w:line="360" w:lineRule="auto"/>
        <w:ind w:firstLine="420" w:firstLineChars="200"/>
        <w:rPr>
          <w:rFonts w:ascii="宋体" w:hAnsi="宋体" w:cs="Courier New"/>
          <w:iCs/>
          <w:szCs w:val="21"/>
        </w:rPr>
      </w:pPr>
      <w:r>
        <w:rPr>
          <w:rFonts w:hint="eastAsia" w:ascii="宋体" w:hAnsi="宋体" w:cs="Courier New"/>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Courier New"/>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hAnsi="宋体"/>
          <w:b/>
          <w:iCs/>
        </w:rPr>
      </w:pPr>
      <w:r>
        <w:rPr>
          <w:rFonts w:hint="eastAsia" w:ascii="宋体" w:hAnsi="宋体" w:cs="宋体"/>
          <w:b/>
          <w:bCs/>
          <w:kern w:val="0"/>
          <w:szCs w:val="21"/>
        </w:rPr>
        <w:t>六</w:t>
      </w:r>
      <w:r>
        <w:rPr>
          <w:rFonts w:hint="eastAsia" w:ascii="宋体" w:hAnsi="宋体" w:cs="宋体"/>
          <w:kern w:val="0"/>
          <w:szCs w:val="21"/>
        </w:rPr>
        <w:t>、</w:t>
      </w:r>
      <w:r>
        <w:rPr>
          <w:rFonts w:hint="eastAsia" w:hAnsi="宋体"/>
          <w:b/>
          <w:iCs/>
        </w:rPr>
        <w:t>响应文件的递交</w:t>
      </w:r>
    </w:p>
    <w:p>
      <w:pPr>
        <w:spacing w:line="360" w:lineRule="auto"/>
        <w:ind w:firstLine="420" w:firstLineChars="200"/>
        <w:rPr>
          <w:rFonts w:ascii="宋体" w:hAnsi="宋体"/>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w:t>
      </w:r>
      <w:r>
        <w:rPr>
          <w:rFonts w:hint="eastAsia" w:ascii="宋体" w:hAnsi="宋体"/>
          <w:bCs/>
          <w:szCs w:val="21"/>
          <w:highlight w:val="none"/>
        </w:rPr>
        <w:t>间</w:t>
      </w:r>
      <w:r>
        <w:rPr>
          <w:rFonts w:ascii="宋体" w:hAnsi="宋体"/>
          <w:bCs/>
          <w:szCs w:val="21"/>
          <w:highlight w:val="none"/>
        </w:rPr>
        <w:t>为</w:t>
      </w:r>
      <w:r>
        <w:rPr>
          <w:rFonts w:hint="eastAsia" w:ascii="宋体" w:hAnsi="宋体"/>
          <w:bCs/>
          <w:szCs w:val="21"/>
          <w:highlight w:val="none"/>
        </w:rPr>
        <w:t>2019</w:t>
      </w:r>
      <w:r>
        <w:rPr>
          <w:rFonts w:ascii="宋体" w:hAnsi="宋体"/>
          <w:bCs/>
          <w:szCs w:val="21"/>
          <w:highlight w:val="none"/>
        </w:rPr>
        <w:t>年</w:t>
      </w:r>
      <w:r>
        <w:rPr>
          <w:rFonts w:hint="eastAsia" w:ascii="宋体" w:hAnsi="宋体"/>
          <w:bCs/>
          <w:szCs w:val="21"/>
          <w:highlight w:val="none"/>
          <w:u w:val="single"/>
          <w:lang w:val="en-US" w:eastAsia="zh-CN"/>
        </w:rPr>
        <w:t>11</w:t>
      </w:r>
      <w:r>
        <w:rPr>
          <w:rFonts w:ascii="宋体" w:hAnsi="宋体"/>
          <w:bCs/>
          <w:szCs w:val="21"/>
          <w:highlight w:val="none"/>
        </w:rPr>
        <w:t>月</w:t>
      </w:r>
      <w:r>
        <w:rPr>
          <w:rFonts w:hint="eastAsia" w:ascii="宋体" w:hAnsi="宋体"/>
          <w:bCs/>
          <w:szCs w:val="21"/>
          <w:highlight w:val="none"/>
          <w:u w:val="single"/>
          <w:lang w:val="en-US" w:eastAsia="zh-CN"/>
        </w:rPr>
        <w:t>18</w:t>
      </w:r>
      <w:r>
        <w:rPr>
          <w:rFonts w:ascii="宋体" w:hAnsi="宋体"/>
          <w:bCs/>
          <w:szCs w:val="21"/>
          <w:highlight w:val="none"/>
        </w:rPr>
        <w:t>日</w:t>
      </w:r>
      <w:r>
        <w:rPr>
          <w:rFonts w:hint="eastAsia" w:ascii="宋体" w:hAnsi="宋体"/>
          <w:bCs/>
          <w:szCs w:val="21"/>
          <w:highlight w:val="none"/>
          <w:u w:val="single"/>
        </w:rPr>
        <w:t>1</w:t>
      </w:r>
      <w:r>
        <w:rPr>
          <w:rFonts w:hint="eastAsia" w:ascii="宋体" w:hAnsi="宋体"/>
          <w:bCs/>
          <w:szCs w:val="21"/>
          <w:u w:val="single"/>
        </w:rPr>
        <w:t>4</w:t>
      </w:r>
      <w:r>
        <w:rPr>
          <w:rFonts w:ascii="宋体" w:hAnsi="宋体"/>
          <w:bCs/>
          <w:szCs w:val="21"/>
        </w:rPr>
        <w:t>时</w:t>
      </w:r>
      <w:r>
        <w:rPr>
          <w:rFonts w:hint="eastAsia" w:ascii="宋体" w:hAnsi="宋体"/>
          <w:bCs/>
          <w:szCs w:val="21"/>
          <w:u w:val="single"/>
        </w:rPr>
        <w:t>30</w:t>
      </w:r>
      <w:r>
        <w:rPr>
          <w:rFonts w:ascii="宋体" w:hAnsi="宋体"/>
          <w:bCs/>
          <w:szCs w:val="21"/>
        </w:rPr>
        <w:t>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逾期送达的</w:t>
      </w:r>
      <w:r>
        <w:rPr>
          <w:rFonts w:hint="eastAsia" w:ascii="宋体" w:hAnsi="宋体"/>
          <w:szCs w:val="21"/>
        </w:rPr>
        <w:t>或者</w:t>
      </w:r>
      <w:r>
        <w:rPr>
          <w:rFonts w:ascii="宋体" w:hAnsi="宋体"/>
          <w:szCs w:val="21"/>
        </w:rPr>
        <w:t>未送达指定地点的或者</w:t>
      </w:r>
      <w:r>
        <w:rPr>
          <w:rFonts w:hint="eastAsia" w:ascii="宋体" w:hAnsi="宋体"/>
          <w:szCs w:val="21"/>
        </w:rPr>
        <w:t>未</w:t>
      </w:r>
      <w:r>
        <w:rPr>
          <w:rFonts w:ascii="宋体" w:hAnsi="宋体"/>
          <w:szCs w:val="21"/>
        </w:rPr>
        <w:t>密封的</w:t>
      </w:r>
      <w:r>
        <w:rPr>
          <w:rFonts w:hint="eastAsia" w:ascii="宋体" w:hAnsi="宋体"/>
          <w:szCs w:val="21"/>
        </w:rPr>
        <w:t>响应</w:t>
      </w:r>
      <w:r>
        <w:rPr>
          <w:rFonts w:ascii="宋体" w:hAnsi="宋体"/>
          <w:szCs w:val="21"/>
        </w:rPr>
        <w:t>文件，</w:t>
      </w:r>
      <w:r>
        <w:rPr>
          <w:rFonts w:hint="eastAsia" w:ascii="宋体" w:hAnsi="宋体"/>
          <w:szCs w:val="21"/>
        </w:rPr>
        <w:t>采购单位或采购代理机构</w:t>
      </w:r>
      <w:r>
        <w:rPr>
          <w:rFonts w:ascii="宋体" w:hAnsi="宋体"/>
          <w:szCs w:val="21"/>
        </w:rPr>
        <w:t>将予以</w:t>
      </w:r>
      <w:r>
        <w:rPr>
          <w:rFonts w:ascii="宋体" w:hAnsi="宋体"/>
          <w:b/>
          <w:bCs/>
          <w:szCs w:val="21"/>
        </w:rPr>
        <w:t>拒收</w:t>
      </w:r>
      <w:r>
        <w:rPr>
          <w:rFonts w:ascii="宋体" w:hAnsi="宋体"/>
          <w:szCs w:val="21"/>
        </w:rPr>
        <w:t>。</w:t>
      </w:r>
    </w:p>
    <w:p>
      <w:pPr>
        <w:spacing w:line="360" w:lineRule="auto"/>
        <w:ind w:firstLine="422" w:firstLineChars="200"/>
        <w:rPr>
          <w:rFonts w:ascii="黑体" w:hAnsi="黑体" w:eastAsia="黑体" w:cs="黑体"/>
          <w:b/>
          <w:sz w:val="24"/>
        </w:rPr>
      </w:pPr>
      <w:r>
        <w:rPr>
          <w:rFonts w:hint="eastAsia" w:ascii="宋体" w:hAnsi="宋体" w:cs="Courier New"/>
          <w:b/>
          <w:iCs/>
          <w:szCs w:val="21"/>
        </w:rPr>
        <w:t>七、采购单位及其委托的采购代理机构的名称、地址和联系方法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采购单位：</w:t>
      </w:r>
      <w:r>
        <w:rPr>
          <w:rFonts w:ascii="宋体" w:hAnsi="宋体" w:cs="宋体"/>
          <w:iCs/>
          <w:szCs w:val="21"/>
          <w:highlight w:val="none"/>
        </w:rPr>
        <w:t>长沙市轨道交通运营有限公司</w:t>
      </w:r>
    </w:p>
    <w:p>
      <w:pPr>
        <w:adjustRightInd w:val="0"/>
        <w:snapToGrid w:val="0"/>
        <w:spacing w:line="360" w:lineRule="auto"/>
        <w:ind w:firstLine="420" w:firstLineChars="200"/>
        <w:rPr>
          <w:rFonts w:ascii="宋体" w:hAnsi="宋体"/>
          <w:szCs w:val="21"/>
          <w:highlight w:val="none"/>
          <w:u w:val="single"/>
        </w:rPr>
      </w:pPr>
      <w:r>
        <w:rPr>
          <w:rFonts w:hint="eastAsia" w:ascii="宋体" w:hAnsi="宋体"/>
          <w:szCs w:val="21"/>
          <w:highlight w:val="none"/>
        </w:rPr>
        <w:t>地  址：</w:t>
      </w:r>
      <w:r>
        <w:rPr>
          <w:rFonts w:hint="eastAsia" w:ascii="宋体" w:hAnsi="宋体" w:cs="宋体"/>
          <w:bCs/>
          <w:szCs w:val="21"/>
          <w:highlight w:val="none"/>
        </w:rPr>
        <w:t>长沙市</w:t>
      </w:r>
      <w:r>
        <w:rPr>
          <w:rFonts w:hint="eastAsia" w:ascii="宋体" w:hAnsi="宋体" w:cs="宋体"/>
          <w:iCs/>
          <w:szCs w:val="21"/>
          <w:highlight w:val="none"/>
        </w:rPr>
        <w:t>劳动东路二段48号</w:t>
      </w:r>
      <w:r>
        <w:rPr>
          <w:rFonts w:hint="eastAsia" w:ascii="宋体" w:hAnsi="宋体" w:cs="宋体"/>
          <w:szCs w:val="21"/>
          <w:highlight w:val="none"/>
        </w:rPr>
        <w:t>长沙市轨道交通运营有限公司</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联系人：</w:t>
      </w:r>
      <w:r>
        <w:rPr>
          <w:rFonts w:hint="eastAsia" w:ascii="宋体" w:hAnsi="宋体"/>
          <w:szCs w:val="21"/>
          <w:highlight w:val="none"/>
        </w:rPr>
        <w:t>杨工</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电  话：</w:t>
      </w:r>
      <w:r>
        <w:rPr>
          <w:rFonts w:hint="eastAsia" w:ascii="宋体" w:hAnsi="宋体"/>
          <w:szCs w:val="21"/>
          <w:highlight w:val="none"/>
        </w:rPr>
        <w:t>0731-86852347</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bCs/>
          <w:szCs w:val="21"/>
          <w:highlight w:val="none"/>
        </w:rPr>
        <w:t>监督举报电话：</w:t>
      </w:r>
      <w:r>
        <w:rPr>
          <w:rFonts w:hint="eastAsia" w:ascii="宋体" w:hAnsi="宋体"/>
          <w:szCs w:val="21"/>
          <w:highlight w:val="none"/>
        </w:rPr>
        <w:t>0731-8685224</w:t>
      </w:r>
      <w:r>
        <w:rPr>
          <w:rFonts w:hint="eastAsia" w:ascii="宋体" w:hAnsi="宋体"/>
          <w:szCs w:val="21"/>
          <w:highlight w:val="none"/>
          <w:lang w:val="en-US" w:eastAsia="zh-CN"/>
        </w:rPr>
        <w:t>7</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联系人：文工</w:t>
      </w:r>
    </w:p>
    <w:p>
      <w:pPr>
        <w:adjustRightInd w:val="0"/>
        <w:snapToGrid w:val="0"/>
        <w:spacing w:line="360" w:lineRule="auto"/>
        <w:ind w:firstLine="422" w:firstLineChars="200"/>
        <w:rPr>
          <w:rFonts w:ascii="宋体" w:hAnsi="宋体"/>
          <w:szCs w:val="21"/>
        </w:rPr>
      </w:pPr>
      <w:r>
        <w:rPr>
          <w:rFonts w:hint="eastAsia" w:ascii="宋体" w:hAnsi="宋体"/>
          <w:b/>
          <w:bCs/>
          <w:szCs w:val="21"/>
        </w:rPr>
        <w:t>采购代理机构：湖南明诚项目管理有限公司</w:t>
      </w:r>
    </w:p>
    <w:p>
      <w:pPr>
        <w:adjustRightInd w:val="0"/>
        <w:snapToGrid w:val="0"/>
        <w:spacing w:line="360" w:lineRule="auto"/>
        <w:ind w:firstLine="420" w:firstLineChars="200"/>
        <w:rPr>
          <w:rFonts w:ascii="宋体" w:hAnsi="宋体"/>
          <w:szCs w:val="21"/>
        </w:rPr>
      </w:pPr>
      <w:r>
        <w:rPr>
          <w:rFonts w:hint="eastAsia" w:ascii="宋体" w:hAnsi="宋体"/>
          <w:szCs w:val="21"/>
        </w:rPr>
        <w:t>地  址：</w:t>
      </w:r>
      <w:r>
        <w:rPr>
          <w:rFonts w:hint="eastAsia" w:ascii="宋体" w:hAnsi="宋体" w:cs="宋体"/>
          <w:szCs w:val="21"/>
        </w:rPr>
        <w:t>长沙市开福区秀峰街道植基路79号秀峰美苑11栋4楼</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联系人：黄先生 </w:t>
      </w:r>
      <w:r>
        <w:rPr>
          <w:rFonts w:ascii="宋体" w:hAnsi="宋体"/>
          <w:szCs w:val="21"/>
        </w:rPr>
        <w:t xml:space="preserve">  </w:t>
      </w:r>
      <w:r>
        <w:rPr>
          <w:rFonts w:hint="eastAsia" w:ascii="宋体" w:hAnsi="宋体"/>
          <w:szCs w:val="21"/>
        </w:rPr>
        <w:t>刘先生</w:t>
      </w:r>
    </w:p>
    <w:p>
      <w:pPr>
        <w:spacing w:line="360" w:lineRule="auto"/>
        <w:ind w:firstLine="420" w:firstLineChars="200"/>
        <w:rPr>
          <w:rFonts w:ascii="宋体" w:hAnsi="宋体"/>
          <w:szCs w:val="21"/>
        </w:rPr>
      </w:pPr>
      <w:r>
        <w:rPr>
          <w:rFonts w:hint="eastAsia" w:ascii="宋体" w:hAnsi="宋体"/>
          <w:szCs w:val="21"/>
        </w:rPr>
        <w:t>电  话：</w:t>
      </w:r>
      <w:r>
        <w:rPr>
          <w:rFonts w:hint="eastAsia" w:ascii="宋体" w:hAnsi="宋体" w:cs="宋体"/>
          <w:szCs w:val="21"/>
        </w:rPr>
        <w:t>0731-83526651、</w:t>
      </w:r>
      <w:r>
        <w:rPr>
          <w:rFonts w:ascii="宋体" w:hAnsi="宋体" w:cs="宋体"/>
          <w:szCs w:val="21"/>
        </w:rPr>
        <w:t>13548640909</w:t>
      </w:r>
    </w:p>
    <w:p>
      <w:pPr>
        <w:spacing w:line="360" w:lineRule="auto"/>
        <w:ind w:firstLine="420" w:firstLineChars="200"/>
        <w:jc w:val="right"/>
        <w:rPr>
          <w:rFonts w:ascii="宋体" w:hAnsi="宋体"/>
          <w:szCs w:val="21"/>
          <w:highlight w:val="none"/>
        </w:rPr>
      </w:pPr>
      <w:r>
        <w:rPr>
          <w:rFonts w:hint="eastAsia" w:ascii="宋体" w:hAnsi="宋体"/>
          <w:szCs w:val="21"/>
          <w:highlight w:val="none"/>
        </w:rPr>
        <w:t>2019年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11</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6</w:t>
      </w:r>
      <w:r>
        <w:rPr>
          <w:rFonts w:hint="eastAsia" w:ascii="宋体" w:hAnsi="宋体"/>
          <w:szCs w:val="21"/>
          <w:highlight w:val="none"/>
        </w:rPr>
        <w:t>日</w:t>
      </w:r>
    </w:p>
    <w:p>
      <w:pPr>
        <w:pStyle w:val="3"/>
        <w:keepNext w:val="0"/>
        <w:spacing w:after="240" w:line="360" w:lineRule="auto"/>
        <w:ind w:firstLine="640" w:firstLineChars="200"/>
        <w:rPr>
          <w:rFonts w:ascii="黑体" w:hAnsi="黑体" w:eastAsia="黑体"/>
          <w:bCs w:val="0"/>
          <w:sz w:val="32"/>
          <w:szCs w:val="32"/>
        </w:rPr>
      </w:pPr>
      <w:r>
        <w:rPr>
          <w:rFonts w:ascii="黑体" w:hAnsi="黑体" w:eastAsia="黑体"/>
          <w:b w:val="0"/>
          <w:bCs w:val="0"/>
          <w:sz w:val="32"/>
          <w:szCs w:val="32"/>
        </w:rPr>
        <w:br w:type="page"/>
      </w:r>
      <w:bookmarkStart w:id="1" w:name="_Toc5436"/>
      <w:r>
        <w:rPr>
          <w:rFonts w:hint="eastAsia" w:ascii="宋体" w:hAnsi="宋体" w:cs="宋体"/>
          <w:bCs w:val="0"/>
          <w:sz w:val="32"/>
          <w:szCs w:val="32"/>
        </w:rPr>
        <w:t>第二章  谈判须知</w:t>
      </w:r>
      <w:bookmarkEnd w:id="1"/>
    </w:p>
    <w:p>
      <w:pPr>
        <w:pStyle w:val="4"/>
        <w:keepNext w:val="0"/>
        <w:keepLines w:val="0"/>
        <w:ind w:firstLine="643" w:firstLineChars="200"/>
        <w:jc w:val="center"/>
        <w:rPr>
          <w:rFonts w:ascii="宋体" w:hAnsi="宋体" w:cs="宋体"/>
          <w:sz w:val="32"/>
        </w:rPr>
      </w:pPr>
      <w:bookmarkStart w:id="2" w:name="_Toc22770"/>
      <w:r>
        <w:rPr>
          <w:rFonts w:hint="eastAsia" w:ascii="宋体" w:hAnsi="宋体" w:cs="宋体"/>
          <w:sz w:val="32"/>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4"/>
        <w:gridCol w:w="7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名  称</w:t>
            </w:r>
          </w:p>
        </w:tc>
        <w:tc>
          <w:tcPr>
            <w:tcW w:w="7728" w:type="dxa"/>
            <w:vAlign w:val="center"/>
          </w:tcPr>
          <w:p>
            <w:pPr>
              <w:adjustRightInd w:val="0"/>
              <w:snapToGrid w:val="0"/>
              <w:spacing w:line="360" w:lineRule="auto"/>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采购项目</w:t>
            </w:r>
          </w:p>
        </w:tc>
        <w:tc>
          <w:tcPr>
            <w:tcW w:w="7728" w:type="dxa"/>
            <w:vAlign w:val="center"/>
          </w:tcPr>
          <w:p>
            <w:pPr>
              <w:pStyle w:val="25"/>
              <w:adjustRightInd w:val="0"/>
              <w:snapToGrid w:val="0"/>
              <w:spacing w:line="360" w:lineRule="auto"/>
              <w:rPr>
                <w:rFonts w:hAnsi="宋体" w:cs="宋体"/>
                <w:highlight w:val="none"/>
              </w:rPr>
            </w:pPr>
            <w:r>
              <w:rPr>
                <w:rFonts w:hint="eastAsia"/>
                <w:color w:val="000000"/>
                <w:highlight w:val="none"/>
              </w:rPr>
              <w:t>长沙市轨道交通2号线运营期2019-2021年度无线通信系统委外维保服务项目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采购单位</w:t>
            </w:r>
          </w:p>
        </w:tc>
        <w:tc>
          <w:tcPr>
            <w:tcW w:w="7728" w:type="dxa"/>
            <w:vAlign w:val="center"/>
          </w:tcPr>
          <w:p>
            <w:pPr>
              <w:adjustRightInd w:val="0"/>
              <w:snapToGrid w:val="0"/>
              <w:spacing w:line="360" w:lineRule="auto"/>
              <w:rPr>
                <w:rFonts w:ascii="宋体" w:hAnsi="宋体" w:cs="宋体"/>
                <w:iCs/>
                <w:szCs w:val="21"/>
                <w:highlight w:val="none"/>
              </w:rPr>
            </w:pPr>
            <w:r>
              <w:rPr>
                <w:highlight w:val="none"/>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728" w:type="dxa"/>
            <w:vAlign w:val="center"/>
          </w:tcPr>
          <w:p>
            <w:pPr>
              <w:adjustRightInd w:val="0"/>
              <w:snapToGrid w:val="0"/>
              <w:spacing w:line="360" w:lineRule="auto"/>
              <w:rPr>
                <w:rFonts w:ascii="宋体" w:hAnsi="宋体" w:cs="宋体"/>
                <w:iCs/>
                <w:szCs w:val="21"/>
                <w:highlight w:val="none"/>
              </w:rPr>
            </w:pPr>
            <w:r>
              <w:rPr>
                <w:rFonts w:hint="eastAsia"/>
                <w:highlight w:val="none"/>
              </w:rPr>
              <w:t>湖南明诚项目管理有限公司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highlight w:val="none"/>
              </w:rPr>
              <w:t>谈判</w:t>
            </w:r>
            <w:r>
              <w:rPr>
                <w:rFonts w:ascii="宋体" w:hAnsi="宋体"/>
                <w:b/>
                <w:szCs w:val="21"/>
                <w:highlight w:val="none"/>
              </w:rPr>
              <w:t>最高投标限价</w:t>
            </w:r>
          </w:p>
        </w:tc>
        <w:tc>
          <w:tcPr>
            <w:tcW w:w="7728" w:type="dxa"/>
            <w:vAlign w:val="center"/>
          </w:tcPr>
          <w:p>
            <w:pPr>
              <w:adjustRightInd w:val="0"/>
              <w:snapToGrid w:val="0"/>
              <w:spacing w:line="360" w:lineRule="auto"/>
              <w:rPr>
                <w:rFonts w:ascii="宋体" w:hAnsi="宋体" w:cs="宋体"/>
                <w:iCs/>
                <w:szCs w:val="21"/>
              </w:rPr>
            </w:pPr>
            <w:r>
              <w:rPr>
                <w:rFonts w:hint="eastAsia"/>
                <w:highlight w:val="none"/>
              </w:rPr>
              <w:t>719900</w:t>
            </w:r>
            <w:r>
              <w:rPr>
                <w:rFonts w:hint="eastAsia"/>
                <w:highlight w:val="none"/>
                <w:lang w:val="en-US" w:eastAsia="zh-CN"/>
              </w:rPr>
              <w:t>.00</w:t>
            </w:r>
            <w:r>
              <w:rPr>
                <w:rFonts w:hint="eastAsia"/>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评审办法</w:t>
            </w:r>
          </w:p>
        </w:tc>
        <w:tc>
          <w:tcPr>
            <w:tcW w:w="7728" w:type="dxa"/>
            <w:tcBorders>
              <w:bottom w:val="single" w:color="auto" w:sz="6" w:space="0"/>
            </w:tcBorders>
            <w:vAlign w:val="center"/>
          </w:tcPr>
          <w:p>
            <w:pPr>
              <w:adjustRightInd w:val="0"/>
              <w:snapToGrid w:val="0"/>
              <w:spacing w:line="360" w:lineRule="auto"/>
              <w:rPr>
                <w:rFonts w:ascii="宋体" w:hAnsi="宋体" w:cs="宋体"/>
                <w:iCs/>
                <w:color w:val="FF0000"/>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24" w:type="dxa"/>
            <w:vAlign w:val="center"/>
          </w:tcPr>
          <w:p>
            <w:pPr>
              <w:adjustRightInd w:val="0"/>
              <w:snapToGrid w:val="0"/>
              <w:spacing w:line="360" w:lineRule="auto"/>
              <w:jc w:val="center"/>
              <w:rPr>
                <w:rFonts w:ascii="宋体" w:hAnsi="宋体"/>
                <w:b/>
                <w:szCs w:val="21"/>
                <w:highlight w:val="yellow"/>
              </w:rPr>
            </w:pPr>
            <w:r>
              <w:rPr>
                <w:rFonts w:hint="eastAsia" w:ascii="宋体" w:hAnsi="宋体"/>
                <w:b/>
                <w:szCs w:val="21"/>
              </w:rPr>
              <w:t>资格要求</w:t>
            </w:r>
          </w:p>
        </w:tc>
        <w:tc>
          <w:tcPr>
            <w:tcW w:w="7728" w:type="dxa"/>
            <w:tcBorders>
              <w:top w:val="single" w:color="auto" w:sz="6" w:space="0"/>
              <w:bottom w:val="single" w:color="auto" w:sz="4" w:space="0"/>
            </w:tcBorders>
            <w:vAlign w:val="center"/>
          </w:tcPr>
          <w:p>
            <w:pPr>
              <w:spacing w:line="276" w:lineRule="auto"/>
              <w:rPr>
                <w:rFonts w:hint="eastAsia" w:ascii="宋体" w:hAnsi="宋体" w:cs="宋体"/>
                <w:highlight w:val="none"/>
              </w:rPr>
            </w:pPr>
            <w:r>
              <w:rPr>
                <w:rFonts w:hint="eastAsia" w:ascii="宋体" w:hAnsi="宋体" w:cs="宋体"/>
                <w:highlight w:val="none"/>
              </w:rPr>
              <w:t>1.谈判单位须为具有独立法人资格、自主经营、独立核算的公司。</w:t>
            </w:r>
          </w:p>
          <w:p>
            <w:pPr>
              <w:spacing w:line="276" w:lineRule="auto"/>
              <w:rPr>
                <w:rFonts w:hint="eastAsia" w:ascii="宋体" w:hAnsi="宋体" w:cs="宋体"/>
                <w:highlight w:val="none"/>
              </w:rPr>
            </w:pPr>
            <w:r>
              <w:rPr>
                <w:rFonts w:hint="eastAsia" w:ascii="宋体" w:hAnsi="宋体" w:cs="宋体"/>
                <w:highlight w:val="none"/>
              </w:rPr>
              <w:t>2.谈判单位在本项目响应文件递交截止之日前60个月内须具有不少于3个TETRA系统的服务、维保类似项目业绩。</w:t>
            </w:r>
            <w:r>
              <w:rPr>
                <w:rFonts w:hint="eastAsia" w:ascii="宋体" w:hAnsi="宋体" w:cs="宋体"/>
                <w:highlight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spacing w:line="276" w:lineRule="auto"/>
              <w:rPr>
                <w:rFonts w:ascii="宋体" w:hAnsi="宋体" w:cs="宋体"/>
                <w:highlight w:val="none"/>
              </w:rPr>
            </w:pPr>
            <w:r>
              <w:rPr>
                <w:rFonts w:hint="eastAsia" w:ascii="宋体" w:hAnsi="宋体" w:cs="宋体"/>
                <w:highlight w:val="none"/>
              </w:rPr>
              <w:t>3.本项目谈判不接受联合体形式参与。</w:t>
            </w:r>
          </w:p>
          <w:p>
            <w:pPr>
              <w:spacing w:line="276" w:lineRule="auto"/>
              <w:rPr>
                <w:rFonts w:ascii="宋体" w:hAnsi="宋体" w:cs="宋体"/>
              </w:rPr>
            </w:pPr>
            <w:r>
              <w:rPr>
                <w:rFonts w:hint="eastAsia" w:ascii="宋体" w:hAnsi="宋体" w:cs="宋体"/>
                <w:highlight w:val="none"/>
              </w:rPr>
              <w:t>4.被长沙市轨道交通集团函告禁止在一定期限内参与轨道公司项目投标或谈判的单位按函告内容执行。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谈判答疑文件递交截止时间</w:t>
            </w:r>
          </w:p>
        </w:tc>
        <w:tc>
          <w:tcPr>
            <w:tcW w:w="7728" w:type="dxa"/>
            <w:tcBorders>
              <w:top w:val="single" w:color="auto" w:sz="4" w:space="0"/>
            </w:tcBorders>
            <w:vAlign w:val="center"/>
          </w:tcPr>
          <w:p>
            <w:pPr>
              <w:pStyle w:val="25"/>
              <w:adjustRightInd w:val="0"/>
              <w:snapToGrid w:val="0"/>
              <w:spacing w:line="360" w:lineRule="auto"/>
              <w:rPr>
                <w:rFonts w:hAnsi="宋体" w:cs="宋体"/>
                <w:color w:val="000000"/>
              </w:rPr>
            </w:pPr>
            <w:r>
              <w:rPr>
                <w:rFonts w:hint="eastAsia" w:hAnsi="宋体" w:cs="宋体"/>
                <w:highlight w:val="none"/>
                <w:u w:val="single"/>
              </w:rPr>
              <w:t>2019</w:t>
            </w:r>
            <w:r>
              <w:rPr>
                <w:rFonts w:hint="eastAsia" w:hAnsi="宋体" w:cs="宋体"/>
                <w:highlight w:val="none"/>
              </w:rPr>
              <w:t>年</w:t>
            </w:r>
            <w:r>
              <w:rPr>
                <w:rFonts w:hint="eastAsia" w:hAnsi="宋体" w:cs="宋体"/>
                <w:highlight w:val="none"/>
                <w:u w:val="single"/>
                <w:lang w:val="en-US" w:eastAsia="zh-CN"/>
              </w:rPr>
              <w:t xml:space="preserve"> 11</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u w:val="single"/>
                <w:lang w:val="en-US" w:eastAsia="zh-CN"/>
              </w:rPr>
              <w:t>13</w:t>
            </w:r>
            <w:r>
              <w:rPr>
                <w:rFonts w:hint="eastAsia" w:hAnsi="宋体" w:cs="宋体"/>
                <w:highlight w:val="none"/>
              </w:rPr>
              <w:t>日</w:t>
            </w:r>
            <w:r>
              <w:rPr>
                <w:rFonts w:hint="eastAsia" w:hAnsi="宋体" w:cs="宋体"/>
                <w:highlight w:val="none"/>
                <w:u w:val="single"/>
              </w:rPr>
              <w:t>1</w:t>
            </w:r>
            <w:r>
              <w:rPr>
                <w:rFonts w:hint="eastAsia" w:hAnsi="宋体" w:cs="宋体"/>
                <w:u w:val="single"/>
              </w:rPr>
              <w:t>7</w:t>
            </w:r>
            <w:r>
              <w:rPr>
                <w:rFonts w:hint="eastAsia" w:hAnsi="宋体" w:cs="宋体"/>
              </w:rPr>
              <w:t>时</w:t>
            </w:r>
            <w:r>
              <w:rPr>
                <w:rFonts w:hint="eastAsia" w:hAnsi="宋体" w:cs="宋体"/>
                <w:u w:val="single"/>
              </w:rPr>
              <w:t xml:space="preserve"> 00 </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谈判答疑文件递交方式及地点</w:t>
            </w:r>
          </w:p>
        </w:tc>
        <w:tc>
          <w:tcPr>
            <w:tcW w:w="7728"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谈判答疑文件应以书面形式递交至长沙市开福区秀峰街道植基路79号秀峰美苑11栋4楼湖南明诚项目管理有限公司。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24" w:type="dxa"/>
            <w:vAlign w:val="center"/>
          </w:tcPr>
          <w:p>
            <w:pPr>
              <w:adjustRightInd w:val="0"/>
              <w:snapToGrid w:val="0"/>
              <w:spacing w:line="360" w:lineRule="auto"/>
              <w:jc w:val="center"/>
              <w:rPr>
                <w:rFonts w:ascii="宋体" w:hAnsi="宋体"/>
                <w:b/>
                <w:szCs w:val="21"/>
                <w:highlight w:val="none"/>
              </w:rPr>
            </w:pPr>
            <w:bookmarkStart w:id="140" w:name="_GoBack" w:colFirst="0" w:colLast="1"/>
            <w:r>
              <w:rPr>
                <w:rFonts w:hint="eastAsia" w:ascii="宋体" w:hAnsi="宋体"/>
                <w:b/>
                <w:szCs w:val="21"/>
                <w:highlight w:val="none"/>
              </w:rPr>
              <w:t>响应文件的递交截止及谈判时间</w:t>
            </w:r>
          </w:p>
        </w:tc>
        <w:tc>
          <w:tcPr>
            <w:tcW w:w="7728"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highlight w:val="none"/>
                <w:u w:val="single"/>
              </w:rPr>
              <w:t>2019</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u w:val="single"/>
                <w:lang w:val="en-US" w:eastAsia="zh-CN"/>
              </w:rPr>
              <w:t>11</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single"/>
                <w:lang w:val="en-US" w:eastAsia="zh-CN"/>
              </w:rPr>
              <w:t>18</w:t>
            </w:r>
            <w:r>
              <w:rPr>
                <w:rFonts w:hint="eastAsia" w:ascii="宋体" w:hAnsi="宋体" w:cs="宋体"/>
                <w:highlight w:val="none"/>
              </w:rPr>
              <w:t>日</w:t>
            </w:r>
            <w:r>
              <w:rPr>
                <w:rFonts w:hint="eastAsia" w:ascii="宋体" w:hAnsi="宋体" w:cs="宋体"/>
                <w:highlight w:val="none"/>
                <w:u w:val="single"/>
              </w:rPr>
              <w:t>14</w:t>
            </w:r>
            <w:r>
              <w:rPr>
                <w:rFonts w:hint="eastAsia" w:ascii="宋体" w:hAnsi="宋体" w:cs="宋体"/>
                <w:highlight w:val="none"/>
              </w:rPr>
              <w:t>时</w:t>
            </w:r>
            <w:r>
              <w:rPr>
                <w:rFonts w:hint="eastAsia" w:ascii="宋体" w:hAnsi="宋体" w:cs="宋体"/>
                <w:highlight w:val="none"/>
                <w:u w:val="single"/>
              </w:rPr>
              <w:t>30</w:t>
            </w:r>
            <w:r>
              <w:rPr>
                <w:rFonts w:hint="eastAsia" w:ascii="宋体" w:hAnsi="宋体" w:cs="宋体"/>
                <w:highlight w:val="none"/>
              </w:rPr>
              <w:t>分(北京时间)</w:t>
            </w:r>
          </w:p>
        </w:tc>
      </w:tr>
      <w:bookmarkEnd w:id="14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响应文件的递交及谈判地点</w:t>
            </w:r>
          </w:p>
        </w:tc>
        <w:tc>
          <w:tcPr>
            <w:tcW w:w="7728" w:type="dxa"/>
            <w:vAlign w:val="center"/>
          </w:tcPr>
          <w:p>
            <w:pPr>
              <w:adjustRightInd w:val="0"/>
              <w:snapToGrid w:val="0"/>
              <w:spacing w:line="360" w:lineRule="auto"/>
              <w:rPr>
                <w:rFonts w:ascii="宋体" w:hAnsi="宋体" w:cs="宋体"/>
                <w:szCs w:val="21"/>
              </w:rPr>
            </w:pPr>
            <w:r>
              <w:rPr>
                <w:rFonts w:hint="eastAsia" w:ascii="宋体" w:hAnsi="宋体" w:eastAsia="宋体" w:cs="宋体"/>
                <w:color w:val="auto"/>
                <w:sz w:val="21"/>
                <w:szCs w:val="21"/>
                <w:highlight w:val="none"/>
              </w:rPr>
              <w:t>长沙市劳动东路二段48号长沙市轨道交通运营有限公司综合楼910室。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谈判现场验证须提交的资料</w:t>
            </w:r>
          </w:p>
        </w:tc>
        <w:tc>
          <w:tcPr>
            <w:tcW w:w="772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72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72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24" w:type="dxa"/>
            <w:vAlign w:val="center"/>
          </w:tcPr>
          <w:p>
            <w:pPr>
              <w:adjustRightInd w:val="0"/>
              <w:snapToGrid w:val="0"/>
              <w:spacing w:line="360" w:lineRule="auto"/>
              <w:jc w:val="center"/>
              <w:rPr>
                <w:rFonts w:ascii="宋体" w:hAnsi="宋体" w:cs="仿宋_GB2312"/>
                <w:b/>
                <w:szCs w:val="21"/>
              </w:rPr>
            </w:pPr>
            <w:r>
              <w:rPr>
                <w:rFonts w:hint="eastAsia" w:ascii="宋体" w:hAnsi="宋体" w:cs="仿宋_GB2312"/>
                <w:b/>
                <w:szCs w:val="21"/>
              </w:rPr>
              <w:t>价格承包内容</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highlight w:val="none"/>
              </w:rPr>
              <w:t>本项目采用总价合同方式，合同价格包括在维保过程中所需的管理费、利润、税金等一切费用。在项目实施中出现任何遗漏，均由乙方免费提供，甲方不再支付任何费用</w:t>
            </w: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728" w:type="dxa"/>
            <w:vAlign w:val="center"/>
          </w:tcPr>
          <w:p>
            <w:pPr>
              <w:spacing w:line="360" w:lineRule="auto"/>
              <w:rPr>
                <w:rFonts w:ascii="宋体" w:hAnsi="宋体" w:cs="宋体"/>
                <w:highlight w:val="none"/>
              </w:rPr>
            </w:pPr>
            <w:r>
              <w:rPr>
                <w:rFonts w:hint="eastAsia" w:ascii="宋体" w:hAnsi="宋体" w:cs="宋体"/>
                <w:highlight w:val="none"/>
              </w:rPr>
              <w:t>1.付款周期为每半年支付一次，甲方对乙方维保工作进行综合考核，乙方按甲方的支付程序办理请款手续并提供增值税专用发票、有效期内的履约担保复印件后28个工作日内，由甲方向乙方支付。</w:t>
            </w:r>
          </w:p>
          <w:p>
            <w:pPr>
              <w:spacing w:line="360" w:lineRule="auto"/>
              <w:rPr>
                <w:rFonts w:ascii="宋体" w:hAnsi="宋体" w:cs="宋体"/>
                <w:highlight w:val="none"/>
              </w:rPr>
            </w:pPr>
            <w:r>
              <w:rPr>
                <w:rFonts w:hint="eastAsia" w:ascii="宋体" w:hAnsi="宋体" w:cs="宋体"/>
                <w:highlight w:val="none"/>
              </w:rPr>
              <w:t>2.每次支付的金额：按签约合同价的70%平均到每个付款周期，甲方依据考核结果向乙方支付上一个付款周期的价款，累计支付不得超过签约合同价的70%。</w:t>
            </w:r>
          </w:p>
          <w:p>
            <w:pPr>
              <w:spacing w:line="360" w:lineRule="auto"/>
              <w:rPr>
                <w:rFonts w:ascii="宋体" w:hAnsi="宋体" w:cs="宋体"/>
                <w:highlight w:val="none"/>
              </w:rPr>
            </w:pPr>
            <w:r>
              <w:rPr>
                <w:rFonts w:hint="eastAsia" w:ascii="宋体" w:hAnsi="宋体" w:cs="宋体"/>
                <w:highlight w:val="none"/>
              </w:rPr>
              <w:t>3.履约验收完成付款：项目按合同约定完成履约且按甲方相关规定办理履约验收，履约验收完成后，在收到乙方支付申请并证实完整后28个工作日内，支付至合同价格的97%。</w:t>
            </w:r>
          </w:p>
          <w:p>
            <w:pPr>
              <w:pStyle w:val="45"/>
              <w:adjustRightInd w:val="0"/>
              <w:snapToGrid w:val="0"/>
              <w:spacing w:after="0" w:line="360" w:lineRule="auto"/>
              <w:ind w:firstLine="0" w:firstLineChars="0"/>
              <w:rPr>
                <w:rFonts w:ascii="宋体" w:hAnsi="宋体" w:cs="宋体"/>
                <w:bCs/>
                <w:szCs w:val="21"/>
              </w:rPr>
            </w:pPr>
            <w:r>
              <w:rPr>
                <w:rFonts w:hint="eastAsia" w:ascii="宋体" w:hAnsi="宋体" w:cs="宋体"/>
                <w:highlight w:val="none"/>
              </w:rPr>
              <w:t>4.质保期满付款：质保期满且最终验收合格，收到乙方支付请求并经甲方审核无误后28个工作日内，支付合同价格的剩余款项。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信息发布</w:t>
            </w:r>
          </w:p>
          <w:p>
            <w:pPr>
              <w:adjustRightInd w:val="0"/>
              <w:snapToGrid w:val="0"/>
              <w:spacing w:line="360" w:lineRule="auto"/>
              <w:jc w:val="center"/>
              <w:rPr>
                <w:rFonts w:ascii="宋体" w:hAnsi="宋体"/>
                <w:b/>
                <w:szCs w:val="21"/>
              </w:rPr>
            </w:pPr>
            <w:r>
              <w:rPr>
                <w:rFonts w:hint="eastAsia" w:ascii="宋体" w:hAnsi="宋体"/>
                <w:b/>
                <w:szCs w:val="21"/>
              </w:rPr>
              <w:t>指定媒体</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w:t>
            </w:r>
            <w:r>
              <w:rPr>
                <w:rFonts w:ascii="宋体" w:hAnsi="宋体"/>
                <w:b/>
                <w:szCs w:val="21"/>
              </w:rPr>
              <w:t>服务费</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其他规定</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（如有）</w:t>
            </w:r>
          </w:p>
        </w:tc>
      </w:tr>
    </w:tbl>
    <w:p>
      <w:pPr>
        <w:pStyle w:val="4"/>
        <w:keepNext w:val="0"/>
        <w:keepLines w:val="0"/>
        <w:ind w:firstLine="602" w:firstLineChars="200"/>
        <w:jc w:val="center"/>
        <w:rPr>
          <w:rFonts w:ascii="黑体" w:hAnsi="黑体" w:eastAsia="黑体"/>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ascii="宋体" w:hAnsi="宋体" w:cs="宋体"/>
          <w:sz w:val="32"/>
        </w:rPr>
      </w:pPr>
      <w:bookmarkStart w:id="3" w:name="_Toc30385"/>
      <w:r>
        <w:rPr>
          <w:rFonts w:hint="eastAsia" w:ascii="宋体" w:hAnsi="宋体" w:cs="宋体"/>
          <w:sz w:val="32"/>
        </w:rPr>
        <w:t>谈判须知正文</w:t>
      </w:r>
      <w:bookmarkEnd w:id="3"/>
    </w:p>
    <w:p>
      <w:pPr>
        <w:pStyle w:val="5"/>
        <w:keepNext w:val="0"/>
        <w:keepLines w:val="0"/>
        <w:spacing w:before="0" w:after="0" w:line="360" w:lineRule="auto"/>
        <w:rPr>
          <w:rFonts w:ascii="宋体" w:hAnsi="宋体" w:cs="宋体"/>
          <w:sz w:val="21"/>
          <w:szCs w:val="21"/>
        </w:rPr>
      </w:pPr>
      <w:bookmarkStart w:id="4" w:name="_Toc23354"/>
      <w:r>
        <w:rPr>
          <w:rFonts w:hint="eastAsia" w:ascii="宋体" w:hAnsi="宋体" w:cs="宋体"/>
          <w:sz w:val="21"/>
          <w:szCs w:val="21"/>
        </w:rPr>
        <w:t>一、说明</w:t>
      </w:r>
      <w:bookmarkEnd w:id="4"/>
    </w:p>
    <w:p>
      <w:pPr>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Ansi="宋体"/>
          <w:szCs w:val="21"/>
        </w:rPr>
      </w:pPr>
      <w:r>
        <w:rPr>
          <w:rFonts w:hint="eastAsia" w:ascii="宋体" w:hAnsi="宋体"/>
          <w:szCs w:val="21"/>
        </w:rPr>
        <w:t>3.2“谈判单位”是指响应本谈判文件要求、参加谈判的法人组织。</w:t>
      </w:r>
    </w:p>
    <w:p>
      <w:pPr>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215"/>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215"/>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215"/>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215"/>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215"/>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215"/>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5.参与谈判的费用</w:t>
      </w:r>
    </w:p>
    <w:p>
      <w:pPr>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25"/>
        <w:adjustRightInd w:val="0"/>
        <w:snapToGrid w:val="0"/>
        <w:spacing w:line="360" w:lineRule="auto"/>
        <w:ind w:firstLine="420" w:firstLineChars="200"/>
        <w:rPr>
          <w:rFonts w:ascii="黑体" w:hAnsi="宋体" w:eastAsia="黑体"/>
          <w:b/>
          <w:strike/>
        </w:rPr>
      </w:pPr>
      <w:r>
        <w:rPr>
          <w:rFonts w:hint="eastAsia" w:hAnsi="宋体"/>
        </w:rPr>
        <w:t>6.2谈判单位代表不是谈判单位法定代表人的：应提供授权委托书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5"/>
        <w:keepNext w:val="0"/>
        <w:keepLines w:val="0"/>
        <w:spacing w:before="0" w:after="0" w:line="360" w:lineRule="auto"/>
        <w:rPr>
          <w:rFonts w:ascii="宋体" w:hAnsi="宋体" w:cs="宋体"/>
          <w:sz w:val="21"/>
          <w:szCs w:val="21"/>
        </w:rPr>
      </w:pPr>
      <w:bookmarkStart w:id="5" w:name="_Toc19198"/>
      <w:r>
        <w:rPr>
          <w:rFonts w:hint="eastAsia" w:ascii="宋体" w:hAnsi="宋体" w:cs="宋体"/>
          <w:sz w:val="21"/>
          <w:szCs w:val="21"/>
        </w:rPr>
        <w:t>二、谈判文件</w:t>
      </w:r>
      <w:bookmarkEnd w:id="5"/>
    </w:p>
    <w:p>
      <w:pPr>
        <w:adjustRightInd w:val="0"/>
        <w:snapToGrid w:val="0"/>
        <w:spacing w:line="360" w:lineRule="auto"/>
        <w:ind w:firstLine="422" w:firstLineChars="200"/>
        <w:rPr>
          <w:rFonts w:ascii="宋体" w:hAnsi="宋体"/>
          <w:b/>
          <w:bCs/>
          <w:szCs w:val="21"/>
        </w:rPr>
      </w:pPr>
      <w:r>
        <w:rPr>
          <w:rFonts w:hint="eastAsia" w:ascii="宋体" w:hAnsi="宋体"/>
          <w:b/>
          <w:bCs/>
          <w:szCs w:val="21"/>
        </w:rPr>
        <w:t>7．谈判文件的组成</w:t>
      </w:r>
    </w:p>
    <w:p>
      <w:pPr>
        <w:pStyle w:val="25"/>
        <w:adjustRightInd w:val="0"/>
        <w:snapToGrid w:val="0"/>
        <w:spacing w:line="360" w:lineRule="auto"/>
        <w:ind w:firstLine="420" w:firstLineChars="200"/>
        <w:rPr>
          <w:rFonts w:hAnsi="宋体"/>
        </w:rPr>
      </w:pPr>
      <w:r>
        <w:rPr>
          <w:rFonts w:hint="eastAsia" w:hAnsi="宋体"/>
        </w:rPr>
        <w:t>7.1谈判文件由下列文件组成：</w:t>
      </w:r>
    </w:p>
    <w:p>
      <w:pPr>
        <w:pStyle w:val="25"/>
        <w:adjustRightInd w:val="0"/>
        <w:snapToGrid w:val="0"/>
        <w:spacing w:line="360" w:lineRule="auto"/>
        <w:ind w:firstLine="420" w:firstLineChars="200"/>
        <w:rPr>
          <w:rFonts w:hAnsi="宋体"/>
        </w:rPr>
      </w:pPr>
      <w:r>
        <w:rPr>
          <w:rFonts w:hint="eastAsia" w:hAnsi="宋体"/>
        </w:rPr>
        <w:t>第一章 谈判邀请公告</w:t>
      </w:r>
    </w:p>
    <w:p>
      <w:pPr>
        <w:pStyle w:val="25"/>
        <w:adjustRightInd w:val="0"/>
        <w:snapToGrid w:val="0"/>
        <w:spacing w:line="360" w:lineRule="auto"/>
        <w:ind w:firstLine="420" w:firstLineChars="200"/>
        <w:rPr>
          <w:rFonts w:hAnsi="宋体"/>
        </w:rPr>
      </w:pPr>
      <w:r>
        <w:rPr>
          <w:rFonts w:hint="eastAsia" w:hAnsi="宋体"/>
        </w:rPr>
        <w:t>第二章 谈判须知</w:t>
      </w:r>
    </w:p>
    <w:p>
      <w:pPr>
        <w:pStyle w:val="25"/>
        <w:adjustRightInd w:val="0"/>
        <w:snapToGrid w:val="0"/>
        <w:spacing w:line="360" w:lineRule="auto"/>
        <w:ind w:firstLine="420" w:firstLineChars="200"/>
        <w:rPr>
          <w:rFonts w:hAnsi="宋体"/>
        </w:rPr>
      </w:pPr>
      <w:r>
        <w:rPr>
          <w:rFonts w:hint="eastAsia" w:hAnsi="宋体"/>
        </w:rPr>
        <w:t>第三章 评审办法及标准</w:t>
      </w:r>
    </w:p>
    <w:p>
      <w:pPr>
        <w:pStyle w:val="25"/>
        <w:adjustRightInd w:val="0"/>
        <w:snapToGrid w:val="0"/>
        <w:spacing w:line="360" w:lineRule="auto"/>
        <w:ind w:firstLine="420" w:firstLineChars="200"/>
        <w:rPr>
          <w:rFonts w:hAnsi="宋体"/>
        </w:rPr>
      </w:pPr>
      <w:r>
        <w:rPr>
          <w:rFonts w:hint="eastAsia" w:hAnsi="宋体"/>
        </w:rPr>
        <w:t>第四章 用户需求书</w:t>
      </w:r>
    </w:p>
    <w:p>
      <w:pPr>
        <w:pStyle w:val="25"/>
        <w:adjustRightInd w:val="0"/>
        <w:snapToGrid w:val="0"/>
        <w:spacing w:line="360" w:lineRule="auto"/>
        <w:ind w:firstLine="420" w:firstLineChars="200"/>
        <w:rPr>
          <w:rFonts w:hAnsi="宋体"/>
        </w:rPr>
      </w:pPr>
      <w:r>
        <w:rPr>
          <w:rFonts w:hint="eastAsia" w:hAnsi="宋体"/>
        </w:rPr>
        <w:t>第五章 合同格式条款</w:t>
      </w:r>
    </w:p>
    <w:p>
      <w:pPr>
        <w:pStyle w:val="25"/>
        <w:adjustRightInd w:val="0"/>
        <w:snapToGrid w:val="0"/>
        <w:spacing w:line="360" w:lineRule="auto"/>
        <w:ind w:firstLine="420" w:firstLineChars="200"/>
        <w:rPr>
          <w:rFonts w:hAnsi="宋体"/>
        </w:rPr>
      </w:pPr>
      <w:r>
        <w:rPr>
          <w:rFonts w:hint="eastAsia" w:hAnsi="宋体"/>
        </w:rPr>
        <w:t>第六章 响应文件组成</w:t>
      </w:r>
    </w:p>
    <w:p>
      <w:pPr>
        <w:pStyle w:val="25"/>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spacing w:before="0" w:after="0" w:line="360" w:lineRule="auto"/>
        <w:rPr>
          <w:rFonts w:ascii="宋体" w:hAnsi="宋体" w:cs="宋体"/>
          <w:sz w:val="21"/>
          <w:szCs w:val="21"/>
        </w:rPr>
      </w:pPr>
      <w:bookmarkStart w:id="6" w:name="_Toc24457"/>
      <w:r>
        <w:rPr>
          <w:rFonts w:hint="eastAsia" w:ascii="宋体" w:hAnsi="宋体" w:cs="宋体"/>
          <w:sz w:val="21"/>
          <w:szCs w:val="21"/>
        </w:rPr>
        <w:t>三、响应文件</w:t>
      </w:r>
      <w:bookmarkEnd w:id="6"/>
    </w:p>
    <w:p>
      <w:pPr>
        <w:adjustRightInd w:val="0"/>
        <w:snapToGrid w:val="0"/>
        <w:spacing w:line="360" w:lineRule="auto"/>
        <w:ind w:firstLine="422" w:firstLineChars="200"/>
        <w:rPr>
          <w:rFonts w:ascii="宋体" w:hAnsi="宋体"/>
          <w:b/>
          <w:bCs/>
          <w:szCs w:val="21"/>
        </w:rPr>
      </w:pPr>
      <w:r>
        <w:rPr>
          <w:rFonts w:hint="eastAsia" w:ascii="宋体" w:hAnsi="宋体"/>
          <w:b/>
          <w:bCs/>
          <w:szCs w:val="21"/>
        </w:rPr>
        <w:t>10.一般要求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bCs/>
          <w:szCs w:val="21"/>
        </w:rPr>
      </w:pPr>
      <w:r>
        <w:rPr>
          <w:rFonts w:hint="eastAsia" w:ascii="宋体" w:hAnsi="宋体"/>
          <w:bCs/>
          <w:szCs w:val="21"/>
        </w:rPr>
        <w:t>10.2</w:t>
      </w:r>
      <w:r>
        <w:rPr>
          <w:rFonts w:hint="eastAsia" w:ascii="宋体" w:hAnsi="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rPr>
      </w:pPr>
      <w:r>
        <w:rPr>
          <w:rFonts w:hint="eastAsia" w:hAnsi="宋体"/>
          <w:bCs/>
        </w:rPr>
        <w:t>10.3</w:t>
      </w:r>
      <w:r>
        <w:rPr>
          <w:rFonts w:hint="eastAsia" w:hAnsi="宋体"/>
        </w:rPr>
        <w:t>计量单位应使用我国法定计量单位，未列明时应默认为我国法定计量单位。</w:t>
      </w:r>
    </w:p>
    <w:p>
      <w:pPr>
        <w:pStyle w:val="25"/>
        <w:adjustRightInd w:val="0"/>
        <w:snapToGrid w:val="0"/>
        <w:spacing w:line="360" w:lineRule="auto"/>
        <w:ind w:firstLine="420" w:firstLineChars="200"/>
        <w:rPr>
          <w:rFonts w:hAnsi="宋体"/>
        </w:rPr>
      </w:pPr>
      <w:r>
        <w:rPr>
          <w:rFonts w:hint="eastAsia" w:hAnsi="宋体"/>
        </w:rPr>
        <w:t>10.4响应文件应采用书面形式，电报、传真、电子邮件形式的响应文件概不接受。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rPr>
          <w:rFonts w:ascii="宋体" w:hAnsi="宋体"/>
          <w:szCs w:val="21"/>
        </w:rPr>
      </w:pPr>
      <w:r>
        <w:rPr>
          <w:rFonts w:hint="eastAsia" w:ascii="宋体" w:hAnsi="宋体"/>
        </w:rPr>
        <w:t>11.1</w:t>
      </w:r>
      <w:r>
        <w:rPr>
          <w:rFonts w:hint="eastAsia" w:hAnsi="宋体"/>
        </w:rPr>
        <w:t>响应文件应包括下列内容：</w:t>
      </w:r>
    </w:p>
    <w:p>
      <w:pPr>
        <w:pStyle w:val="25"/>
        <w:adjustRightInd w:val="0"/>
        <w:snapToGrid w:val="0"/>
        <w:spacing w:line="360" w:lineRule="auto"/>
        <w:ind w:firstLine="420" w:firstLineChars="200"/>
        <w:rPr>
          <w:rFonts w:hAnsi="宋体"/>
        </w:rPr>
      </w:pPr>
      <w:r>
        <w:rPr>
          <w:rFonts w:hint="eastAsia" w:hAnsi="宋体"/>
        </w:rPr>
        <w:t>（1）谈判承诺书</w:t>
      </w:r>
    </w:p>
    <w:p>
      <w:pPr>
        <w:pStyle w:val="25"/>
        <w:adjustRightInd w:val="0"/>
        <w:snapToGrid w:val="0"/>
        <w:spacing w:line="360" w:lineRule="auto"/>
        <w:ind w:firstLine="420" w:firstLineChars="200"/>
        <w:rPr>
          <w:rFonts w:hAnsi="宋体"/>
        </w:rPr>
      </w:pPr>
      <w:r>
        <w:rPr>
          <w:rFonts w:hint="eastAsia" w:hAnsi="宋体"/>
        </w:rPr>
        <w:t>（2）法定代表人身份证明书</w:t>
      </w:r>
    </w:p>
    <w:p>
      <w:pPr>
        <w:pStyle w:val="25"/>
        <w:adjustRightInd w:val="0"/>
        <w:snapToGrid w:val="0"/>
        <w:spacing w:line="360" w:lineRule="auto"/>
        <w:ind w:firstLine="420" w:firstLineChars="200"/>
        <w:rPr>
          <w:rFonts w:hAnsi="宋体"/>
        </w:rPr>
      </w:pPr>
      <w:r>
        <w:rPr>
          <w:rFonts w:hint="eastAsia" w:hAnsi="宋体"/>
        </w:rPr>
        <w:t>（3）授权委托书</w:t>
      </w:r>
    </w:p>
    <w:p>
      <w:pPr>
        <w:pStyle w:val="25"/>
        <w:adjustRightInd w:val="0"/>
        <w:snapToGrid w:val="0"/>
        <w:spacing w:line="360" w:lineRule="auto"/>
        <w:ind w:firstLine="420" w:firstLineChars="200"/>
        <w:rPr>
          <w:rFonts w:hAnsi="宋体"/>
        </w:rPr>
      </w:pPr>
      <w:r>
        <w:rPr>
          <w:rFonts w:hint="eastAsia" w:hAnsi="宋体"/>
        </w:rPr>
        <w:t>（4）谈判单位资格条件证明文件</w:t>
      </w:r>
    </w:p>
    <w:p>
      <w:pPr>
        <w:pStyle w:val="25"/>
        <w:adjustRightInd w:val="0"/>
        <w:snapToGrid w:val="0"/>
        <w:spacing w:line="360" w:lineRule="auto"/>
        <w:ind w:firstLine="420" w:firstLineChars="200"/>
        <w:rPr>
          <w:rFonts w:hAnsi="宋体"/>
        </w:rPr>
      </w:pPr>
      <w:r>
        <w:rPr>
          <w:rFonts w:hint="eastAsia" w:hAnsi="宋体"/>
        </w:rPr>
        <w:t>（5）</w:t>
      </w:r>
      <w:r>
        <w:rPr>
          <w:rFonts w:hint="eastAsia" w:hAnsi="宋体"/>
          <w:highlight w:val="none"/>
        </w:rPr>
        <w:t>服务方案</w:t>
      </w:r>
    </w:p>
    <w:p>
      <w:pPr>
        <w:pStyle w:val="25"/>
        <w:adjustRightInd w:val="0"/>
        <w:snapToGrid w:val="0"/>
        <w:spacing w:line="360" w:lineRule="auto"/>
        <w:ind w:firstLine="420" w:firstLineChars="200"/>
        <w:rPr>
          <w:rFonts w:hAnsi="宋体"/>
        </w:rPr>
      </w:pPr>
      <w:r>
        <w:rPr>
          <w:rFonts w:hint="eastAsia" w:hAnsi="宋体"/>
        </w:rPr>
        <w:t>（6）报价一览表</w:t>
      </w:r>
    </w:p>
    <w:p>
      <w:pPr>
        <w:pStyle w:val="25"/>
        <w:adjustRightInd w:val="0"/>
        <w:snapToGrid w:val="0"/>
        <w:spacing w:line="360" w:lineRule="auto"/>
        <w:ind w:firstLine="420" w:firstLineChars="200"/>
        <w:rPr>
          <w:rFonts w:hAnsi="宋体"/>
        </w:rPr>
      </w:pPr>
      <w:r>
        <w:rPr>
          <w:rFonts w:hint="eastAsia" w:hAnsi="宋体"/>
        </w:rPr>
        <w:t>（7）其他资料（如有）</w:t>
      </w:r>
    </w:p>
    <w:p>
      <w:pPr>
        <w:pStyle w:val="25"/>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adjustRightInd w:val="0"/>
        <w:snapToGrid w:val="0"/>
        <w:spacing w:line="360" w:lineRule="auto"/>
        <w:ind w:firstLine="420" w:firstLineChars="200"/>
        <w:rPr>
          <w:rFonts w:ascii="宋体" w:hAnsi="宋体"/>
        </w:rPr>
      </w:pPr>
      <w:r>
        <w:rPr>
          <w:rFonts w:hint="eastAsia" w:ascii="宋体" w:hAnsi="宋体"/>
        </w:rPr>
        <w:t>12.1谈判单位应按</w:t>
      </w:r>
      <w:r>
        <w:rPr>
          <w:rFonts w:hint="eastAsia" w:hAnsi="宋体"/>
          <w:b/>
          <w:bCs/>
          <w:szCs w:val="21"/>
        </w:rPr>
        <w:t>第六章</w:t>
      </w:r>
      <w:r>
        <w:rPr>
          <w:rFonts w:hint="eastAsia" w:ascii="宋体" w:hAnsi="宋体"/>
        </w:rPr>
        <w:t>“响应文件格式”的要求在报价文件中进行报价。</w:t>
      </w:r>
      <w:r>
        <w:rPr>
          <w:rFonts w:hint="eastAsia" w:ascii="宋体" w:hAnsi="宋体"/>
          <w:szCs w:val="21"/>
        </w:rPr>
        <w:t>谈判单位所报的总价及综合单价均不得超过</w:t>
      </w:r>
      <w:r>
        <w:rPr>
          <w:rFonts w:ascii="宋体" w:hAnsi="宋体"/>
          <w:szCs w:val="21"/>
          <w:highlight w:val="none"/>
        </w:rPr>
        <w:t>最高投标限价</w:t>
      </w:r>
      <w:r>
        <w:rPr>
          <w:rFonts w:hint="eastAsia" w:ascii="宋体" w:hAnsi="宋体"/>
          <w:highlight w:val="none"/>
        </w:rPr>
        <w:t>，</w:t>
      </w:r>
      <w:r>
        <w:rPr>
          <w:rFonts w:hint="eastAsia" w:ascii="宋体" w:hAnsi="宋体"/>
          <w:szCs w:val="21"/>
        </w:rPr>
        <w:t>不超过</w:t>
      </w:r>
      <w:r>
        <w:rPr>
          <w:rFonts w:ascii="宋体" w:hAnsi="宋体"/>
          <w:szCs w:val="21"/>
          <w:highlight w:val="none"/>
        </w:rPr>
        <w:t>最高投标限价</w:t>
      </w:r>
      <w:r>
        <w:rPr>
          <w:rFonts w:hint="eastAsia" w:ascii="宋体" w:hAnsi="宋体"/>
          <w:szCs w:val="21"/>
        </w:rPr>
        <w:t>的报价方为有效报价，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hAnsi="宋体"/>
          <w:szCs w:val="21"/>
        </w:rPr>
        <w:t>谈判单位应充分了解该项目的总体情况以及影响谈判报价的其他要素。</w:t>
      </w:r>
      <w:r>
        <w:rPr>
          <w:rFonts w:hint="eastAsia" w:hAnsi="宋体"/>
          <w:b/>
          <w:szCs w:val="21"/>
        </w:rPr>
        <w:t>最终结算以长沙市轨道交通运营有限公司审核为准。</w:t>
      </w:r>
    </w:p>
    <w:p>
      <w:pPr>
        <w:adjustRightInd w:val="0"/>
        <w:snapToGrid w:val="0"/>
        <w:spacing w:line="360" w:lineRule="auto"/>
        <w:ind w:firstLine="420" w:firstLineChars="200"/>
        <w:rPr>
          <w:rFonts w:ascii="宋体" w:hAnsi="宋体"/>
          <w:szCs w:val="21"/>
        </w:rPr>
      </w:pPr>
      <w:r>
        <w:rPr>
          <w:rFonts w:hint="eastAsia" w:ascii="宋体" w:hAnsi="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hint="eastAsia" w:ascii="宋体" w:hAnsi="宋体"/>
          <w:szCs w:val="21"/>
        </w:rPr>
        <w:t>谈判</w:t>
      </w:r>
      <w:r>
        <w:rPr>
          <w:rFonts w:ascii="宋体" w:hAnsi="宋体"/>
          <w:szCs w:val="21"/>
        </w:rPr>
        <w:t>截止时间前修改</w:t>
      </w:r>
      <w:r>
        <w:rPr>
          <w:rFonts w:hint="eastAsia" w:ascii="宋体" w:hAnsi="宋体"/>
          <w:szCs w:val="21"/>
        </w:rPr>
        <w:t>报价文件</w:t>
      </w:r>
      <w:r>
        <w:rPr>
          <w:rFonts w:ascii="宋体" w:hAnsi="宋体"/>
          <w:szCs w:val="21"/>
        </w:rPr>
        <w:t>中的</w:t>
      </w:r>
      <w:r>
        <w:rPr>
          <w:rFonts w:hint="eastAsia" w:ascii="宋体" w:hAnsi="宋体"/>
          <w:szCs w:val="21"/>
        </w:rPr>
        <w:t>谈判总</w:t>
      </w:r>
      <w:r>
        <w:rPr>
          <w:rFonts w:ascii="宋体" w:hAnsi="宋体"/>
          <w:szCs w:val="21"/>
        </w:rPr>
        <w:t>报价，应同时修改</w:t>
      </w:r>
      <w:r>
        <w:rPr>
          <w:rFonts w:hint="eastAsia" w:ascii="宋体" w:hAnsi="宋体"/>
          <w:szCs w:val="21"/>
        </w:rPr>
        <w:t>报价</w:t>
      </w:r>
      <w:r>
        <w:rPr>
          <w:rFonts w:ascii="宋体" w:hAnsi="宋体"/>
          <w:szCs w:val="21"/>
        </w:rPr>
        <w:t>文件</w:t>
      </w:r>
      <w:r>
        <w:rPr>
          <w:rFonts w:hint="eastAsia" w:ascii="宋体" w:hAnsi="宋体"/>
          <w:szCs w:val="21"/>
        </w:rPr>
        <w:t>《报价一览表》和《分项价格表》</w:t>
      </w:r>
      <w:r>
        <w:rPr>
          <w:rFonts w:ascii="宋体" w:hAnsi="宋体"/>
          <w:szCs w:val="21"/>
        </w:rPr>
        <w:t>中的相应报价。</w:t>
      </w:r>
    </w:p>
    <w:p>
      <w:pPr>
        <w:adjustRightInd w:val="0"/>
        <w:snapToGrid w:val="0"/>
        <w:spacing w:line="360" w:lineRule="auto"/>
        <w:ind w:firstLine="420" w:firstLineChars="200"/>
        <w:rPr>
          <w:rFonts w:ascii="宋体" w:hAnsi="宋体"/>
          <w:szCs w:val="21"/>
        </w:rPr>
      </w:pPr>
      <w:r>
        <w:rPr>
          <w:rFonts w:hint="eastAsia" w:ascii="宋体" w:hAnsi="宋体"/>
          <w:szCs w:val="21"/>
        </w:rPr>
        <w:t>12.4本项目</w:t>
      </w:r>
      <w:r>
        <w:rPr>
          <w:rFonts w:ascii="宋体" w:hAnsi="宋体"/>
          <w:szCs w:val="21"/>
          <w:highlight w:val="none"/>
        </w:rPr>
        <w:t>最高投标限价</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adjustRightInd w:val="0"/>
        <w:snapToGrid w:val="0"/>
        <w:spacing w:line="360" w:lineRule="auto"/>
        <w:ind w:firstLine="420" w:firstLineChars="200"/>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olor w:val="FF0000"/>
          <w:szCs w:val="21"/>
          <w:highlight w:val="none"/>
        </w:rPr>
      </w:pPr>
      <w:r>
        <w:rPr>
          <w:rFonts w:hint="eastAsia" w:ascii="宋体" w:hAnsi="宋体"/>
          <w:bCs/>
          <w:szCs w:val="21"/>
          <w:highlight w:val="none"/>
        </w:rPr>
        <w:t>12.7最低报价不能作为中选的保证。</w:t>
      </w:r>
    </w:p>
    <w:p>
      <w:pPr>
        <w:adjustRightInd w:val="0"/>
        <w:snapToGrid w:val="0"/>
        <w:spacing w:line="360" w:lineRule="auto"/>
        <w:ind w:firstLine="420" w:firstLineChars="200"/>
        <w:rPr>
          <w:rFonts w:hAnsi="宋体"/>
          <w:highlight w:val="none"/>
        </w:rPr>
      </w:pPr>
      <w:r>
        <w:rPr>
          <w:rFonts w:hint="eastAsia" w:ascii="宋体" w:hAnsi="宋体"/>
          <w:szCs w:val="21"/>
          <w:highlight w:val="none"/>
        </w:rPr>
        <w:t>12.8</w:t>
      </w:r>
      <w:r>
        <w:rPr>
          <w:rFonts w:hint="eastAsia" w:ascii="宋体" w:hAnsi="宋体" w:cs="宋体"/>
          <w:highlight w:val="none"/>
        </w:rPr>
        <w:t>本项目采用总价合同方式，合同价格包括在维保过程中所需的管理费、利润、税金等一切费用。在项目实施中出现任何遗漏，均由乙方免费提供，甲方不再支付任何费用。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215"/>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w:t>
      </w:r>
      <w:r>
        <w:rPr>
          <w:rFonts w:hint="eastAsia" w:hAnsi="宋体"/>
          <w:b/>
          <w:bCs/>
          <w:sz w:val="21"/>
          <w:szCs w:val="21"/>
        </w:rPr>
        <w:t>第六章</w:t>
      </w:r>
      <w:r>
        <w:rPr>
          <w:rFonts w:hAnsi="宋体"/>
          <w:sz w:val="21"/>
          <w:szCs w:val="21"/>
        </w:rPr>
        <w:t>“</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w:t>
      </w:r>
      <w:r>
        <w:rPr>
          <w:rFonts w:hint="eastAsia" w:hAnsi="宋体" w:cs="Times New Roman"/>
          <w:b/>
          <w:bCs/>
        </w:rPr>
        <w:t>第六章</w:t>
      </w:r>
      <w:r>
        <w:rPr>
          <w:rFonts w:hint="eastAsia" w:hAnsi="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Times New Roman"/>
          <w:b/>
          <w:bCs/>
        </w:rPr>
        <w:t>第六章</w:t>
      </w:r>
      <w:r>
        <w:rPr>
          <w:rFonts w:hAnsi="宋体"/>
        </w:rPr>
        <w:t>“</w:t>
      </w:r>
      <w:r>
        <w:rPr>
          <w:rFonts w:hint="eastAsia" w:hAnsi="宋体"/>
        </w:rPr>
        <w:t>响应文件格式</w:t>
      </w:r>
      <w:r>
        <w:rPr>
          <w:rFonts w:hAnsi="宋体"/>
        </w:rPr>
        <w:t>”</w:t>
      </w:r>
      <w:r>
        <w:rPr>
          <w:rFonts w:hint="eastAsia" w:hAnsi="宋体"/>
        </w:rPr>
        <w:t>的要求。</w:t>
      </w:r>
    </w:p>
    <w:p>
      <w:pPr>
        <w:pStyle w:val="25"/>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spacing w:before="0" w:after="0" w:line="360" w:lineRule="auto"/>
        <w:rPr>
          <w:rFonts w:ascii="宋体" w:hAnsi="宋体" w:cs="宋体"/>
          <w:sz w:val="21"/>
          <w:szCs w:val="21"/>
        </w:rPr>
      </w:pPr>
      <w:bookmarkStart w:id="7" w:name="_Toc664"/>
      <w:r>
        <w:rPr>
          <w:rFonts w:hint="eastAsia" w:ascii="宋体" w:hAnsi="宋体" w:cs="宋体"/>
          <w:sz w:val="21"/>
          <w:szCs w:val="21"/>
        </w:rPr>
        <w:t>四、响应文件的递交</w:t>
      </w:r>
      <w:bookmarkEnd w:id="7"/>
    </w:p>
    <w:p>
      <w:pPr>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adjustRightInd w:val="0"/>
        <w:snapToGrid w:val="0"/>
        <w:spacing w:line="360" w:lineRule="auto"/>
        <w:ind w:firstLine="420" w:firstLineChars="200"/>
        <w:jc w:val="left"/>
        <w:rPr>
          <w:rFonts w:ascii="宋体" w:hAnsi="宋体"/>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宋体" w:hAnsi="宋体"/>
                <w:szCs w:val="21"/>
                <w:u w:val="single"/>
              </w:rPr>
            </w:pPr>
            <w:r>
              <w:rPr>
                <w:rFonts w:hint="eastAsia" w:ascii="宋体" w:hAnsi="宋体"/>
                <w:szCs w:val="21"/>
              </w:rPr>
              <w:t>采购单位：</w:t>
            </w:r>
          </w:p>
          <w:p>
            <w:pPr>
              <w:spacing w:line="360" w:lineRule="auto"/>
              <w:ind w:firstLine="420" w:firstLineChars="200"/>
              <w:rPr>
                <w:rFonts w:ascii="宋体" w:hAnsi="宋体"/>
                <w:szCs w:val="21"/>
                <w:u w:val="single"/>
              </w:rPr>
            </w:pPr>
            <w:r>
              <w:rPr>
                <w:rFonts w:hint="eastAsia" w:ascii="宋体" w:hAnsi="宋体"/>
                <w:szCs w:val="21"/>
              </w:rPr>
              <w:t>项目名称：</w:t>
            </w:r>
          </w:p>
          <w:p>
            <w:pPr>
              <w:spacing w:line="360" w:lineRule="auto"/>
              <w:ind w:firstLine="420" w:firstLineChars="200"/>
              <w:rPr>
                <w:rFonts w:ascii="宋体" w:hAnsi="宋体"/>
                <w:szCs w:val="21"/>
                <w:u w:val="single"/>
              </w:rPr>
            </w:pPr>
            <w:r>
              <w:rPr>
                <w:rFonts w:hint="eastAsia" w:ascii="宋体" w:hAnsi="宋体"/>
                <w:szCs w:val="21"/>
              </w:rPr>
              <w:t>谈判单位：</w:t>
            </w:r>
            <w:r>
              <w:rPr>
                <w:rFonts w:hint="eastAsia" w:ascii="宋体" w:hAnsi="宋体"/>
                <w:szCs w:val="21"/>
                <w:u w:val="single"/>
              </w:rPr>
              <w:t>（填写单位名称并加盖单位公章）</w:t>
            </w:r>
          </w:p>
          <w:p>
            <w:pPr>
              <w:spacing w:line="360" w:lineRule="auto"/>
              <w:ind w:firstLine="420" w:firstLineChars="200"/>
              <w:rPr>
                <w:rFonts w:ascii="宋体" w:hAnsi="宋体"/>
                <w:szCs w:val="21"/>
              </w:rPr>
            </w:pPr>
            <w:r>
              <w:rPr>
                <w:rFonts w:hint="eastAsia" w:ascii="宋体" w:hAnsi="宋体"/>
                <w:bCs/>
                <w:szCs w:val="21"/>
              </w:rPr>
              <w:t>年     月     日</w:t>
            </w:r>
          </w:p>
        </w:tc>
      </w:tr>
    </w:tbl>
    <w:p>
      <w:pPr>
        <w:adjustRightInd w:val="0"/>
        <w:snapToGrid w:val="0"/>
        <w:spacing w:line="360" w:lineRule="auto"/>
        <w:ind w:firstLine="422" w:firstLineChars="200"/>
        <w:rPr>
          <w:rFonts w:ascii="宋体" w:hAnsi="宋体"/>
          <w:b/>
          <w:bCs/>
          <w:szCs w:val="21"/>
        </w:rPr>
      </w:pPr>
      <w:r>
        <w:rPr>
          <w:rFonts w:hint="eastAsia" w:ascii="宋体" w:hAnsi="宋体"/>
          <w:b/>
          <w:bCs/>
          <w:szCs w:val="21"/>
        </w:rPr>
        <w:t>17.响应文件的递交</w:t>
      </w:r>
    </w:p>
    <w:p>
      <w:pPr>
        <w:adjustRightInd w:val="0"/>
        <w:snapToGrid w:val="0"/>
        <w:spacing w:line="360" w:lineRule="auto"/>
        <w:ind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spacing w:before="0" w:after="0" w:line="360" w:lineRule="auto"/>
        <w:rPr>
          <w:rFonts w:ascii="宋体" w:hAnsi="宋体" w:cs="宋体"/>
          <w:sz w:val="21"/>
          <w:szCs w:val="21"/>
        </w:rPr>
      </w:pPr>
      <w:bookmarkStart w:id="8" w:name="_Toc4809"/>
      <w:r>
        <w:rPr>
          <w:rFonts w:hint="eastAsia" w:ascii="宋体" w:hAnsi="宋体" w:cs="宋体"/>
          <w:sz w:val="21"/>
          <w:szCs w:val="21"/>
        </w:rPr>
        <w:t>五、响应文件的评审</w:t>
      </w:r>
      <w:bookmarkEnd w:id="8"/>
    </w:p>
    <w:p>
      <w:pPr>
        <w:adjustRightInd w:val="0"/>
        <w:snapToGrid w:val="0"/>
        <w:spacing w:line="360" w:lineRule="auto"/>
        <w:ind w:firstLine="420" w:firstLineChars="200"/>
        <w:rPr>
          <w:rFonts w:ascii="黑体" w:hAnsi="宋体" w:eastAsia="黑体"/>
          <w:b/>
          <w:sz w:val="24"/>
        </w:rPr>
      </w:pPr>
      <w:r>
        <w:rPr>
          <w:rFonts w:hint="eastAsia" w:ascii="宋体" w:hAnsi="宋体"/>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sz w:val="21"/>
          <w:szCs w:val="21"/>
        </w:rPr>
      </w:pPr>
      <w:bookmarkStart w:id="9" w:name="_Toc25543"/>
      <w:r>
        <w:rPr>
          <w:rFonts w:hint="eastAsia" w:ascii="宋体" w:hAnsi="宋体" w:cs="宋体"/>
          <w:sz w:val="21"/>
          <w:szCs w:val="21"/>
        </w:rPr>
        <w:t>六、响应文件的澄清、说明及补正</w:t>
      </w:r>
      <w:bookmarkEnd w:id="9"/>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jc w:val="left"/>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spacing w:before="0" w:after="0" w:line="360" w:lineRule="auto"/>
        <w:rPr>
          <w:rFonts w:ascii="宋体" w:hAnsi="宋体" w:cs="宋体"/>
          <w:sz w:val="21"/>
          <w:szCs w:val="21"/>
        </w:rPr>
      </w:pPr>
      <w:bookmarkStart w:id="10" w:name="_Toc25353"/>
      <w:r>
        <w:rPr>
          <w:rFonts w:hint="eastAsia" w:ascii="宋体" w:hAnsi="宋体" w:cs="宋体"/>
          <w:sz w:val="21"/>
          <w:szCs w:val="21"/>
        </w:rPr>
        <w:t>七、中选结果与授予合同</w:t>
      </w:r>
      <w:bookmarkEnd w:id="10"/>
    </w:p>
    <w:p>
      <w:pPr>
        <w:adjustRightInd w:val="0"/>
        <w:snapToGrid w:val="0"/>
        <w:spacing w:line="360" w:lineRule="auto"/>
        <w:ind w:firstLine="422" w:firstLineChars="200"/>
        <w:rPr>
          <w:rFonts w:ascii="宋体" w:hAnsi="宋体"/>
          <w:b/>
          <w:bCs/>
          <w:szCs w:val="21"/>
        </w:rPr>
      </w:pPr>
      <w:r>
        <w:rPr>
          <w:rFonts w:hint="eastAsia" w:ascii="宋体" w:hAnsi="宋体"/>
          <w:b/>
          <w:bCs/>
          <w:szCs w:val="21"/>
        </w:rPr>
        <w:t>21.中选信息的公布</w:t>
      </w:r>
    </w:p>
    <w:p>
      <w:pPr>
        <w:pStyle w:val="25"/>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adjustRightInd w:val="0"/>
        <w:snapToGrid w:val="0"/>
        <w:spacing w:line="360" w:lineRule="auto"/>
        <w:ind w:firstLine="422" w:firstLineChars="200"/>
      </w:pPr>
      <w:r>
        <w:rPr>
          <w:rFonts w:hint="eastAsia" w:hAnsi="宋体"/>
          <w:b/>
          <w:bCs/>
        </w:rPr>
        <w:t>22.评审结果异议</w:t>
      </w:r>
      <w:r>
        <w:rPr>
          <w:rFonts w:hAnsi="宋体" w:cs="宋体"/>
          <w:kern w:val="0"/>
          <w:sz w:val="24"/>
          <w:szCs w:val="24"/>
        </w:rPr>
        <w:br w:type="textWrapping"/>
      </w:r>
      <w:r>
        <w:rPr>
          <w:rFonts w:hint="eastAsia" w:hAnsi="宋体"/>
        </w:rPr>
        <w:t>22.1谈判单位对评审结果有异议的，应当在结果公示期间提出。</w:t>
      </w:r>
      <w:r>
        <w:rPr>
          <w:rFonts w:hint="eastAsia" w:hAnsi="宋体"/>
        </w:rPr>
        <w:br w:type="textWrapping"/>
      </w:r>
      <w:r>
        <w:rPr>
          <w:rFonts w:hint="eastAsia" w:hAnsi="宋体"/>
        </w:rPr>
        <w:t>22.2异议的提出与处理按相关规定执行。</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23.中选通知</w:t>
      </w:r>
    </w:p>
    <w:p>
      <w:pPr>
        <w:pStyle w:val="25"/>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24.签订合同</w:t>
      </w:r>
    </w:p>
    <w:p>
      <w:pPr>
        <w:pStyle w:val="25"/>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adjustRightInd w:val="0"/>
        <w:snapToGrid w:val="0"/>
        <w:spacing w:line="360" w:lineRule="auto"/>
        <w:ind w:firstLine="420" w:firstLineChars="200"/>
        <w:rPr>
          <w:rFonts w:hAnsi="宋体"/>
        </w:rPr>
      </w:pPr>
      <w:r>
        <w:rPr>
          <w:rFonts w:hint="eastAsia" w:hAnsi="宋体"/>
        </w:rPr>
        <w:t>24.3中选单位应当按照合同约定履行义务。</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25.纪律和监督</w:t>
      </w:r>
    </w:p>
    <w:p>
      <w:pPr>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215"/>
        <w:ind w:firstLine="420" w:firstLineChars="200"/>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215"/>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215"/>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11" w:name="page32"/>
      <w:bookmarkEnd w:id="11"/>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sz w:val="21"/>
          <w:szCs w:val="21"/>
        </w:rPr>
      </w:pPr>
      <w:bookmarkStart w:id="12" w:name="_Toc27069"/>
      <w:r>
        <w:rPr>
          <w:rFonts w:hint="eastAsia" w:ascii="宋体" w:hAnsi="宋体" w:cs="宋体"/>
          <w:sz w:val="21"/>
          <w:szCs w:val="21"/>
        </w:rPr>
        <w:t>八、其他</w:t>
      </w:r>
      <w:bookmarkEnd w:id="12"/>
    </w:p>
    <w:p>
      <w:pPr>
        <w:adjustRightInd w:val="0"/>
        <w:snapToGrid w:val="0"/>
        <w:spacing w:line="360" w:lineRule="auto"/>
        <w:ind w:firstLine="420" w:firstLineChars="200"/>
        <w:sectPr>
          <w:pgSz w:w="12240" w:h="15840"/>
          <w:pgMar w:top="1440" w:right="1800" w:bottom="1440" w:left="1800" w:header="720" w:footer="720" w:gutter="0"/>
          <w:cols w:space="720" w:num="1"/>
          <w:titlePg/>
          <w:docGrid w:type="lines" w:linePitch="323" w:charSpace="0"/>
        </w:sect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采购代理服务收费参照汇率表</w:t>
      </w:r>
    </w:p>
    <w:tbl>
      <w:tblPr>
        <w:tblStyle w:val="46"/>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shd w:val="clear" w:color="auto" w:fill="auto"/>
            <w:vAlign w:val="center"/>
          </w:tcPr>
          <w:p>
            <w:pPr>
              <w:adjustRightInd w:val="0"/>
              <w:snapToGrid w:val="0"/>
              <w:spacing w:line="360" w:lineRule="auto"/>
              <w:ind w:firstLine="420" w:firstLineChars="200"/>
              <w:jc w:val="right"/>
              <w:rPr>
                <w:rFonts w:ascii="宋体" w:hAnsi="宋体" w:cs="宋体"/>
                <w:bCs/>
                <w:szCs w:val="21"/>
              </w:rPr>
            </w:pPr>
            <w:r>
              <w:rPr>
                <w:rFonts w:hint="eastAsia" w:ascii="宋体" w:hAnsi="宋体" w:cs="宋体"/>
                <w:bCs/>
                <w:szCs w:val="21"/>
              </w:rPr>
              <w:t>汇率</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中选金额</w:t>
            </w:r>
          </w:p>
        </w:tc>
        <w:tc>
          <w:tcPr>
            <w:tcW w:w="2451" w:type="dxa"/>
            <w:tcBorders>
              <w:top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货物采购</w:t>
            </w:r>
          </w:p>
        </w:tc>
        <w:tc>
          <w:tcPr>
            <w:tcW w:w="2325" w:type="dxa"/>
            <w:tcBorders>
              <w:top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服务采购</w:t>
            </w:r>
          </w:p>
        </w:tc>
        <w:tc>
          <w:tcPr>
            <w:tcW w:w="2367" w:type="dxa"/>
            <w:tcBorders>
              <w:top w:val="single" w:color="auto" w:sz="12" w:space="0"/>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100万元以下</w:t>
            </w:r>
          </w:p>
        </w:tc>
        <w:tc>
          <w:tcPr>
            <w:tcW w:w="2451"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1.5%</w:t>
            </w:r>
          </w:p>
        </w:tc>
        <w:tc>
          <w:tcPr>
            <w:tcW w:w="2325"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1.5%</w:t>
            </w:r>
          </w:p>
        </w:tc>
        <w:tc>
          <w:tcPr>
            <w:tcW w:w="2367" w:type="dxa"/>
            <w:tcBorders>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100～400万元</w:t>
            </w:r>
          </w:p>
        </w:tc>
        <w:tc>
          <w:tcPr>
            <w:tcW w:w="2451"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1.1%</w:t>
            </w:r>
          </w:p>
        </w:tc>
        <w:tc>
          <w:tcPr>
            <w:tcW w:w="2325"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0.8%</w:t>
            </w:r>
          </w:p>
        </w:tc>
        <w:tc>
          <w:tcPr>
            <w:tcW w:w="2367" w:type="dxa"/>
            <w:tcBorders>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备注</w:t>
            </w:r>
          </w:p>
        </w:tc>
        <w:tc>
          <w:tcPr>
            <w:tcW w:w="7143" w:type="dxa"/>
            <w:gridSpan w:val="3"/>
            <w:tcBorders>
              <w:left w:val="single" w:color="auto" w:sz="4" w:space="0"/>
              <w:bottom w:val="single" w:color="auto" w:sz="12" w:space="0"/>
              <w:right w:val="single" w:color="auto" w:sz="12" w:space="0"/>
            </w:tcBorders>
            <w:shd w:val="clear" w:color="auto" w:fill="auto"/>
            <w:vAlign w:val="center"/>
          </w:tcPr>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100万元×1.0%＝1万元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（300-100）万元×0.7%＝1.4万元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合计收费＝1+1.4＝2.4（万元）</w:t>
      </w:r>
    </w:p>
    <w:p>
      <w:pPr>
        <w:pStyle w:val="3"/>
        <w:keepNext w:val="0"/>
        <w:spacing w:line="360" w:lineRule="auto"/>
        <w:ind w:firstLine="643" w:firstLineChars="200"/>
        <w:rPr>
          <w:rFonts w:ascii="宋体" w:hAnsi="宋体" w:cs="宋体"/>
          <w:bCs w:val="0"/>
          <w:sz w:val="32"/>
          <w:szCs w:val="32"/>
        </w:rPr>
      </w:pPr>
      <w:bookmarkStart w:id="13" w:name="_Toc30375"/>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r>
        <w:rPr>
          <w:rFonts w:hint="eastAsia" w:ascii="宋体" w:hAnsi="宋体" w:cs="宋体"/>
          <w:bCs w:val="0"/>
          <w:sz w:val="32"/>
          <w:szCs w:val="32"/>
        </w:rPr>
        <w:t>第三章 评审办法及标准</w:t>
      </w:r>
      <w:bookmarkEnd w:id="13"/>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20" w:firstLineChars="200"/>
        <w:rPr>
          <w:rFonts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黑体" w:hAnsi="宋体"/>
          <w:b/>
          <w:sz w:val="24"/>
        </w:rPr>
      </w:pPr>
      <w:r>
        <w:rPr>
          <w:rFonts w:hint="eastAsia" w:ascii="宋体" w:hAnsi="宋体"/>
          <w:bCs/>
          <w:szCs w:val="21"/>
        </w:rPr>
        <w:t>3．谈判程序分为：</w:t>
      </w:r>
      <w:r>
        <w:rPr>
          <w:rFonts w:hint="eastAsia" w:ascii="宋体" w:hAnsi="宋体"/>
          <w:b/>
          <w:szCs w:val="21"/>
        </w:rPr>
        <w:t>谈判验证阶段及谈判评审阶段。</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三、谈判验证阶段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谈判验证阶段分为身份验证和唱价。</w:t>
      </w:r>
    </w:p>
    <w:p>
      <w:pPr>
        <w:adjustRightInd w:val="0"/>
        <w:snapToGrid w:val="0"/>
        <w:spacing w:line="360" w:lineRule="auto"/>
        <w:ind w:firstLine="420" w:firstLineChars="200"/>
        <w:rPr>
          <w:rFonts w:ascii="宋体" w:hAnsi="宋体"/>
          <w:bCs/>
          <w:szCs w:val="21"/>
        </w:rPr>
      </w:pPr>
      <w:r>
        <w:rPr>
          <w:rFonts w:hint="eastAsia" w:ascii="宋体" w:hAnsi="宋体"/>
          <w:bCs/>
          <w:szCs w:val="21"/>
        </w:rPr>
        <w:t>4.身份验证阶段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szCs w:val="21"/>
        </w:rPr>
      </w:pPr>
      <w:r>
        <w:rPr>
          <w:rFonts w:hint="eastAsia" w:ascii="宋体" w:hAnsi="宋体"/>
          <w:bCs/>
          <w:szCs w:val="21"/>
        </w:rPr>
        <w:t>4.2参与谈判的代表身份经验证不合格的，视为无效响应，</w:t>
      </w:r>
      <w:r>
        <w:rPr>
          <w:rFonts w:hint="eastAsia" w:ascii="宋体" w:hAnsi="宋体"/>
          <w:szCs w:val="21"/>
        </w:rPr>
        <w:t>不得进入下一阶段。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5.唱价阶段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bCs/>
          <w:szCs w:val="21"/>
        </w:rPr>
      </w:pPr>
      <w:r>
        <w:rPr>
          <w:rFonts w:hint="eastAsia" w:ascii="宋体" w:hAnsi="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四、谈判审查阶段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谈判评审阶段分为符合性审查、详细评审及推荐中选单位。</w:t>
      </w:r>
    </w:p>
    <w:p>
      <w:pPr>
        <w:adjustRightInd w:val="0"/>
        <w:snapToGrid w:val="0"/>
        <w:spacing w:line="360" w:lineRule="auto"/>
        <w:ind w:firstLine="422" w:firstLineChars="200"/>
        <w:rPr>
          <w:rFonts w:ascii="宋体" w:hAnsi="宋体"/>
          <w:b/>
          <w:szCs w:val="21"/>
        </w:rPr>
      </w:pPr>
      <w:r>
        <w:rPr>
          <w:rFonts w:hint="eastAsia" w:ascii="宋体" w:hAnsi="宋体"/>
          <w:b/>
          <w:szCs w:val="21"/>
        </w:rPr>
        <w:t>6.符合性审查阶段</w:t>
      </w:r>
    </w:p>
    <w:p>
      <w:pPr>
        <w:adjustRightInd w:val="0"/>
        <w:snapToGrid w:val="0"/>
        <w:spacing w:line="360" w:lineRule="auto"/>
        <w:ind w:firstLine="420" w:firstLineChars="200"/>
        <w:rPr>
          <w:rFonts w:ascii="宋体" w:hAnsi="宋体"/>
          <w:szCs w:val="21"/>
        </w:rPr>
      </w:pPr>
      <w:r>
        <w:rPr>
          <w:rFonts w:hint="eastAsia" w:ascii="宋体" w:hAnsi="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6.1资格的符合性审查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szCs w:val="21"/>
        </w:rPr>
      </w:pPr>
      <w:r>
        <w:rPr>
          <w:rFonts w:hint="eastAsia" w:ascii="宋体" w:hAnsi="宋体"/>
          <w:szCs w:val="21"/>
        </w:rPr>
        <w:t>6.2报价的符合性审查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（4）不满足用户需求书要求书的；</w:t>
      </w:r>
    </w:p>
    <w:p>
      <w:pPr>
        <w:adjustRightInd w:val="0"/>
        <w:snapToGrid w:val="0"/>
        <w:spacing w:line="360" w:lineRule="auto"/>
        <w:ind w:firstLine="420" w:firstLineChars="200"/>
        <w:rPr>
          <w:rFonts w:ascii="宋体" w:hAnsi="宋体"/>
          <w:szCs w:val="21"/>
        </w:rPr>
      </w:pPr>
      <w:r>
        <w:rPr>
          <w:rFonts w:hint="eastAsia" w:ascii="宋体" w:hAnsi="宋体"/>
          <w:szCs w:val="21"/>
        </w:rPr>
        <w:t>（5）超过</w:t>
      </w:r>
      <w:r>
        <w:rPr>
          <w:rFonts w:ascii="宋体" w:hAnsi="宋体"/>
          <w:szCs w:val="21"/>
          <w:highlight w:val="none"/>
        </w:rPr>
        <w:t>最高投标限价</w:t>
      </w:r>
      <w:r>
        <w:rPr>
          <w:rFonts w:hint="eastAsia" w:ascii="宋体" w:hAnsi="宋体"/>
          <w:szCs w:val="21"/>
        </w:rPr>
        <w:t>的；</w:t>
      </w:r>
    </w:p>
    <w:p>
      <w:pPr>
        <w:adjustRightInd w:val="0"/>
        <w:snapToGrid w:val="0"/>
        <w:spacing w:line="360" w:lineRule="auto"/>
        <w:ind w:firstLine="420" w:firstLineChars="200"/>
        <w:rPr>
          <w:rFonts w:ascii="黑体" w:hAnsi="宋体" w:eastAsia="黑体"/>
          <w:b/>
          <w:sz w:val="24"/>
        </w:rPr>
      </w:pPr>
      <w:r>
        <w:rPr>
          <w:rFonts w:hint="eastAsia" w:ascii="宋体" w:hAnsi="宋体"/>
          <w:szCs w:val="21"/>
        </w:rPr>
        <w:t xml:space="preserve">（6）递交两份或多份内容不同的报价文件，或在一份报价文件中对同一项目报有两个或多个报价，且未声明哪一个有效的 </w:t>
      </w:r>
    </w:p>
    <w:p>
      <w:pPr>
        <w:adjustRightInd w:val="0"/>
        <w:snapToGrid w:val="0"/>
        <w:spacing w:line="360" w:lineRule="auto"/>
        <w:ind w:firstLine="422" w:firstLineChars="200"/>
        <w:rPr>
          <w:rFonts w:ascii="宋体" w:hAnsi="宋体"/>
          <w:b/>
          <w:bCs/>
          <w:szCs w:val="21"/>
        </w:rPr>
      </w:pPr>
      <w:r>
        <w:rPr>
          <w:rFonts w:hint="eastAsia" w:ascii="宋体" w:hAnsi="宋体"/>
          <w:b/>
          <w:szCs w:val="21"/>
        </w:rPr>
        <w:t>7.</w:t>
      </w:r>
      <w:r>
        <w:rPr>
          <w:rFonts w:hint="eastAsia" w:ascii="宋体" w:hAnsi="宋体"/>
          <w:b/>
          <w:bCs/>
          <w:szCs w:val="21"/>
        </w:rPr>
        <w:t>详细评审阶段</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b/>
          <w:bCs/>
          <w:szCs w:val="21"/>
        </w:rPr>
      </w:pPr>
      <w:r>
        <w:rPr>
          <w:rFonts w:hint="eastAsia" w:ascii="宋体" w:hAnsi="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8.推荐中选单位</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bCs/>
          <w:szCs w:val="21"/>
        </w:rPr>
        <w:t xml:space="preserve">8.1 </w:t>
      </w:r>
      <w:r>
        <w:rPr>
          <w:rFonts w:hint="eastAsia" w:ascii="宋体" w:hAnsi="宋体" w:cs="宋体"/>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szCs w:val="21"/>
        </w:rPr>
      </w:pPr>
      <w:r>
        <w:rPr>
          <w:rFonts w:hint="eastAsia" w:ascii="宋体" w:hAnsi="宋体" w:cs="宋体"/>
          <w:kern w:val="0"/>
          <w:szCs w:val="21"/>
        </w:rPr>
        <w:t>8.2 全部评审结束后，若出现报价得分相同的情形，则采用现场抽签方式确定中选单位。</w:t>
      </w:r>
    </w:p>
    <w:p>
      <w:pPr>
        <w:adjustRightInd w:val="0"/>
        <w:snapToGrid w:val="0"/>
        <w:spacing w:before="120" w:beforeLines="50" w:line="360" w:lineRule="auto"/>
        <w:ind w:firstLine="643" w:firstLineChars="200"/>
        <w:rPr>
          <w:rFonts w:ascii="黑体" w:eastAsia="黑体"/>
          <w:b/>
          <w:sz w:val="32"/>
          <w:szCs w:val="32"/>
        </w:rPr>
        <w:sectPr>
          <w:footerReference r:id="rId7" w:type="default"/>
          <w:pgSz w:w="11906" w:h="16838"/>
          <w:pgMar w:top="1440" w:right="1797" w:bottom="1440" w:left="1797" w:header="851" w:footer="851" w:gutter="0"/>
          <w:cols w:space="720" w:num="1"/>
          <w:docGrid w:linePitch="312" w:charSpace="0"/>
        </w:sectPr>
      </w:pPr>
    </w:p>
    <w:p>
      <w:pPr>
        <w:adjustRightInd w:val="0"/>
        <w:snapToGrid w:val="0"/>
        <w:spacing w:line="360" w:lineRule="auto"/>
        <w:rPr>
          <w:rFonts w:ascii="黑体" w:hAnsi="宋体" w:eastAsia="黑体"/>
          <w:b/>
          <w:sz w:val="24"/>
        </w:rPr>
      </w:pPr>
    </w:p>
    <w:p>
      <w:pPr>
        <w:pStyle w:val="3"/>
        <w:keepNext w:val="0"/>
        <w:numPr>
          <w:ilvl w:val="0"/>
          <w:numId w:val="2"/>
        </w:numPr>
        <w:spacing w:line="360" w:lineRule="auto"/>
        <w:ind w:firstLine="643" w:firstLineChars="200"/>
        <w:rPr>
          <w:rFonts w:ascii="宋体" w:hAnsi="宋体" w:cs="宋体"/>
          <w:bCs w:val="0"/>
          <w:sz w:val="32"/>
          <w:szCs w:val="32"/>
        </w:rPr>
      </w:pPr>
      <w:r>
        <w:rPr>
          <w:rFonts w:hint="eastAsia" w:ascii="宋体" w:hAnsi="宋体" w:cs="宋体"/>
          <w:bCs w:val="0"/>
          <w:sz w:val="32"/>
          <w:szCs w:val="32"/>
        </w:rPr>
        <w:t xml:space="preserve"> </w:t>
      </w:r>
      <w:bookmarkStart w:id="14" w:name="_Toc8585"/>
      <w:r>
        <w:rPr>
          <w:rFonts w:hint="eastAsia" w:ascii="宋体" w:hAnsi="宋体" w:cs="宋体"/>
          <w:bCs w:val="0"/>
          <w:sz w:val="32"/>
          <w:szCs w:val="32"/>
        </w:rPr>
        <w:t>用户需求书</w:t>
      </w:r>
      <w:bookmarkEnd w:id="14"/>
    </w:p>
    <w:p>
      <w:pPr>
        <w:pStyle w:val="32"/>
        <w:keepNext w:val="0"/>
        <w:keepLines w:val="0"/>
        <w:pageBreakBefore w:val="0"/>
        <w:widowControl w:val="0"/>
        <w:tabs>
          <w:tab w:val="right" w:leader="dot" w:pos="8306"/>
        </w:tabs>
        <w:kinsoku/>
        <w:wordWrap/>
        <w:overflowPunct/>
        <w:topLinePunct w:val="0"/>
        <w:autoSpaceDE/>
        <w:autoSpaceDN/>
        <w:bidi w:val="0"/>
        <w:snapToGrid/>
        <w:spacing w:line="360" w:lineRule="auto"/>
        <w:ind w:firstLine="422" w:firstLineChars="200"/>
        <w:textAlignment w:val="auto"/>
        <w:outlineLvl w:val="0"/>
        <w:rPr>
          <w:rFonts w:ascii="宋体" w:hAnsi="宋体" w:cs="楷体"/>
          <w:b/>
          <w:szCs w:val="21"/>
        </w:rPr>
      </w:pPr>
      <w:bookmarkStart w:id="15" w:name="_Toc9838795"/>
      <w:r>
        <w:rPr>
          <w:rFonts w:hint="eastAsia" w:ascii="宋体" w:hAnsi="宋体" w:cs="楷体"/>
          <w:b/>
          <w:szCs w:val="21"/>
        </w:rPr>
        <w:t>一、</w:t>
      </w:r>
      <w:r>
        <w:fldChar w:fldCharType="begin"/>
      </w:r>
      <w:r>
        <w:instrText xml:space="preserve"> HYPERLINK \l "_Toc28139" </w:instrText>
      </w:r>
      <w:r>
        <w:fldChar w:fldCharType="separate"/>
      </w:r>
      <w:r>
        <w:rPr>
          <w:rFonts w:hint="eastAsia" w:ascii="宋体" w:hAnsi="宋体" w:cs="楷体"/>
          <w:b/>
          <w:szCs w:val="21"/>
        </w:rPr>
        <w:t>项目概况及招标范围</w:t>
      </w:r>
      <w:bookmarkEnd w:id="15"/>
      <w:r>
        <w:rPr>
          <w:rFonts w:hint="eastAsia" w:ascii="宋体" w:hAnsi="宋体" w:cs="楷体"/>
          <w:b/>
          <w:szCs w:val="21"/>
        </w:rPr>
        <w:fldChar w:fldCharType="end"/>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1"/>
        <w:rPr>
          <w:rFonts w:ascii="宋体" w:hAnsi="宋体" w:cs="宋体"/>
          <w:szCs w:val="21"/>
        </w:rPr>
      </w:pPr>
      <w:bookmarkStart w:id="16" w:name="_Toc9838796"/>
      <w:r>
        <w:rPr>
          <w:rFonts w:ascii="宋体" w:hAnsi="宋体" w:cs="宋体"/>
          <w:szCs w:val="21"/>
        </w:rPr>
        <w:t>（一）</w:t>
      </w:r>
      <w:r>
        <w:rPr>
          <w:rFonts w:hint="eastAsia" w:ascii="宋体" w:hAnsi="宋体" w:cs="宋体"/>
          <w:szCs w:val="21"/>
        </w:rPr>
        <w:t>项目概况</w:t>
      </w:r>
      <w:bookmarkEnd w:id="16"/>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cs="宋体"/>
          <w:szCs w:val="21"/>
        </w:rPr>
        <w:t>长沙市轨道交通2号线无线通信</w:t>
      </w:r>
      <w:r>
        <w:rPr>
          <w:rFonts w:ascii="宋体" w:hAnsi="宋体" w:cs="宋体"/>
          <w:szCs w:val="21"/>
        </w:rPr>
        <w:t>系统由移动交换控制中心设备、网络维护管理设备、调度台、基站、列</w:t>
      </w:r>
      <w:r>
        <w:rPr>
          <w:rFonts w:hint="eastAsia" w:ascii="宋体" w:hAnsi="宋体" w:cs="宋体"/>
          <w:szCs w:val="21"/>
        </w:rPr>
        <w:t>车车载台、车站固定台、移动人员便携台、漏泄同轴电缆及天线等组成。在杜花路控制中心设TETRA移动交换控制中心设备、调度服务器及网络维护管理设备，控制中心大厅总调、行车调度、防灾及信息等调度值班员处及车辆段（停车场）DCC各设调度台（共计6台）；全线正线23个车站设置TETRA基站设备，黄兴车辆段设置TETRA基站设备，各基站通过光传输通道与控制中心的移动交换控制中心设备相连，所有基站均采用两载频基站。沿线各车站车控室处设置车站固定电台；各列车两端驾驶室内配置车载台；移动作业人员如各车站值班员、站台工作人员、防灾人员、综合维修部门人员配备便携台。</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1"/>
        <w:rPr>
          <w:rFonts w:ascii="宋体" w:hAnsi="宋体" w:cs="宋体"/>
          <w:szCs w:val="21"/>
        </w:rPr>
      </w:pPr>
      <w:bookmarkStart w:id="17" w:name="_Toc9838797"/>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招标范围</w:t>
      </w:r>
      <w:bookmarkEnd w:id="17"/>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cs="宋体"/>
          <w:szCs w:val="21"/>
        </w:rPr>
        <w:t>本次招标范围为:长沙市轨道交通2号线无线通信系统无线交换机维护及故障处理。</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cs="宋体"/>
          <w:szCs w:val="21"/>
        </w:rPr>
        <w:t>投标人须按照以下维保服务要求对长沙市轨道交通2号线</w:t>
      </w:r>
      <w:r>
        <w:rPr>
          <w:rFonts w:ascii="宋体" w:hAnsi="宋体" w:cs="宋体"/>
          <w:szCs w:val="21"/>
        </w:rPr>
        <w:t>800</w:t>
      </w:r>
      <w:r>
        <w:rPr>
          <w:rFonts w:hint="eastAsia" w:ascii="宋体" w:hAnsi="宋体" w:cs="宋体"/>
          <w:szCs w:val="21"/>
        </w:rPr>
        <w:t>兆</w:t>
      </w:r>
      <w:r>
        <w:rPr>
          <w:rFonts w:ascii="宋体" w:hAnsi="宋体" w:cs="宋体"/>
          <w:szCs w:val="21"/>
        </w:rPr>
        <w:t>TETRA</w:t>
      </w:r>
      <w:r>
        <w:rPr>
          <w:rFonts w:hint="eastAsia" w:ascii="宋体" w:hAnsi="宋体" w:cs="宋体"/>
          <w:szCs w:val="21"/>
        </w:rPr>
        <w:t>数字集群无线通信系统提供定期维保及故障处理技术支持服务等，主要包括系统故障维修处理、系统专业深度维护等内容。</w:t>
      </w:r>
    </w:p>
    <w:p>
      <w:pPr>
        <w:pStyle w:val="32"/>
        <w:keepNext w:val="0"/>
        <w:keepLines w:val="0"/>
        <w:pageBreakBefore w:val="0"/>
        <w:widowControl w:val="0"/>
        <w:tabs>
          <w:tab w:val="right" w:leader="dot" w:pos="8306"/>
        </w:tabs>
        <w:kinsoku/>
        <w:wordWrap/>
        <w:overflowPunct/>
        <w:topLinePunct w:val="0"/>
        <w:autoSpaceDE/>
        <w:autoSpaceDN/>
        <w:bidi w:val="0"/>
        <w:snapToGrid/>
        <w:spacing w:line="360" w:lineRule="auto"/>
        <w:ind w:firstLine="420" w:firstLineChars="200"/>
        <w:textAlignment w:val="auto"/>
        <w:outlineLvl w:val="0"/>
        <w:rPr>
          <w:rFonts w:ascii="宋体" w:hAnsi="宋体" w:cs="楷体"/>
          <w:b/>
          <w:szCs w:val="21"/>
        </w:rPr>
      </w:pPr>
      <w:r>
        <w:fldChar w:fldCharType="begin"/>
      </w:r>
      <w:r>
        <w:instrText xml:space="preserve"> HYPERLINK \l "_Toc11191" </w:instrText>
      </w:r>
      <w:r>
        <w:fldChar w:fldCharType="separate"/>
      </w:r>
      <w:bookmarkStart w:id="18" w:name="_Toc9838798"/>
      <w:r>
        <w:rPr>
          <w:rFonts w:hint="eastAsia" w:ascii="宋体" w:hAnsi="宋体" w:cs="楷体"/>
          <w:b/>
          <w:szCs w:val="21"/>
        </w:rPr>
        <w:t>二、项目计划</w:t>
      </w:r>
      <w:bookmarkEnd w:id="18"/>
      <w:r>
        <w:rPr>
          <w:rFonts w:hint="eastAsia" w:ascii="宋体" w:hAnsi="宋体" w:cs="楷体"/>
          <w:b/>
          <w:szCs w:val="21"/>
        </w:rPr>
        <w:fldChar w:fldCharType="end"/>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cs="宋体"/>
          <w:szCs w:val="21"/>
        </w:rPr>
        <w:t>本项目服务期限暂定为2019年11月1日至2021年10月31日，总计24个月（实际服务时间以供应商接到招标人发出的开工令起算，总计24个月）。</w:t>
      </w:r>
    </w:p>
    <w:p>
      <w:pPr>
        <w:pStyle w:val="32"/>
        <w:keepNext w:val="0"/>
        <w:keepLines w:val="0"/>
        <w:pageBreakBefore w:val="0"/>
        <w:widowControl w:val="0"/>
        <w:tabs>
          <w:tab w:val="right" w:leader="dot" w:pos="8306"/>
        </w:tabs>
        <w:kinsoku/>
        <w:wordWrap/>
        <w:overflowPunct/>
        <w:topLinePunct w:val="0"/>
        <w:autoSpaceDE/>
        <w:autoSpaceDN/>
        <w:bidi w:val="0"/>
        <w:snapToGrid/>
        <w:spacing w:line="360" w:lineRule="auto"/>
        <w:ind w:firstLine="422" w:firstLineChars="200"/>
        <w:textAlignment w:val="auto"/>
        <w:outlineLvl w:val="0"/>
        <w:rPr>
          <w:rFonts w:ascii="宋体" w:hAnsi="宋体" w:cs="楷体"/>
          <w:b/>
          <w:szCs w:val="21"/>
        </w:rPr>
      </w:pPr>
      <w:bookmarkStart w:id="19" w:name="_Toc9838799"/>
      <w:r>
        <w:rPr>
          <w:rFonts w:hint="eastAsia" w:ascii="宋体" w:hAnsi="宋体" w:cs="楷体"/>
          <w:b/>
          <w:szCs w:val="21"/>
        </w:rPr>
        <w:t>三、相关技术标准及规范</w:t>
      </w:r>
      <w:bookmarkEnd w:id="19"/>
    </w:p>
    <w:p>
      <w:pPr>
        <w:pStyle w:val="76"/>
        <w:keepNext w:val="0"/>
        <w:keepLines w:val="0"/>
        <w:pageBreakBefore w:val="0"/>
        <w:widowControl w:val="0"/>
        <w:kinsoku/>
        <w:wordWrap/>
        <w:overflowPunct/>
        <w:topLinePunct w:val="0"/>
        <w:autoSpaceDE/>
        <w:autoSpaceDN/>
        <w:bidi w:val="0"/>
        <w:snapToGrid/>
        <w:spacing w:line="360" w:lineRule="auto"/>
        <w:ind w:firstLine="420" w:firstLineChars="200"/>
        <w:textAlignment w:val="auto"/>
      </w:pPr>
      <w:r>
        <w:rPr>
          <w:rFonts w:hint="eastAsia"/>
        </w:rPr>
        <w:t>投标人应严格按照下列技术标准及规范等相关标准（包括以下国内技术标准、规范及同行业相关经验，但不限于以下内容）执行，以下标准如有更新，须按最新标准执行：</w:t>
      </w:r>
    </w:p>
    <w:tbl>
      <w:tblPr>
        <w:tblStyle w:val="46"/>
        <w:tblW w:w="9482" w:type="dxa"/>
        <w:jc w:val="center"/>
        <w:tblLayout w:type="fixed"/>
        <w:tblCellMar>
          <w:top w:w="15" w:type="dxa"/>
          <w:left w:w="15" w:type="dxa"/>
          <w:bottom w:w="15" w:type="dxa"/>
          <w:right w:w="15" w:type="dxa"/>
        </w:tblCellMar>
      </w:tblPr>
      <w:tblGrid>
        <w:gridCol w:w="868"/>
        <w:gridCol w:w="3122"/>
        <w:gridCol w:w="5492"/>
      </w:tblGrid>
      <w:tr>
        <w:tblPrEx>
          <w:tblCellMar>
            <w:top w:w="15" w:type="dxa"/>
            <w:left w:w="15" w:type="dxa"/>
            <w:bottom w:w="15" w:type="dxa"/>
            <w:right w:w="15" w:type="dxa"/>
          </w:tblCellMar>
        </w:tblPrEx>
        <w:trPr>
          <w:trHeight w:val="307" w:hRule="atLeast"/>
          <w:jc w:val="center"/>
        </w:trPr>
        <w:tc>
          <w:tcPr>
            <w:tcW w:w="9482"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lang w:bidi="ar"/>
              </w:rPr>
              <w:t xml:space="preserve">表一  </w:t>
            </w:r>
            <w:r>
              <w:rPr>
                <w:rFonts w:hint="eastAsia" w:ascii="宋体" w:hAnsi="宋体" w:cs="宋体"/>
                <w:b/>
                <w:szCs w:val="21"/>
              </w:rPr>
              <w:t>标准汇总表</w:t>
            </w:r>
          </w:p>
        </w:tc>
      </w:tr>
      <w:tr>
        <w:tblPrEx>
          <w:tblCellMar>
            <w:top w:w="15" w:type="dxa"/>
            <w:left w:w="15" w:type="dxa"/>
            <w:bottom w:w="15" w:type="dxa"/>
            <w:right w:w="15" w:type="dxa"/>
          </w:tblCellMar>
        </w:tblPrEx>
        <w:trPr>
          <w:trHeight w:val="28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000000"/>
                <w:szCs w:val="21"/>
              </w:rPr>
            </w:pPr>
            <w:r>
              <w:rPr>
                <w:rFonts w:hint="eastAsia" w:ascii="宋体" w:hAnsi="宋体" w:cs="宋体"/>
                <w:b/>
                <w:szCs w:val="21"/>
              </w:rPr>
              <w:t>序号</w:t>
            </w:r>
          </w:p>
        </w:tc>
        <w:tc>
          <w:tcPr>
            <w:tcW w:w="31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000000"/>
                <w:szCs w:val="21"/>
              </w:rPr>
            </w:pPr>
            <w:r>
              <w:rPr>
                <w:rFonts w:hint="eastAsia" w:ascii="宋体" w:hAnsi="宋体" w:cs="宋体"/>
                <w:b/>
                <w:szCs w:val="21"/>
              </w:rPr>
              <w:t>标准代号</w:t>
            </w:r>
          </w:p>
        </w:tc>
        <w:tc>
          <w:tcPr>
            <w:tcW w:w="54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000000"/>
                <w:szCs w:val="21"/>
              </w:rPr>
            </w:pPr>
            <w:r>
              <w:rPr>
                <w:rFonts w:hint="eastAsia" w:ascii="宋体" w:hAnsi="宋体" w:cs="宋体"/>
                <w:b/>
                <w:szCs w:val="21"/>
              </w:rPr>
              <w:t>标准名称</w:t>
            </w:r>
          </w:p>
        </w:tc>
      </w:tr>
      <w:tr>
        <w:tblPrEx>
          <w:tblCellMar>
            <w:top w:w="15" w:type="dxa"/>
            <w:left w:w="15" w:type="dxa"/>
            <w:bottom w:w="15" w:type="dxa"/>
            <w:right w:w="15" w:type="dxa"/>
          </w:tblCellMar>
        </w:tblPrEx>
        <w:trPr>
          <w:trHeight w:val="23" w:hRule="atLeast"/>
          <w:jc w:val="center"/>
        </w:trPr>
        <w:tc>
          <w:tcPr>
            <w:tcW w:w="86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1</w:t>
            </w:r>
          </w:p>
        </w:tc>
        <w:tc>
          <w:tcPr>
            <w:tcW w:w="312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ascii="宋体" w:hAnsi="宋体" w:cs="宋体"/>
                <w:szCs w:val="21"/>
              </w:rPr>
              <w:t>GB50490</w:t>
            </w:r>
            <w:r>
              <w:rPr>
                <w:rFonts w:hint="eastAsia" w:ascii="宋体" w:hAnsi="宋体" w:cs="宋体"/>
                <w:szCs w:val="21"/>
              </w:rPr>
              <w:t>－</w:t>
            </w:r>
            <w:r>
              <w:rPr>
                <w:rFonts w:ascii="宋体" w:hAnsi="宋体" w:cs="宋体"/>
                <w:szCs w:val="21"/>
              </w:rPr>
              <w:t>20</w:t>
            </w:r>
            <w:r>
              <w:rPr>
                <w:rFonts w:hint="eastAsia" w:ascii="宋体" w:hAnsi="宋体" w:cs="宋体"/>
                <w:szCs w:val="21"/>
              </w:rPr>
              <w:t>16</w:t>
            </w:r>
          </w:p>
        </w:tc>
        <w:tc>
          <w:tcPr>
            <w:tcW w:w="549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《城市轨道交通技术规范》</w:t>
            </w:r>
          </w:p>
        </w:tc>
      </w:tr>
      <w:tr>
        <w:tblPrEx>
          <w:tblCellMar>
            <w:top w:w="15" w:type="dxa"/>
            <w:left w:w="15" w:type="dxa"/>
            <w:bottom w:w="15" w:type="dxa"/>
            <w:right w:w="15" w:type="dxa"/>
          </w:tblCellMar>
        </w:tblPrEx>
        <w:trPr>
          <w:trHeight w:val="23"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2</w:t>
            </w:r>
          </w:p>
        </w:tc>
        <w:tc>
          <w:tcPr>
            <w:tcW w:w="31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ascii="宋体" w:hAnsi="宋体" w:cs="宋体"/>
                <w:szCs w:val="21"/>
              </w:rPr>
              <w:t>YD/T1099-2013</w:t>
            </w:r>
          </w:p>
        </w:tc>
        <w:tc>
          <w:tcPr>
            <w:tcW w:w="5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《以太网交换机技术要求》</w:t>
            </w:r>
          </w:p>
        </w:tc>
      </w:tr>
      <w:tr>
        <w:tblPrEx>
          <w:tblCellMar>
            <w:top w:w="15" w:type="dxa"/>
            <w:left w:w="15" w:type="dxa"/>
            <w:bottom w:w="15" w:type="dxa"/>
            <w:right w:w="15" w:type="dxa"/>
          </w:tblCellMar>
        </w:tblPrEx>
        <w:trPr>
          <w:trHeight w:val="23"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3</w:t>
            </w:r>
          </w:p>
        </w:tc>
        <w:tc>
          <w:tcPr>
            <w:tcW w:w="31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ascii="宋体" w:hAnsi="宋体" w:cs="宋体"/>
                <w:szCs w:val="21"/>
              </w:rPr>
              <w:t>GB/T17626</w:t>
            </w:r>
          </w:p>
        </w:tc>
        <w:tc>
          <w:tcPr>
            <w:tcW w:w="5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《电磁兼容》</w:t>
            </w:r>
          </w:p>
        </w:tc>
      </w:tr>
    </w:tbl>
    <w:p>
      <w:pPr>
        <w:pStyle w:val="32"/>
        <w:pageBreakBefore w:val="0"/>
        <w:widowControl w:val="0"/>
        <w:tabs>
          <w:tab w:val="right" w:leader="dot" w:pos="8306"/>
        </w:tabs>
        <w:kinsoku/>
        <w:wordWrap/>
        <w:overflowPunct/>
        <w:topLinePunct w:val="0"/>
        <w:autoSpaceDE/>
        <w:autoSpaceDN/>
        <w:bidi w:val="0"/>
        <w:spacing w:line="360" w:lineRule="auto"/>
        <w:ind w:firstLine="422" w:firstLineChars="200"/>
        <w:textAlignment w:val="auto"/>
        <w:outlineLvl w:val="0"/>
        <w:rPr>
          <w:rFonts w:ascii="宋体" w:hAnsi="宋体" w:cs="楷体"/>
          <w:b/>
          <w:szCs w:val="21"/>
        </w:rPr>
      </w:pPr>
      <w:bookmarkStart w:id="20" w:name="_Toc9838800"/>
      <w:r>
        <w:rPr>
          <w:rFonts w:hint="eastAsia" w:ascii="宋体" w:hAnsi="宋体" w:cs="楷体"/>
          <w:b/>
          <w:szCs w:val="21"/>
        </w:rPr>
        <w:t>四、项目管控要求</w:t>
      </w:r>
      <w:bookmarkEnd w:id="20"/>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1"/>
        <w:rPr>
          <w:rFonts w:ascii="宋体" w:hAnsi="宋体" w:cs="宋体"/>
          <w:szCs w:val="21"/>
        </w:rPr>
      </w:pPr>
      <w:bookmarkStart w:id="21" w:name="_Toc9838801"/>
      <w:bookmarkStart w:id="22" w:name="_Toc2952090"/>
      <w:bookmarkStart w:id="23" w:name="_Toc3219710"/>
      <w:r>
        <w:rPr>
          <w:rFonts w:ascii="宋体" w:hAnsi="宋体" w:cs="宋体"/>
          <w:szCs w:val="21"/>
        </w:rPr>
        <w:t>（一）人员配备要求</w:t>
      </w:r>
      <w:bookmarkEnd w:id="21"/>
      <w:bookmarkEnd w:id="22"/>
      <w:bookmarkEnd w:id="23"/>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仿宋_GB2312"/>
          <w:szCs w:val="21"/>
          <w:highlight w:val="none"/>
          <w:u w:val="none"/>
        </w:rPr>
      </w:pPr>
      <w:r>
        <w:rPr>
          <w:rFonts w:hint="eastAsia" w:ascii="宋体" w:hAnsi="宋体" w:cs="仿宋_GB2312"/>
          <w:szCs w:val="21"/>
          <w:highlight w:val="none"/>
        </w:rPr>
        <w:t>投标人须指派固定人员为本项目提供技术支持。</w:t>
      </w:r>
      <w:r>
        <w:rPr>
          <w:rFonts w:hint="eastAsia" w:ascii="宋体" w:hAnsi="宋体" w:cs="仿宋_GB2312"/>
          <w:szCs w:val="21"/>
          <w:highlight w:val="none"/>
          <w:u w:val="none"/>
        </w:rPr>
        <w:t>投标人最近5年须具有不少于3个Tetra系统服务、维保类似项目业绩。</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1"/>
        <w:rPr>
          <w:rFonts w:ascii="宋体" w:hAnsi="宋体" w:cs="宋体"/>
          <w:szCs w:val="21"/>
        </w:rPr>
      </w:pPr>
      <w:bookmarkStart w:id="24" w:name="_Toc9838802"/>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设备</w:t>
      </w:r>
      <w:r>
        <w:rPr>
          <w:rFonts w:ascii="宋体" w:hAnsi="宋体" w:cs="宋体"/>
          <w:szCs w:val="21"/>
        </w:rPr>
        <w:t>配备要求</w:t>
      </w:r>
      <w:bookmarkEnd w:id="24"/>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1.投标人应配备</w:t>
      </w:r>
      <w:r>
        <w:rPr>
          <w:rFonts w:ascii="宋体" w:hAnsi="宋体" w:cs="宋体"/>
          <w:szCs w:val="21"/>
        </w:rPr>
        <w:t>TETRA</w:t>
      </w:r>
      <w:r>
        <w:rPr>
          <w:rFonts w:hint="eastAsia" w:ascii="宋体" w:hAnsi="宋体" w:cs="宋体"/>
          <w:szCs w:val="21"/>
        </w:rPr>
        <w:t>系统维护的专业仪器、设备、工具及备件，包括但不限于电脑、</w:t>
      </w:r>
      <w:r>
        <w:rPr>
          <w:rFonts w:ascii="宋体" w:hAnsi="宋体" w:cs="宋体"/>
          <w:szCs w:val="21"/>
        </w:rPr>
        <w:t>TETRA</w:t>
      </w:r>
      <w:r>
        <w:rPr>
          <w:rFonts w:hint="eastAsia" w:ascii="宋体" w:hAnsi="宋体" w:cs="宋体"/>
          <w:szCs w:val="21"/>
        </w:rPr>
        <w:t>专业综合测试仪、</w:t>
      </w:r>
      <w:r>
        <w:rPr>
          <w:rFonts w:ascii="宋体" w:hAnsi="宋体" w:cs="宋体"/>
          <w:szCs w:val="21"/>
        </w:rPr>
        <w:t>TETRA</w:t>
      </w:r>
      <w:r>
        <w:rPr>
          <w:rFonts w:hint="eastAsia" w:ascii="宋体" w:hAnsi="宋体" w:cs="宋体"/>
          <w:szCs w:val="21"/>
        </w:rPr>
        <w:t>系统主设备原厂商的专用调测软件等</w:t>
      </w:r>
      <w:r>
        <w:rPr>
          <w:rFonts w:hint="eastAsia" w:ascii="宋体" w:hAnsi="宋体" w:cs="仿宋"/>
          <w:szCs w:val="21"/>
        </w:rPr>
        <w:t>。</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szCs w:val="21"/>
        </w:rPr>
      </w:pPr>
      <w:r>
        <w:rPr>
          <w:rFonts w:hint="eastAsia" w:ascii="宋体" w:hAnsi="宋体"/>
          <w:szCs w:val="21"/>
        </w:rPr>
        <w:t>2.项目维修、更换、巡检、保养时所用主要材料、配件的型号、技术规格均需得到招标人认可，如因产品更新淘汰无法购买到与原件同规格型号的产品而需使用更新换代的替代品时，应报招标人同意并提交样品。</w:t>
      </w:r>
    </w:p>
    <w:p>
      <w:pPr>
        <w:pageBreakBefore w:val="0"/>
        <w:widowControl w:val="0"/>
        <w:kinsoku/>
        <w:wordWrap/>
        <w:overflowPunct/>
        <w:topLinePunct w:val="0"/>
        <w:autoSpaceDE/>
        <w:autoSpaceDN/>
        <w:bidi w:val="0"/>
        <w:adjustRightInd w:val="0"/>
        <w:spacing w:line="360" w:lineRule="auto"/>
        <w:ind w:firstLine="420" w:firstLineChars="200"/>
        <w:textAlignment w:val="auto"/>
        <w:outlineLvl w:val="1"/>
        <w:rPr>
          <w:rFonts w:ascii="宋体" w:hAnsi="宋体" w:cs="宋体"/>
          <w:szCs w:val="21"/>
        </w:rPr>
      </w:pPr>
      <w:bookmarkStart w:id="25" w:name="_Toc9838803"/>
      <w:r>
        <w:rPr>
          <w:rFonts w:hint="eastAsia" w:ascii="宋体" w:hAnsi="宋体" w:cs="宋体"/>
          <w:szCs w:val="21"/>
        </w:rPr>
        <w:t>（三）安全管理规定</w:t>
      </w:r>
      <w:bookmarkEnd w:id="25"/>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仿宋_GB2312"/>
          <w:szCs w:val="21"/>
          <w:lang w:val="zh-CN"/>
        </w:rPr>
      </w:pPr>
      <w:r>
        <w:rPr>
          <w:rFonts w:hint="eastAsia" w:ascii="宋体" w:hAnsi="宋体" w:cs="宋体"/>
          <w:szCs w:val="21"/>
        </w:rPr>
        <w:t>1.</w:t>
      </w:r>
      <w:r>
        <w:rPr>
          <w:rFonts w:hint="eastAsia" w:ascii="宋体" w:hAnsi="宋体" w:cs="仿宋_GB2312"/>
          <w:szCs w:val="21"/>
          <w:lang w:val="zh-CN"/>
        </w:rPr>
        <w:t>投标人需严格按照《运营公司承包商安全管理办法》执行。</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szCs w:val="21"/>
        </w:rPr>
      </w:pPr>
      <w:r>
        <w:rPr>
          <w:rFonts w:hint="eastAsia" w:ascii="宋体" w:hAnsi="宋体" w:cs="仿宋_GB2312"/>
          <w:szCs w:val="21"/>
          <w:lang w:val="zh-CN"/>
        </w:rPr>
        <w:t>2.</w:t>
      </w:r>
      <w:r>
        <w:rPr>
          <w:rFonts w:hint="eastAsia" w:ascii="宋体" w:hAnsi="宋体" w:cs="宋体"/>
          <w:szCs w:val="21"/>
        </w:rPr>
        <w:t>投标人</w:t>
      </w:r>
      <w:r>
        <w:rPr>
          <w:rFonts w:hint="eastAsia" w:ascii="宋体" w:hAnsi="宋体" w:cs="仿宋_GB2312"/>
          <w:szCs w:val="21"/>
          <w:lang w:val="zh-CN"/>
        </w:rPr>
        <w:t>需严格</w:t>
      </w:r>
      <w:r>
        <w:rPr>
          <w:rFonts w:hint="eastAsia" w:ascii="宋体" w:hAnsi="宋体" w:cs="宋体"/>
          <w:szCs w:val="21"/>
        </w:rPr>
        <w:t>遵守招标人《运营公司施工检修管理办法》等施工管理规定，并必须按照施工规范、方案和各项安全操作规程进行作业。</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3.投标人</w:t>
      </w:r>
      <w:r>
        <w:rPr>
          <w:rFonts w:hint="eastAsia" w:ascii="宋体" w:hAnsi="宋体" w:cs="仿宋_GB2312"/>
          <w:szCs w:val="21"/>
          <w:lang w:val="zh-CN"/>
        </w:rPr>
        <w:t>需严格</w:t>
      </w:r>
      <w:r>
        <w:rPr>
          <w:rFonts w:hint="eastAsia" w:ascii="宋体" w:hAnsi="宋体" w:cs="宋体"/>
          <w:szCs w:val="21"/>
        </w:rPr>
        <w:t>遵守招标人相关安全生产管理规章制度，与招标人签订《施工安全协议》，并落实安全生产责任制。</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4.</w:t>
      </w:r>
      <w:r>
        <w:rPr>
          <w:rFonts w:hint="eastAsia" w:ascii="宋体" w:hAnsi="宋体" w:cs="仿宋_GB2312"/>
          <w:szCs w:val="21"/>
          <w:lang w:val="zh-CN"/>
        </w:rPr>
        <w:t>投标人应负责为维保及检测人员购买国家规定相关保险，若发生工伤、人身意外及劳动纠纷等，全部由投标人负责。</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5.投标人检修人员进入施工现场，必须按要求穿戴工作服及劳保用品；严禁赤脚或穿拖鞋和着装不整进入作业现场。</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highlight w:val="yellow"/>
        </w:rPr>
      </w:pPr>
      <w:r>
        <w:rPr>
          <w:rFonts w:hint="eastAsia" w:ascii="宋体" w:hAnsi="宋体" w:cs="宋体"/>
          <w:szCs w:val="21"/>
        </w:rPr>
        <w:t>6.投标人必须服从招标人的管理，必须按照招标人的相关要求进行作业，确保按质、按量的完成工作；对于招标人确认为需紧急处理的故障，投标人应即时、高效地完成，并确保不影响地铁正常运营组织。</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7.投标人必须按照项目范围内的设备检修周期与工作内容及招标人对指定设备所提出的要求进行检修作业，并按照招标人相关规定，填写相关记录；投标人在维修维护过程中，未经招标人同意，不得擅自更改设备的原设计参数。</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8.对于招标人规定必须申报作业令的作业项目，投标人必须按照招标人相关进场作业的规定申报作业令，持作业令进行请点作业后，方可进场作业，在作业后必须办理相关销点手续并确认现场出清后方可撤离现场；对于招标人规定需要办理特种作业手续（如烧焊、切割作业等）方可进行的作业，投标人应该按照要求办理特种作业施工许可证，严禁违规操作；对于作业令要求招标人其它部门配合方可进行的作业，投标人应严格按照作业令执行，在没有相应人员配合（或授权使用）的情况下，严禁动用设备设施。</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9.投标人所有人员必须配备相应的通信设备设施，并且遵守招标人相关规定，保持通信设施24小时畅通（如遇特殊情况招标人生产调度将直接和投标人人员联系），投标人应无条件的接受招标人生产调度的生产命令，并及时组织人员对相关设备设施修复，不得以任何理由拒绝招标人生产调度电话。</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10.投标人在检修过程中所发生的事故，投标人应秉着“诚实、合作、及时”的原则及时通知招标人，配合招标人开展事故调查和分析工作，不得隐瞒、推卸责任。</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11.投标人管理人员每月必须完成现场检查1次，并留有相关记录供招标人进行核查。</w:t>
      </w:r>
    </w:p>
    <w:p>
      <w:pPr>
        <w:pStyle w:val="32"/>
        <w:pageBreakBefore w:val="0"/>
        <w:widowControl w:val="0"/>
        <w:tabs>
          <w:tab w:val="right" w:leader="dot" w:pos="8306"/>
        </w:tabs>
        <w:kinsoku/>
        <w:wordWrap/>
        <w:overflowPunct/>
        <w:topLinePunct w:val="0"/>
        <w:autoSpaceDE/>
        <w:autoSpaceDN/>
        <w:bidi w:val="0"/>
        <w:spacing w:line="360" w:lineRule="auto"/>
        <w:ind w:firstLine="422" w:firstLineChars="200"/>
        <w:textAlignment w:val="auto"/>
        <w:outlineLvl w:val="0"/>
        <w:rPr>
          <w:rFonts w:ascii="宋体" w:hAnsi="宋体" w:cs="楷体"/>
          <w:b/>
          <w:szCs w:val="21"/>
        </w:rPr>
      </w:pPr>
      <w:bookmarkStart w:id="26" w:name="_Toc9838804"/>
      <w:r>
        <w:rPr>
          <w:rFonts w:hint="eastAsia" w:ascii="宋体" w:hAnsi="宋体" w:cs="楷体"/>
          <w:b/>
          <w:szCs w:val="21"/>
        </w:rPr>
        <w:t>五、项</w:t>
      </w:r>
      <w:bookmarkStart w:id="27" w:name="_Hlt2066522"/>
      <w:bookmarkStart w:id="28" w:name="_Hlt2066523"/>
      <w:r>
        <w:rPr>
          <w:rFonts w:hint="eastAsia" w:ascii="宋体" w:hAnsi="宋体" w:cs="楷体"/>
          <w:b/>
          <w:szCs w:val="21"/>
        </w:rPr>
        <w:t>目</w:t>
      </w:r>
      <w:bookmarkEnd w:id="27"/>
      <w:bookmarkEnd w:id="28"/>
      <w:r>
        <w:rPr>
          <w:rFonts w:hint="eastAsia" w:ascii="宋体" w:hAnsi="宋体" w:cs="楷体"/>
          <w:b/>
          <w:szCs w:val="21"/>
        </w:rPr>
        <w:t>实施要求</w:t>
      </w:r>
      <w:bookmarkEnd w:id="26"/>
      <w:bookmarkStart w:id="29" w:name="_Toc535308612"/>
    </w:p>
    <w:p>
      <w:pPr>
        <w:pStyle w:val="4"/>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0" w:name="_Toc9838805"/>
      <w:r>
        <w:rPr>
          <w:rFonts w:ascii="宋体" w:hAnsi="宋体" w:cs="宋体"/>
          <w:b w:val="0"/>
          <w:bCs w:val="0"/>
          <w:sz w:val="21"/>
          <w:szCs w:val="21"/>
        </w:rPr>
        <w:t>（</w:t>
      </w:r>
      <w:r>
        <w:rPr>
          <w:rFonts w:hint="eastAsia" w:ascii="宋体" w:hAnsi="宋体" w:cs="宋体"/>
          <w:b w:val="0"/>
          <w:bCs w:val="0"/>
          <w:sz w:val="21"/>
          <w:szCs w:val="21"/>
        </w:rPr>
        <w:t>一</w:t>
      </w:r>
      <w:r>
        <w:rPr>
          <w:rFonts w:ascii="宋体" w:hAnsi="宋体" w:cs="宋体"/>
          <w:b w:val="0"/>
          <w:bCs w:val="0"/>
          <w:sz w:val="21"/>
          <w:szCs w:val="21"/>
        </w:rPr>
        <w:t>）维护项目内容</w:t>
      </w:r>
      <w:bookmarkEnd w:id="29"/>
      <w:bookmarkEnd w:id="30"/>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1.维护项目内容：</w:t>
      </w:r>
    </w:p>
    <w:tbl>
      <w:tblPr>
        <w:tblStyle w:val="46"/>
        <w:tblpPr w:leftFromText="180" w:rightFromText="180" w:vertAnchor="text" w:horzAnchor="page" w:tblpX="1715" w:tblpY="115"/>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778"/>
        <w:gridCol w:w="297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55" w:type="dxa"/>
            <w:gridSpan w:val="4"/>
            <w:vAlign w:val="center"/>
          </w:tcPr>
          <w:p>
            <w:pPr>
              <w:tabs>
                <w:tab w:val="left" w:pos="2457"/>
              </w:tabs>
              <w:jc w:val="center"/>
              <w:rPr>
                <w:rFonts w:ascii="宋体" w:hAnsi="宋体"/>
                <w:b/>
                <w:szCs w:val="21"/>
              </w:rPr>
            </w:pPr>
            <w:r>
              <w:rPr>
                <w:rFonts w:hint="eastAsia" w:ascii="宋体" w:hAnsi="宋体"/>
                <w:b/>
                <w:szCs w:val="21"/>
              </w:rPr>
              <w:t>表二  维护项目名称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16" w:type="dxa"/>
            <w:vAlign w:val="center"/>
          </w:tcPr>
          <w:p>
            <w:pPr>
              <w:tabs>
                <w:tab w:val="left" w:pos="2457"/>
              </w:tabs>
              <w:jc w:val="center"/>
              <w:rPr>
                <w:rFonts w:ascii="宋体" w:hAnsi="宋体"/>
                <w:b/>
                <w:szCs w:val="21"/>
              </w:rPr>
            </w:pPr>
            <w:r>
              <w:rPr>
                <w:rFonts w:hint="eastAsia" w:ascii="宋体" w:hAnsi="宋体"/>
                <w:b/>
                <w:szCs w:val="21"/>
              </w:rPr>
              <w:t>序号</w:t>
            </w:r>
          </w:p>
        </w:tc>
        <w:tc>
          <w:tcPr>
            <w:tcW w:w="2778" w:type="dxa"/>
            <w:vAlign w:val="center"/>
          </w:tcPr>
          <w:p>
            <w:pPr>
              <w:tabs>
                <w:tab w:val="left" w:pos="2457"/>
              </w:tabs>
              <w:jc w:val="center"/>
              <w:rPr>
                <w:rFonts w:ascii="宋体" w:hAnsi="宋体"/>
                <w:b/>
                <w:szCs w:val="21"/>
              </w:rPr>
            </w:pPr>
            <w:r>
              <w:rPr>
                <w:rFonts w:hint="eastAsia" w:ascii="宋体" w:hAnsi="宋体"/>
                <w:b/>
                <w:szCs w:val="21"/>
              </w:rPr>
              <w:t>维护项目名称</w:t>
            </w:r>
          </w:p>
        </w:tc>
        <w:tc>
          <w:tcPr>
            <w:tcW w:w="2977" w:type="dxa"/>
            <w:vAlign w:val="center"/>
          </w:tcPr>
          <w:p>
            <w:pPr>
              <w:tabs>
                <w:tab w:val="left" w:pos="2457"/>
              </w:tabs>
              <w:jc w:val="center"/>
              <w:rPr>
                <w:rFonts w:ascii="宋体" w:hAnsi="宋体"/>
                <w:b/>
                <w:szCs w:val="21"/>
              </w:rPr>
            </w:pPr>
            <w:r>
              <w:rPr>
                <w:rFonts w:hint="eastAsia" w:ascii="宋体" w:hAnsi="宋体"/>
                <w:b/>
                <w:szCs w:val="21"/>
              </w:rPr>
              <w:t>维护服务项目内容</w:t>
            </w:r>
          </w:p>
        </w:tc>
        <w:tc>
          <w:tcPr>
            <w:tcW w:w="1984" w:type="dxa"/>
            <w:vAlign w:val="center"/>
          </w:tcPr>
          <w:p>
            <w:pPr>
              <w:tabs>
                <w:tab w:val="left" w:pos="2457"/>
              </w:tabs>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center"/>
          </w:tcPr>
          <w:p>
            <w:pPr>
              <w:tabs>
                <w:tab w:val="left" w:pos="2457"/>
              </w:tabs>
              <w:jc w:val="center"/>
              <w:rPr>
                <w:rFonts w:ascii="宋体" w:hAnsi="宋体"/>
                <w:szCs w:val="21"/>
              </w:rPr>
            </w:pPr>
            <w:r>
              <w:rPr>
                <w:rFonts w:hint="eastAsia" w:ascii="宋体" w:hAnsi="宋体"/>
                <w:szCs w:val="21"/>
              </w:rPr>
              <w:t>1</w:t>
            </w:r>
          </w:p>
        </w:tc>
        <w:tc>
          <w:tcPr>
            <w:tcW w:w="2778" w:type="dxa"/>
            <w:vAlign w:val="center"/>
          </w:tcPr>
          <w:p>
            <w:pPr>
              <w:tabs>
                <w:tab w:val="left" w:pos="2457"/>
              </w:tabs>
              <w:rPr>
                <w:rFonts w:ascii="宋体" w:hAnsi="宋体"/>
                <w:szCs w:val="21"/>
              </w:rPr>
            </w:pPr>
            <w:r>
              <w:rPr>
                <w:rFonts w:hint="eastAsia" w:ascii="宋体" w:hAnsi="宋体"/>
                <w:szCs w:val="21"/>
              </w:rPr>
              <w:t>无线系统设备深度维护检查及故障响应</w:t>
            </w:r>
          </w:p>
        </w:tc>
        <w:tc>
          <w:tcPr>
            <w:tcW w:w="2977" w:type="dxa"/>
            <w:vAlign w:val="center"/>
          </w:tcPr>
          <w:p>
            <w:pPr>
              <w:tabs>
                <w:tab w:val="left" w:pos="2457"/>
              </w:tabs>
              <w:jc w:val="left"/>
              <w:rPr>
                <w:rFonts w:ascii="宋体" w:hAnsi="宋体"/>
                <w:szCs w:val="21"/>
              </w:rPr>
            </w:pPr>
            <w:r>
              <w:rPr>
                <w:rFonts w:hint="eastAsia" w:ascii="宋体" w:hAnsi="宋体"/>
                <w:szCs w:val="21"/>
              </w:rPr>
              <w:t>开展无线系统交换机全面检查、数据性能分析、故障处理技术支持及系统维护。</w:t>
            </w:r>
          </w:p>
        </w:tc>
        <w:tc>
          <w:tcPr>
            <w:tcW w:w="1984" w:type="dxa"/>
            <w:vAlign w:val="center"/>
          </w:tcPr>
          <w:p>
            <w:pPr>
              <w:tabs>
                <w:tab w:val="left" w:pos="2457"/>
              </w:tabs>
              <w:jc w:val="center"/>
              <w:rPr>
                <w:rFonts w:ascii="宋体" w:hAnsi="宋体"/>
                <w:szCs w:val="21"/>
              </w:rPr>
            </w:pPr>
            <w:r>
              <w:rPr>
                <w:rFonts w:hint="eastAsia" w:ascii="宋体" w:hAnsi="宋体"/>
                <w:szCs w:val="21"/>
              </w:rPr>
              <w:t>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16" w:type="dxa"/>
            <w:vAlign w:val="center"/>
          </w:tcPr>
          <w:p>
            <w:pPr>
              <w:tabs>
                <w:tab w:val="left" w:pos="2457"/>
              </w:tabs>
              <w:jc w:val="center"/>
              <w:rPr>
                <w:rFonts w:ascii="宋体" w:hAnsi="宋体"/>
                <w:szCs w:val="21"/>
              </w:rPr>
            </w:pPr>
            <w:r>
              <w:rPr>
                <w:rFonts w:hint="eastAsia" w:ascii="宋体" w:hAnsi="宋体"/>
                <w:szCs w:val="21"/>
              </w:rPr>
              <w:t>2</w:t>
            </w:r>
          </w:p>
        </w:tc>
        <w:tc>
          <w:tcPr>
            <w:tcW w:w="2778" w:type="dxa"/>
            <w:vAlign w:val="center"/>
          </w:tcPr>
          <w:p>
            <w:pPr>
              <w:tabs>
                <w:tab w:val="left" w:pos="2457"/>
              </w:tabs>
              <w:jc w:val="left"/>
              <w:rPr>
                <w:rFonts w:ascii="宋体" w:hAnsi="宋体"/>
                <w:szCs w:val="21"/>
              </w:rPr>
            </w:pPr>
            <w:r>
              <w:rPr>
                <w:rFonts w:hint="eastAsia" w:ascii="宋体" w:hAnsi="宋体"/>
                <w:szCs w:val="21"/>
              </w:rPr>
              <w:t>换件维修服务</w:t>
            </w:r>
          </w:p>
        </w:tc>
        <w:tc>
          <w:tcPr>
            <w:tcW w:w="2977" w:type="dxa"/>
            <w:vAlign w:val="center"/>
          </w:tcPr>
          <w:p>
            <w:pPr>
              <w:tabs>
                <w:tab w:val="left" w:pos="2457"/>
              </w:tabs>
              <w:jc w:val="left"/>
              <w:rPr>
                <w:rFonts w:ascii="宋体" w:hAnsi="宋体"/>
                <w:szCs w:val="21"/>
              </w:rPr>
            </w:pPr>
            <w:r>
              <w:rPr>
                <w:rFonts w:hint="eastAsia" w:ascii="宋体" w:hAnsi="宋体"/>
                <w:szCs w:val="21"/>
              </w:rPr>
              <w:t>提供故障设备及板卡的硬件返修服务，并在返修期间提供换件服务。</w:t>
            </w:r>
          </w:p>
        </w:tc>
        <w:tc>
          <w:tcPr>
            <w:tcW w:w="1984" w:type="dxa"/>
            <w:vAlign w:val="center"/>
          </w:tcPr>
          <w:p>
            <w:pPr>
              <w:tabs>
                <w:tab w:val="left" w:pos="2457"/>
              </w:tabs>
              <w:jc w:val="center"/>
              <w:rPr>
                <w:rFonts w:ascii="宋体" w:hAnsi="宋体"/>
                <w:szCs w:val="21"/>
              </w:rPr>
            </w:pPr>
            <w:r>
              <w:rPr>
                <w:rFonts w:hint="eastAsia" w:ascii="宋体" w:hAnsi="宋体"/>
                <w:szCs w:val="21"/>
              </w:rPr>
              <w:t>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16" w:type="dxa"/>
            <w:vAlign w:val="center"/>
          </w:tcPr>
          <w:p>
            <w:pPr>
              <w:tabs>
                <w:tab w:val="left" w:pos="2457"/>
              </w:tabs>
              <w:jc w:val="center"/>
              <w:rPr>
                <w:rFonts w:ascii="宋体" w:hAnsi="宋体"/>
                <w:szCs w:val="21"/>
              </w:rPr>
            </w:pPr>
            <w:r>
              <w:rPr>
                <w:rFonts w:hint="eastAsia" w:ascii="宋体" w:hAnsi="宋体"/>
                <w:szCs w:val="21"/>
              </w:rPr>
              <w:t>3</w:t>
            </w:r>
          </w:p>
        </w:tc>
        <w:tc>
          <w:tcPr>
            <w:tcW w:w="2778" w:type="dxa"/>
            <w:vAlign w:val="center"/>
          </w:tcPr>
          <w:p>
            <w:pPr>
              <w:tabs>
                <w:tab w:val="left" w:pos="2457"/>
              </w:tabs>
              <w:jc w:val="left"/>
              <w:rPr>
                <w:rFonts w:ascii="宋体" w:hAnsi="宋体"/>
                <w:szCs w:val="21"/>
              </w:rPr>
            </w:pPr>
            <w:r>
              <w:rPr>
                <w:rFonts w:hint="eastAsia" w:ascii="宋体" w:hAnsi="宋体"/>
                <w:szCs w:val="21"/>
              </w:rPr>
              <w:t>终端维修</w:t>
            </w:r>
          </w:p>
        </w:tc>
        <w:tc>
          <w:tcPr>
            <w:tcW w:w="2977" w:type="dxa"/>
            <w:vAlign w:val="center"/>
          </w:tcPr>
          <w:p>
            <w:pPr>
              <w:tabs>
                <w:tab w:val="left" w:pos="2457"/>
              </w:tabs>
              <w:jc w:val="left"/>
              <w:rPr>
                <w:rFonts w:ascii="宋体" w:hAnsi="宋体"/>
                <w:szCs w:val="21"/>
              </w:rPr>
            </w:pPr>
            <w:r>
              <w:rPr>
                <w:rFonts w:hint="eastAsia" w:ascii="宋体" w:hAnsi="宋体"/>
                <w:szCs w:val="21"/>
              </w:rPr>
              <w:t>为专用无线系统故障手持台终端提供维修服务。</w:t>
            </w:r>
          </w:p>
        </w:tc>
        <w:tc>
          <w:tcPr>
            <w:tcW w:w="1984" w:type="dxa"/>
            <w:vAlign w:val="center"/>
          </w:tcPr>
          <w:p>
            <w:pPr>
              <w:tabs>
                <w:tab w:val="left" w:pos="2457"/>
              </w:tabs>
              <w:jc w:val="center"/>
              <w:rPr>
                <w:rFonts w:ascii="宋体" w:hAnsi="宋体"/>
                <w:szCs w:val="21"/>
              </w:rPr>
            </w:pPr>
            <w:r>
              <w:rPr>
                <w:rFonts w:hint="eastAsia" w:ascii="宋体" w:hAnsi="宋体"/>
                <w:szCs w:val="21"/>
              </w:rPr>
              <w:t>返厂维修</w:t>
            </w:r>
          </w:p>
        </w:tc>
      </w:tr>
    </w:tbl>
    <w:p>
      <w:pPr>
        <w:spacing w:line="560" w:lineRule="exact"/>
        <w:ind w:firstLine="420" w:firstLineChars="200"/>
        <w:rPr>
          <w:rFonts w:ascii="宋体" w:hAnsi="宋体" w:cs="宋体"/>
          <w:szCs w:val="21"/>
        </w:rPr>
      </w:pPr>
      <w:r>
        <w:rPr>
          <w:rFonts w:hint="eastAsia" w:ascii="宋体" w:hAnsi="宋体" w:cs="宋体"/>
          <w:szCs w:val="21"/>
        </w:rPr>
        <w:t>详细设备见“附件1：设备清单”。</w:t>
      </w:r>
    </w:p>
    <w:p>
      <w:pPr>
        <w:spacing w:line="560" w:lineRule="exact"/>
        <w:ind w:firstLine="420" w:firstLineChars="200"/>
        <w:rPr>
          <w:rFonts w:ascii="宋体" w:hAnsi="宋体" w:cs="宋体"/>
          <w:szCs w:val="21"/>
        </w:rPr>
      </w:pPr>
      <w:r>
        <w:rPr>
          <w:rFonts w:hint="eastAsia" w:ascii="宋体" w:hAnsi="宋体" w:cs="宋体"/>
          <w:szCs w:val="21"/>
        </w:rPr>
        <w:t>2.无线系统交换机深度维护检查及故障响应分项表：</w:t>
      </w:r>
    </w:p>
    <w:tbl>
      <w:tblPr>
        <w:tblStyle w:val="4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252"/>
        <w:gridCol w:w="212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3" w:type="dxa"/>
            <w:gridSpan w:val="4"/>
            <w:vAlign w:val="center"/>
          </w:tcPr>
          <w:p>
            <w:pPr>
              <w:tabs>
                <w:tab w:val="left" w:pos="2457"/>
              </w:tabs>
              <w:spacing w:line="360" w:lineRule="auto"/>
              <w:jc w:val="center"/>
              <w:rPr>
                <w:rFonts w:ascii="宋体" w:hAnsi="宋体"/>
                <w:b/>
                <w:szCs w:val="21"/>
              </w:rPr>
            </w:pPr>
            <w:r>
              <w:rPr>
                <w:rFonts w:hint="eastAsia" w:ascii="宋体" w:hAnsi="宋体"/>
                <w:b/>
                <w:szCs w:val="21"/>
              </w:rPr>
              <w:t>表三  深度维护检查及故障响应分项表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b/>
                <w:szCs w:val="21"/>
              </w:rPr>
            </w:pPr>
            <w:r>
              <w:rPr>
                <w:rFonts w:hint="eastAsia" w:ascii="宋体" w:hAnsi="宋体"/>
                <w:b/>
                <w:szCs w:val="21"/>
              </w:rPr>
              <w:t>序号</w:t>
            </w:r>
          </w:p>
        </w:tc>
        <w:tc>
          <w:tcPr>
            <w:tcW w:w="4252" w:type="dxa"/>
            <w:vAlign w:val="center"/>
          </w:tcPr>
          <w:p>
            <w:pPr>
              <w:tabs>
                <w:tab w:val="left" w:pos="2457"/>
              </w:tabs>
              <w:spacing w:line="360" w:lineRule="auto"/>
              <w:jc w:val="center"/>
              <w:rPr>
                <w:rFonts w:ascii="宋体" w:hAnsi="宋体"/>
                <w:b/>
                <w:szCs w:val="21"/>
              </w:rPr>
            </w:pPr>
            <w:r>
              <w:rPr>
                <w:rFonts w:hint="eastAsia" w:ascii="宋体" w:hAnsi="宋体"/>
                <w:b/>
                <w:szCs w:val="21"/>
              </w:rPr>
              <w:t>项目内容</w:t>
            </w:r>
          </w:p>
        </w:tc>
        <w:tc>
          <w:tcPr>
            <w:tcW w:w="2127" w:type="dxa"/>
            <w:vAlign w:val="center"/>
          </w:tcPr>
          <w:p>
            <w:pPr>
              <w:tabs>
                <w:tab w:val="left" w:pos="2457"/>
              </w:tabs>
              <w:spacing w:line="360" w:lineRule="auto"/>
              <w:rPr>
                <w:rFonts w:ascii="宋体" w:hAnsi="宋体"/>
                <w:b/>
                <w:szCs w:val="21"/>
              </w:rPr>
            </w:pPr>
            <w:r>
              <w:rPr>
                <w:rFonts w:hint="eastAsia" w:ascii="宋体" w:hAnsi="宋体"/>
                <w:b/>
                <w:szCs w:val="21"/>
              </w:rPr>
              <w:t>数量（次/每年）</w:t>
            </w:r>
          </w:p>
        </w:tc>
        <w:tc>
          <w:tcPr>
            <w:tcW w:w="1275" w:type="dxa"/>
            <w:vAlign w:val="center"/>
          </w:tcPr>
          <w:p>
            <w:pPr>
              <w:tabs>
                <w:tab w:val="left" w:pos="2457"/>
              </w:tabs>
              <w:spacing w:line="360" w:lineRule="auto"/>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1</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工程师现场深度维护（提供巡检维护报告）</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2次</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2</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数据库清理及修复</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1次</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3</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系统性能瓶颈优化（提供优化方案）</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1次</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4</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无线系统交换机深层检测及优化</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1次</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5</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远程技术支持</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不限次数</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6</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现场故障响应（提供故障分析报告）</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不限次数</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7</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工程师远程诊断（可选）</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1次</w:t>
            </w:r>
          </w:p>
        </w:tc>
        <w:tc>
          <w:tcPr>
            <w:tcW w:w="1275" w:type="dxa"/>
            <w:vAlign w:val="center"/>
          </w:tcPr>
          <w:p>
            <w:pPr>
              <w:tabs>
                <w:tab w:val="left" w:pos="2457"/>
              </w:tabs>
              <w:spacing w:line="360" w:lineRule="auto"/>
              <w:jc w:val="center"/>
              <w:rPr>
                <w:rFonts w:ascii="宋体" w:hAnsi="宋体"/>
                <w:szCs w:val="21"/>
              </w:rPr>
            </w:pPr>
          </w:p>
        </w:tc>
      </w:tr>
    </w:tbl>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1" w:name="_Toc73248645"/>
      <w:bookmarkStart w:id="32" w:name="_Toc9838806"/>
      <w:bookmarkStart w:id="33" w:name="_Toc535308613"/>
      <w:r>
        <w:rPr>
          <w:rFonts w:ascii="宋体" w:hAnsi="宋体" w:cs="宋体"/>
          <w:b w:val="0"/>
          <w:bCs w:val="0"/>
          <w:sz w:val="21"/>
          <w:szCs w:val="21"/>
        </w:rPr>
        <w:t>（</w:t>
      </w:r>
      <w:r>
        <w:rPr>
          <w:rFonts w:hint="eastAsia" w:ascii="宋体" w:hAnsi="宋体" w:cs="宋体"/>
          <w:b w:val="0"/>
          <w:bCs w:val="0"/>
          <w:sz w:val="21"/>
          <w:szCs w:val="21"/>
        </w:rPr>
        <w:t>二</w:t>
      </w:r>
      <w:r>
        <w:rPr>
          <w:rFonts w:ascii="宋体" w:hAnsi="宋体" w:cs="宋体"/>
          <w:b w:val="0"/>
          <w:bCs w:val="0"/>
          <w:sz w:val="21"/>
          <w:szCs w:val="21"/>
        </w:rPr>
        <w:t>）</w:t>
      </w:r>
      <w:bookmarkEnd w:id="31"/>
      <w:r>
        <w:rPr>
          <w:rFonts w:ascii="宋体" w:hAnsi="宋体" w:cs="宋体"/>
          <w:b w:val="0"/>
          <w:bCs w:val="0"/>
          <w:sz w:val="21"/>
          <w:szCs w:val="21"/>
        </w:rPr>
        <w:t>工作内容及技术要求</w:t>
      </w:r>
      <w:bookmarkEnd w:id="32"/>
      <w:bookmarkEnd w:id="33"/>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维护服务工作包含以下内容，具体要求如下：</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1.专业深度维护</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highlight w:val="yellow"/>
        </w:rPr>
      </w:pPr>
      <w:r>
        <w:rPr>
          <w:rFonts w:hint="eastAsia" w:ascii="宋体" w:hAnsi="宋体" w:cs="仿宋_GB2312"/>
          <w:szCs w:val="21"/>
        </w:rPr>
        <w:t>投标人需对专用无线通信系统交换机每年进行深度维护2次，对整个系统的工作环境、设备运行状态、性能、安全性等方面进行检查并根据检查情况提交详细的系统健康检查报告，对系统可能发生的故障进行预判并采取预防措施，并须在检查工作结束后5个工作日内提交检查报告。此外，维护检查项目需包括但不限于以下内容：</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（1）对机柜内主要核心设备、板卡进行清洁及理顺、紧固各核心设备线缆等。（如需停机作业，需提前报备）</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（2）协助招标人维护人员从设备上清理、除去任何油渍、灰尘和/或者外来物质。</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（3）对关键板卡、模块进行冗余测试。</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（4）对设备的主要功能、参数进行校准、测试、记录，对重要数据进行备份。</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（5）系统升级及补丁完善；数据库清理及修复；系统性能瓶颈优化；核心服务器等的深层检测及优化等。</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（6）每年定期完成对系统重要数据进行及时优化、备份，并更新数据备份文件，以便系统保持最新的数据备份。</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（7） 要求定期维护测试检查指标必须达到本项目系统和设备应有的标准。</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（8）维护与维修所需的设备和测试仪器由投标人提供，所使用的关键仪器须经计量单位定期校验。</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（9）按摩托罗拉相关维修手册等标准进行维修、调整和替换设备部件，并安装至正常运行环境中。</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（10）功能检查。</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2.技术支持服务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（1）紧急现场服务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color w:val="auto"/>
          <w:szCs w:val="21"/>
          <w:highlight w:val="none"/>
          <w:u w:val="none"/>
        </w:rPr>
      </w:pPr>
      <w:r>
        <w:rPr>
          <w:rFonts w:hint="eastAsia" w:ascii="宋体" w:hAnsi="宋体" w:cs="仿宋_GB2312"/>
          <w:color w:val="auto"/>
          <w:szCs w:val="21"/>
          <w:highlight w:val="none"/>
          <w:u w:val="none"/>
        </w:rPr>
        <w:t>当系统设备及调度台出现下述严重影响招标人正常使用系统的故障时，投标人须在接到招标人通知后</w:t>
      </w:r>
      <w:r>
        <w:rPr>
          <w:rFonts w:ascii="宋体" w:hAnsi="宋体" w:cs="仿宋_GB2312"/>
          <w:color w:val="auto"/>
          <w:szCs w:val="21"/>
          <w:highlight w:val="none"/>
          <w:u w:val="none"/>
        </w:rPr>
        <w:t>30分钟内（非运营时</w:t>
      </w:r>
      <w:r>
        <w:rPr>
          <w:rFonts w:hint="eastAsia" w:ascii="宋体" w:hAnsi="宋体" w:cs="仿宋_GB2312"/>
          <w:color w:val="auto"/>
          <w:szCs w:val="21"/>
          <w:highlight w:val="none"/>
          <w:u w:val="none"/>
        </w:rPr>
        <w:t>间为</w:t>
      </w:r>
      <w:r>
        <w:rPr>
          <w:rFonts w:ascii="宋体" w:hAnsi="宋体" w:cs="仿宋_GB2312"/>
          <w:color w:val="auto"/>
          <w:szCs w:val="21"/>
          <w:highlight w:val="none"/>
          <w:u w:val="none"/>
        </w:rPr>
        <w:t>5</w:t>
      </w:r>
      <w:r>
        <w:rPr>
          <w:rFonts w:hint="eastAsia" w:ascii="宋体" w:hAnsi="宋体" w:cs="仿宋_GB2312"/>
          <w:color w:val="auto"/>
          <w:szCs w:val="21"/>
          <w:highlight w:val="none"/>
          <w:u w:val="none"/>
        </w:rPr>
        <w:t>0</w:t>
      </w:r>
      <w:r>
        <w:rPr>
          <w:rFonts w:ascii="宋体" w:hAnsi="宋体" w:cs="仿宋_GB2312"/>
          <w:color w:val="auto"/>
          <w:szCs w:val="21"/>
          <w:highlight w:val="none"/>
          <w:u w:val="none"/>
        </w:rPr>
        <w:t>分钟内）到达故障现场，进行故障确认、检查后，采取应急处理措施，并于1.5小时内</w:t>
      </w:r>
      <w:r>
        <w:rPr>
          <w:rFonts w:hint="eastAsia" w:ascii="宋体" w:hAnsi="宋体" w:cs="仿宋_GB2312"/>
          <w:color w:val="auto"/>
          <w:szCs w:val="21"/>
          <w:highlight w:val="none"/>
          <w:u w:val="none"/>
        </w:rPr>
        <w:t>恢复系统关键功能：</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1）全部用户和管理终端无法接入系统。</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2）系统中无线系统交换机发生故障或关键系统设备因故障、停机或内部缺陷等原因影响系统的主要基本业务，包括组呼、个呼、通播、紧急呼叫等调度话音业务。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3）所有操作维护中心管理的网络设备无法工作，网络管理设备无法对系统提供关键操作和维护功能。</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4）短数据功能故障。</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5）关键系统或程序、设备、部件或链路故障导致系统主要功能受到影响或有可能导致系统功能失效的危险。</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6）系统故障弱化，退出广域集群，导致调度台的无线指挥调度业务受限。</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其他</w:t>
      </w:r>
      <w:r>
        <w:rPr>
          <w:rFonts w:ascii="宋体" w:hAnsi="宋体" w:cs="仿宋_GB2312"/>
          <w:szCs w:val="21"/>
        </w:rPr>
        <w:t>故障要求</w:t>
      </w:r>
      <w:r>
        <w:rPr>
          <w:rFonts w:hint="eastAsia" w:ascii="宋体" w:hAnsi="宋体" w:cs="仿宋_GB2312"/>
          <w:szCs w:val="21"/>
        </w:rPr>
        <w:t>投标人</w:t>
      </w:r>
      <w:r>
        <w:rPr>
          <w:rFonts w:ascii="宋体" w:hAnsi="宋体" w:cs="仿宋_GB2312"/>
          <w:szCs w:val="21"/>
        </w:rPr>
        <w:t>维保人员于接报后30分钟内（非运营时</w:t>
      </w:r>
      <w:r>
        <w:rPr>
          <w:rFonts w:hint="eastAsia" w:ascii="宋体" w:hAnsi="宋体" w:cs="仿宋_GB2312"/>
          <w:szCs w:val="21"/>
        </w:rPr>
        <w:t>间为</w:t>
      </w:r>
      <w:r>
        <w:rPr>
          <w:rFonts w:ascii="宋体" w:hAnsi="宋体" w:cs="仿宋_GB2312"/>
          <w:szCs w:val="21"/>
        </w:rPr>
        <w:t>5</w:t>
      </w:r>
      <w:r>
        <w:rPr>
          <w:rFonts w:hint="eastAsia" w:ascii="宋体" w:hAnsi="宋体" w:cs="仿宋_GB2312"/>
          <w:szCs w:val="21"/>
        </w:rPr>
        <w:t>0</w:t>
      </w:r>
      <w:r>
        <w:rPr>
          <w:rFonts w:ascii="宋体" w:hAnsi="宋体" w:cs="仿宋_GB2312"/>
          <w:szCs w:val="21"/>
        </w:rPr>
        <w:t>分钟内）到达故障现场，进行故障确认、检查后，采取应急处理措施，并于12小时内完全处理完毕。</w:t>
      </w:r>
    </w:p>
    <w:p>
      <w:pPr>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投标人所维护的系统不得出现一类故障，若出现一类故障，投标人承担全部责任。</w:t>
      </w:r>
    </w:p>
    <w:p>
      <w:pPr>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投标人所维护的系统故障数不得超过招标人指标，系统的年度故障数指标为该系统“前四个季度故障总数*0.9”，具体数据由招标人提供。</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（2）其他技术服务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投标人需提供技术支持热线，提供每天二十四小时，每周七天的电话技术支持服务，包括提供远程紧急故障排查、远程技术支持与咨询、系统维护建议等。同时，投标人还应提供以下支持：</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1）对系统故障及超出计划时间的停机维护，在系统恢复后的5～10个工作日内提交故障处理报告。</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2）提供网络性能指标参考值以及运行后优化工作的建议。</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3）提供对系统用户管理和系统管理的建议和咨询。</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4）协助制定例行运营维护工作计划。</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5）协助解决系统设备告警问题和紧急情况下的应急处理。</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6）协助建立问题上报程序。</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7）协助系统备份文件（数据）和制定备份步骤。</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（3）设备硬件维修及换件服务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1）</w:t>
      </w:r>
      <w:r>
        <w:rPr>
          <w:rFonts w:hint="eastAsia" w:ascii="宋体" w:hAnsi="宋体" w:cs="仿宋_GB2312"/>
          <w:szCs w:val="21"/>
        </w:rPr>
        <w:t>投标人</w:t>
      </w:r>
      <w:r>
        <w:rPr>
          <w:rFonts w:ascii="宋体" w:hAnsi="宋体" w:cs="仿宋_GB2312"/>
          <w:szCs w:val="21"/>
        </w:rPr>
        <w:t>检查判断后将损坏的故障设备或模块送给</w:t>
      </w:r>
      <w:r>
        <w:rPr>
          <w:rFonts w:hint="eastAsia" w:ascii="宋体" w:hAnsi="宋体" w:cs="仿宋_GB2312"/>
          <w:szCs w:val="21"/>
        </w:rPr>
        <w:t>投标人</w:t>
      </w:r>
      <w:r>
        <w:rPr>
          <w:rFonts w:ascii="宋体" w:hAnsi="宋体" w:cs="仿宋_GB2312"/>
          <w:szCs w:val="21"/>
        </w:rPr>
        <w:t>或其所委托的设备厂商系统维护中心进行维修或更换，并负责将修复或更换好的设备或模块返还给</w:t>
      </w:r>
      <w:r>
        <w:rPr>
          <w:rFonts w:hint="eastAsia" w:ascii="宋体" w:hAnsi="宋体" w:cs="仿宋_GB2312"/>
          <w:szCs w:val="21"/>
        </w:rPr>
        <w:t>招标人</w:t>
      </w:r>
      <w:r>
        <w:rPr>
          <w:rFonts w:ascii="宋体" w:hAnsi="宋体" w:cs="仿宋_GB2312"/>
          <w:szCs w:val="21"/>
        </w:rPr>
        <w:t>，返修期间</w:t>
      </w:r>
      <w:r>
        <w:rPr>
          <w:rFonts w:hint="eastAsia" w:ascii="宋体" w:hAnsi="宋体" w:cs="仿宋_GB2312"/>
          <w:szCs w:val="21"/>
        </w:rPr>
        <w:t>投标人</w:t>
      </w:r>
      <w:r>
        <w:rPr>
          <w:rFonts w:ascii="宋体" w:hAnsi="宋体" w:cs="仿宋_GB2312"/>
          <w:szCs w:val="21"/>
        </w:rPr>
        <w:t>需提供换件服务，维修或更换产生的费用按合同执行。</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2）修理或更换后的设备应享受自修理或换货之日起为期</w:t>
      </w:r>
      <w:r>
        <w:rPr>
          <w:rFonts w:hint="eastAsia" w:ascii="宋体" w:hAnsi="宋体" w:cs="仿宋_GB2312"/>
          <w:szCs w:val="21"/>
        </w:rPr>
        <w:t>90</w:t>
      </w:r>
      <w:r>
        <w:rPr>
          <w:rFonts w:ascii="宋体" w:hAnsi="宋体" w:cs="仿宋_GB2312"/>
          <w:szCs w:val="21"/>
        </w:rPr>
        <w:t>天的质量担保。</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color w:val="auto"/>
          <w:szCs w:val="21"/>
          <w:highlight w:val="none"/>
          <w:u w:val="none"/>
        </w:rPr>
      </w:pPr>
      <w:r>
        <w:rPr>
          <w:rFonts w:hint="eastAsia" w:ascii="宋体" w:hAnsi="宋体" w:cs="仿宋_GB2312"/>
          <w:szCs w:val="21"/>
          <w:highlight w:val="none"/>
        </w:rPr>
        <w:t>3）维修或更换周期：</w:t>
      </w:r>
      <w:r>
        <w:rPr>
          <w:rFonts w:hint="eastAsia" w:ascii="宋体" w:hAnsi="宋体" w:cs="仿宋_GB2312"/>
          <w:color w:val="auto"/>
          <w:szCs w:val="21"/>
          <w:highlight w:val="none"/>
          <w:u w:val="none"/>
        </w:rPr>
        <w:t>板卡的修理时间要求在90天以内，其中包括维修或更换以及运输时间。</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4）投标人应有自有备件库可以用来支持本项目，备件库中设备应覆盖除服务器原厂服务已经包含的设备外其他无线系统交换机设备的备件。</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3.终端维修</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终端维修包括对故障手持台检测、维修等服务内容,</w:t>
      </w:r>
      <w:r>
        <w:rPr>
          <w:rFonts w:ascii="宋体" w:hAnsi="宋体" w:cs="仿宋_GB2312"/>
          <w:szCs w:val="21"/>
        </w:rPr>
        <w:t xml:space="preserve"> </w:t>
      </w:r>
      <w:r>
        <w:rPr>
          <w:rFonts w:hint="eastAsia" w:ascii="宋体" w:hAnsi="宋体" w:cs="仿宋_GB2312"/>
          <w:szCs w:val="21"/>
        </w:rPr>
        <w:t>投标人</w:t>
      </w:r>
      <w:r>
        <w:rPr>
          <w:rFonts w:ascii="宋体" w:hAnsi="宋体" w:cs="仿宋_GB2312"/>
          <w:szCs w:val="21"/>
        </w:rPr>
        <w:t>检查判断后将损坏的故障设备或模块送给</w:t>
      </w:r>
      <w:r>
        <w:rPr>
          <w:rFonts w:hint="eastAsia" w:ascii="宋体" w:hAnsi="宋体" w:cs="仿宋_GB2312"/>
          <w:szCs w:val="21"/>
        </w:rPr>
        <w:t>投标人</w:t>
      </w:r>
      <w:r>
        <w:rPr>
          <w:rFonts w:ascii="宋体" w:hAnsi="宋体" w:cs="仿宋_GB2312"/>
          <w:szCs w:val="21"/>
        </w:rPr>
        <w:t>或其所委托的设备厂商系统维护中心进行维修或更换，并负责将修复或更换好的设备或模块返还给</w:t>
      </w:r>
      <w:r>
        <w:rPr>
          <w:rFonts w:hint="eastAsia" w:ascii="宋体" w:hAnsi="宋体" w:cs="仿宋_GB2312"/>
          <w:szCs w:val="21"/>
        </w:rPr>
        <w:t>招标人</w:t>
      </w:r>
      <w:r>
        <w:rPr>
          <w:rFonts w:ascii="宋体" w:hAnsi="宋体" w:cs="仿宋_GB2312"/>
          <w:szCs w:val="21"/>
        </w:rPr>
        <w:t>，维修或更换产生的费用按</w:t>
      </w:r>
      <w:r>
        <w:rPr>
          <w:rFonts w:hint="eastAsia" w:ascii="宋体" w:hAnsi="宋体" w:cs="仿宋_GB2312"/>
          <w:szCs w:val="21"/>
        </w:rPr>
        <w:t>合同执行。</w:t>
      </w:r>
    </w:p>
    <w:p>
      <w:pPr>
        <w:pStyle w:val="32"/>
        <w:pageBreakBefore w:val="0"/>
        <w:tabs>
          <w:tab w:val="right" w:leader="dot" w:pos="8306"/>
        </w:tabs>
        <w:kinsoku/>
        <w:wordWrap/>
        <w:overflowPunct/>
        <w:topLinePunct w:val="0"/>
        <w:autoSpaceDE/>
        <w:autoSpaceDN/>
        <w:bidi w:val="0"/>
        <w:spacing w:line="360" w:lineRule="auto"/>
        <w:ind w:firstLine="420" w:firstLineChars="200"/>
        <w:textAlignment w:val="auto"/>
        <w:outlineLvl w:val="0"/>
        <w:rPr>
          <w:rFonts w:ascii="宋体" w:hAnsi="宋体" w:cs="楷体"/>
          <w:b/>
          <w:szCs w:val="21"/>
        </w:rPr>
      </w:pPr>
      <w:r>
        <w:fldChar w:fldCharType="begin"/>
      </w:r>
      <w:r>
        <w:instrText xml:space="preserve"> HYPERLINK \l "_Toc28783" </w:instrText>
      </w:r>
      <w:r>
        <w:fldChar w:fldCharType="separate"/>
      </w:r>
      <w:bookmarkStart w:id="34" w:name="_Toc9838807"/>
      <w:r>
        <w:rPr>
          <w:rFonts w:hint="eastAsia" w:ascii="宋体" w:hAnsi="宋体" w:cs="楷体"/>
          <w:b/>
          <w:szCs w:val="21"/>
        </w:rPr>
        <w:t>六、项目验收</w:t>
      </w:r>
      <w:bookmarkEnd w:id="34"/>
      <w:r>
        <w:rPr>
          <w:rFonts w:hint="eastAsia" w:ascii="宋体" w:hAnsi="宋体" w:cs="楷体"/>
          <w:b/>
          <w:szCs w:val="21"/>
        </w:rPr>
        <w:fldChar w:fldCharType="end"/>
      </w:r>
    </w:p>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5" w:name="_Toc9838808"/>
      <w:r>
        <w:rPr>
          <w:rFonts w:hint="eastAsia" w:ascii="宋体" w:hAnsi="宋体" w:cs="宋体"/>
          <w:b w:val="0"/>
          <w:bCs w:val="0"/>
          <w:sz w:val="21"/>
          <w:szCs w:val="21"/>
        </w:rPr>
        <w:t>（一）验收小组</w:t>
      </w:r>
      <w:bookmarkEnd w:id="35"/>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验收小组由招标人相关人员组成。</w:t>
      </w:r>
    </w:p>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6" w:name="_Toc9838809"/>
      <w:r>
        <w:rPr>
          <w:rFonts w:hint="eastAsia" w:ascii="宋体" w:hAnsi="宋体" w:cs="宋体"/>
          <w:b w:val="0"/>
          <w:bCs w:val="0"/>
          <w:sz w:val="21"/>
          <w:szCs w:val="21"/>
        </w:rPr>
        <w:t>（二）验收周期</w:t>
      </w:r>
      <w:bookmarkEnd w:id="36"/>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此维保项目每半年验收一次，投标人须提供维保周期内的维保报告、投标人服务单等招标人所需资料进行验收，招标人将安排人员在维保周期内不定期对维保质量进行抽查，发现不符合维保质量要求的内容将对投标人进行考核，考核标准参考日常管理考核标准、质量考核标准。</w:t>
      </w:r>
    </w:p>
    <w:p>
      <w:pPr>
        <w:pageBreakBefore w:val="0"/>
        <w:kinsoku/>
        <w:wordWrap/>
        <w:overflowPunct/>
        <w:topLinePunct w:val="0"/>
        <w:autoSpaceDE/>
        <w:autoSpaceDN/>
        <w:bidi w:val="0"/>
        <w:spacing w:line="360" w:lineRule="auto"/>
        <w:ind w:firstLine="378" w:firstLineChars="200"/>
        <w:textAlignment w:val="auto"/>
        <w:rPr>
          <w:rFonts w:ascii="宋体" w:hAnsi="宋体" w:cs="仿宋_GB2312"/>
          <w:w w:val="90"/>
          <w:szCs w:val="21"/>
        </w:rPr>
      </w:pPr>
      <w:r>
        <w:rPr>
          <w:rFonts w:hint="eastAsia" w:ascii="宋体" w:hAnsi="宋体" w:cs="仿宋_GB2312"/>
          <w:w w:val="90"/>
          <w:szCs w:val="21"/>
        </w:rPr>
        <w:t>1.</w:t>
      </w:r>
      <w:r>
        <w:rPr>
          <w:rFonts w:hint="eastAsia" w:ascii="宋体" w:hAnsi="宋体" w:cs="仿宋_GB2312"/>
          <w:szCs w:val="21"/>
        </w:rPr>
        <w:t>半年度验收</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招标人在申请项目进度款时，应提供维保周期内的维保报告、考核明细单等招标人所需资料进行验收。</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2.不定期验收</w:t>
      </w:r>
    </w:p>
    <w:p>
      <w:pPr>
        <w:pageBreakBefore w:val="0"/>
        <w:kinsoku/>
        <w:wordWrap/>
        <w:overflowPunct/>
        <w:topLinePunct w:val="0"/>
        <w:autoSpaceDE/>
        <w:autoSpaceDN/>
        <w:bidi w:val="0"/>
        <w:spacing w:line="360" w:lineRule="auto"/>
        <w:ind w:firstLine="420" w:firstLineChars="200"/>
        <w:textAlignment w:val="auto"/>
        <w:rPr>
          <w:rFonts w:ascii="宋体" w:hAnsi="宋体"/>
          <w:szCs w:val="21"/>
        </w:rPr>
      </w:pPr>
      <w:r>
        <w:rPr>
          <w:rFonts w:hint="eastAsia" w:ascii="宋体" w:hAnsi="宋体" w:cs="仿宋_GB2312"/>
          <w:szCs w:val="21"/>
        </w:rPr>
        <w:t>招标人将安排人员在维保周期内不定期对维保质量进行抽查，发现不符合维保质量要求的内容将对投标人进行考核，考核标准参考合同内相关考核条款，考核结果在进度款中结算中体现。</w:t>
      </w:r>
    </w:p>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7" w:name="_Toc9838810"/>
      <w:r>
        <w:rPr>
          <w:rFonts w:hint="eastAsia" w:ascii="宋体" w:hAnsi="宋体" w:cs="宋体"/>
          <w:b w:val="0"/>
          <w:bCs w:val="0"/>
          <w:sz w:val="21"/>
          <w:szCs w:val="21"/>
        </w:rPr>
        <w:t>（三）验收标准</w:t>
      </w:r>
      <w:bookmarkEnd w:id="37"/>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投标人按照要求进行维护服务工作，在每半年后的5个工作日内以书面形式提交维护服务报告，维护服务成果及维护服务报告经招标人确认达到合同要求的技术及质量标准，视为验收合格。</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项目阶段验收按招标人相关委外服务项目验收管理办法、合同条款及《维保方案》执行，内容包括但不限于：系统设备维护保养记录、巡检维护报告、考核表等。如上述标准有更改时，具体验收要求以招标人通知为准。</w:t>
      </w:r>
    </w:p>
    <w:p>
      <w:pPr>
        <w:pageBreakBefore w:val="0"/>
        <w:widowControl/>
        <w:kinsoku/>
        <w:wordWrap/>
        <w:overflowPunct/>
        <w:topLinePunct w:val="0"/>
        <w:autoSpaceDE/>
        <w:autoSpaceDN/>
        <w:bidi w:val="0"/>
        <w:spacing w:line="360" w:lineRule="auto"/>
        <w:ind w:firstLine="420" w:firstLineChars="200"/>
        <w:jc w:val="left"/>
        <w:textAlignment w:val="auto"/>
        <w:rPr>
          <w:rFonts w:ascii="宋体" w:hAnsi="宋体" w:cs="仿宋_GB2312"/>
          <w:szCs w:val="21"/>
        </w:rPr>
      </w:pPr>
      <w:r>
        <w:rPr>
          <w:rFonts w:hint="eastAsia" w:ascii="宋体" w:hAnsi="宋体" w:cs="仿宋_GB2312"/>
          <w:szCs w:val="21"/>
        </w:rPr>
        <w:t>合同期</w:t>
      </w:r>
      <w:r>
        <w:rPr>
          <w:rFonts w:ascii="宋体" w:hAnsi="宋体" w:cs="仿宋_GB2312"/>
          <w:szCs w:val="21"/>
        </w:rPr>
        <w:t>满</w:t>
      </w:r>
      <w:r>
        <w:rPr>
          <w:rFonts w:hint="eastAsia" w:ascii="宋体" w:hAnsi="宋体" w:cs="仿宋_GB2312"/>
          <w:szCs w:val="21"/>
        </w:rPr>
        <w:t>完工</w:t>
      </w:r>
      <w:r>
        <w:rPr>
          <w:rFonts w:ascii="宋体" w:hAnsi="宋体" w:cs="仿宋_GB2312"/>
          <w:szCs w:val="21"/>
        </w:rPr>
        <w:t>验收</w:t>
      </w:r>
      <w:r>
        <w:rPr>
          <w:rFonts w:hint="eastAsia" w:ascii="宋体" w:hAnsi="宋体" w:cs="仿宋_GB2312"/>
          <w:szCs w:val="21"/>
        </w:rPr>
        <w:t>按招标人相关委外服务项目验收管理办法、合同条款及《维保方案》执行，内容包括但不限于：项目阶段验收资料、考核表等。如上述标准有更改时，具体验收要求以招标人通知为准。</w:t>
      </w:r>
    </w:p>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8" w:name="_Toc9838811"/>
      <w:r>
        <w:rPr>
          <w:rFonts w:hint="eastAsia" w:ascii="宋体" w:hAnsi="宋体" w:cs="宋体"/>
          <w:b w:val="0"/>
          <w:bCs w:val="0"/>
          <w:sz w:val="21"/>
          <w:szCs w:val="21"/>
        </w:rPr>
        <w:t>（四）验收资料</w:t>
      </w:r>
      <w:bookmarkEnd w:id="38"/>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szCs w:val="21"/>
        </w:rPr>
        <w:t>本项目验收资料包含但不限于维保方案、巡检维护报告、系统优化方案、故障分析报告（如有故障需提供）等。</w:t>
      </w:r>
    </w:p>
    <w:p>
      <w:pPr>
        <w:pStyle w:val="32"/>
        <w:pageBreakBefore w:val="0"/>
        <w:tabs>
          <w:tab w:val="right" w:leader="dot" w:pos="8306"/>
        </w:tabs>
        <w:kinsoku/>
        <w:wordWrap/>
        <w:overflowPunct/>
        <w:topLinePunct w:val="0"/>
        <w:autoSpaceDE/>
        <w:autoSpaceDN/>
        <w:bidi w:val="0"/>
        <w:spacing w:line="360" w:lineRule="auto"/>
        <w:ind w:firstLine="422" w:firstLineChars="200"/>
        <w:textAlignment w:val="auto"/>
        <w:outlineLvl w:val="0"/>
        <w:rPr>
          <w:rFonts w:ascii="宋体" w:hAnsi="宋体" w:cs="楷体"/>
          <w:b/>
          <w:szCs w:val="21"/>
        </w:rPr>
      </w:pPr>
      <w:bookmarkStart w:id="39" w:name="_Toc9838812"/>
      <w:r>
        <w:rPr>
          <w:rFonts w:hint="eastAsia" w:ascii="宋体" w:hAnsi="宋体" w:cs="楷体"/>
          <w:b/>
          <w:szCs w:val="21"/>
        </w:rPr>
        <w:t>七、质保期</w:t>
      </w:r>
      <w:bookmarkEnd w:id="39"/>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szCs w:val="21"/>
        </w:rPr>
        <w:t>投标人需对维保期内所有安装和提供的系统、设备负责，为返厂维修的设备、设备组件提供不少于90天质保（从设备、设备组件交付招标人之日起）。质保期内，对连续出现三次以上或两次固定性故障的设备（含软件和固件），视为维修不合格。投标人承担修复、更换过程中产生的全部费用及故障对招标人造成的损失。</w:t>
      </w:r>
    </w:p>
    <w:p>
      <w:pPr>
        <w:pStyle w:val="32"/>
        <w:pageBreakBefore w:val="0"/>
        <w:tabs>
          <w:tab w:val="right" w:leader="dot" w:pos="8306"/>
        </w:tabs>
        <w:kinsoku/>
        <w:wordWrap/>
        <w:overflowPunct/>
        <w:topLinePunct w:val="0"/>
        <w:autoSpaceDE/>
        <w:autoSpaceDN/>
        <w:bidi w:val="0"/>
        <w:spacing w:line="360" w:lineRule="auto"/>
        <w:ind w:firstLine="422" w:firstLineChars="200"/>
        <w:textAlignment w:val="auto"/>
        <w:outlineLvl w:val="0"/>
        <w:rPr>
          <w:rFonts w:ascii="宋体" w:hAnsi="宋体" w:cs="楷体"/>
          <w:b/>
          <w:szCs w:val="21"/>
        </w:rPr>
      </w:pPr>
      <w:bookmarkStart w:id="40" w:name="_Toc9838813"/>
      <w:r>
        <w:rPr>
          <w:rFonts w:hint="eastAsia" w:ascii="宋体" w:hAnsi="宋体" w:cs="楷体"/>
          <w:b/>
          <w:szCs w:val="21"/>
        </w:rPr>
        <w:t>八、考核标准</w:t>
      </w:r>
      <w:bookmarkEnd w:id="40"/>
    </w:p>
    <w:p>
      <w:pPr>
        <w:pageBreakBefore w:val="0"/>
        <w:kinsoku/>
        <w:wordWrap/>
        <w:overflowPunct/>
        <w:topLinePunct w:val="0"/>
        <w:autoSpaceDE/>
        <w:autoSpaceDN/>
        <w:bidi w:val="0"/>
        <w:spacing w:line="360" w:lineRule="auto"/>
        <w:ind w:firstLine="420" w:firstLineChars="200"/>
        <w:textAlignment w:val="auto"/>
        <w:rPr>
          <w:rFonts w:ascii="宋体" w:hAnsi="宋体" w:cs="宋体"/>
          <w:bCs/>
          <w:szCs w:val="21"/>
        </w:rPr>
      </w:pPr>
      <w:bookmarkStart w:id="41" w:name="_Toc12013"/>
      <w:bookmarkStart w:id="42" w:name="_Toc890"/>
      <w:bookmarkStart w:id="43" w:name="_Toc22380"/>
      <w:bookmarkStart w:id="44" w:name="_Toc5594"/>
      <w:bookmarkStart w:id="45" w:name="_Toc31900"/>
      <w:bookmarkStart w:id="46" w:name="_Toc12230_WPSOffice_Level2"/>
      <w:r>
        <w:rPr>
          <w:rFonts w:hint="eastAsia" w:ascii="宋体" w:hAnsi="宋体" w:cs="宋体"/>
          <w:bCs/>
          <w:szCs w:val="21"/>
        </w:rPr>
        <w:t>投标人违反招标人相关规定、制度，原则上按照《运营公司承包商安全管理办法》</w:t>
      </w:r>
      <w:r>
        <w:rPr>
          <w:rFonts w:hint="eastAsia" w:ascii="宋体" w:hAnsi="宋体" w:cs="仿宋_GB2312"/>
          <w:szCs w:val="21"/>
        </w:rPr>
        <w:t>考核明细表</w:t>
      </w:r>
      <w:r>
        <w:rPr>
          <w:rFonts w:hint="eastAsia" w:ascii="宋体" w:hAnsi="宋体" w:cs="宋体"/>
          <w:bCs/>
          <w:szCs w:val="21"/>
        </w:rPr>
        <w:t>进行考核。</w:t>
      </w:r>
    </w:p>
    <w:p>
      <w:pPr>
        <w:pageBreakBefore w:val="0"/>
        <w:kinsoku/>
        <w:wordWrap/>
        <w:overflowPunct/>
        <w:topLinePunct w:val="0"/>
        <w:autoSpaceDE/>
        <w:autoSpaceDN/>
        <w:bidi w:val="0"/>
        <w:spacing w:line="360" w:lineRule="auto"/>
        <w:ind w:firstLine="420" w:firstLineChars="200"/>
        <w:textAlignment w:val="auto"/>
        <w:rPr>
          <w:rFonts w:ascii="宋体" w:hAnsi="宋体" w:cs="宋体"/>
          <w:bCs/>
          <w:szCs w:val="21"/>
        </w:rPr>
      </w:pPr>
      <w:r>
        <w:rPr>
          <w:rFonts w:hint="eastAsia" w:ascii="宋体" w:hAnsi="宋体" w:cs="宋体"/>
          <w:bCs/>
          <w:szCs w:val="21"/>
        </w:rPr>
        <w:t>因投标人违反相关规定、制度对招标人造成影响，按照《表四 质量考核标准表》、《表五 考核支付表》执行（包括但不限于）：</w:t>
      </w:r>
    </w:p>
    <w:tbl>
      <w:tblPr>
        <w:tblStyle w:val="46"/>
        <w:tblW w:w="10422" w:type="dxa"/>
        <w:jc w:val="center"/>
        <w:tblLayout w:type="fixed"/>
        <w:tblCellMar>
          <w:top w:w="15" w:type="dxa"/>
          <w:left w:w="15" w:type="dxa"/>
          <w:bottom w:w="15" w:type="dxa"/>
          <w:right w:w="15" w:type="dxa"/>
        </w:tblCellMar>
      </w:tblPr>
      <w:tblGrid>
        <w:gridCol w:w="720"/>
        <w:gridCol w:w="3282"/>
        <w:gridCol w:w="1665"/>
        <w:gridCol w:w="4755"/>
      </w:tblGrid>
      <w:tr>
        <w:tblPrEx>
          <w:tblCellMar>
            <w:top w:w="15" w:type="dxa"/>
            <w:left w:w="15" w:type="dxa"/>
            <w:bottom w:w="15" w:type="dxa"/>
            <w:right w:w="15" w:type="dxa"/>
          </w:tblCellMar>
        </w:tblPrEx>
        <w:trPr>
          <w:trHeight w:val="495" w:hRule="atLeast"/>
          <w:jc w:val="center"/>
        </w:trPr>
        <w:tc>
          <w:tcPr>
            <w:tcW w:w="10422"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lang w:bidi="ar"/>
              </w:rPr>
              <w:t>表四 质量考核标准表</w:t>
            </w:r>
          </w:p>
        </w:tc>
      </w:tr>
      <w:tr>
        <w:tblPrEx>
          <w:tblCellMar>
            <w:top w:w="15" w:type="dxa"/>
            <w:left w:w="15" w:type="dxa"/>
            <w:bottom w:w="15" w:type="dxa"/>
            <w:right w:w="15" w:type="dxa"/>
          </w:tblCellMar>
        </w:tblPrEx>
        <w:trPr>
          <w:trHeight w:val="49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考核内容</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处罚结果</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备注</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发生影响运营安全的事苗及以上的事故。</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20分/次,并承担相关责任。</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招标人有权视情况解除合同（详见CGY／G-105-021-A／1 运营公司生产安全事故（事件）调查处理规则）。</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rPr>
              <w:t>发生</w:t>
            </w:r>
            <w:r>
              <w:rPr>
                <w:rFonts w:hint="eastAsia" w:ascii="宋体" w:hAnsi="宋体" w:cs="宋体"/>
                <w:szCs w:val="21"/>
              </w:rPr>
              <w:t>一类故障。</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15分/次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详见CGY/G-107-104-A/0《通号部故障管理规定》；超过2次，招标人有权视情况解除合同。</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rPr>
            </w:pPr>
            <w:r>
              <w:rPr>
                <w:rFonts w:hint="eastAsia" w:ascii="宋体" w:hAnsi="宋体" w:cs="宋体"/>
                <w:color w:val="000000"/>
                <w:kern w:val="0"/>
                <w:szCs w:val="21"/>
              </w:rPr>
              <w:t>因投标人维保责任造成</w:t>
            </w:r>
            <w:r>
              <w:rPr>
                <w:rFonts w:hint="eastAsia" w:ascii="宋体" w:hAnsi="宋体" w:cs="宋体"/>
                <w:szCs w:val="21"/>
              </w:rPr>
              <w:t>二类故障。</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10分/次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详见《通号部故障管理规定》</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rPr>
            </w:pPr>
            <w:r>
              <w:rPr>
                <w:rFonts w:hint="eastAsia" w:ascii="宋体" w:hAnsi="宋体" w:cs="宋体"/>
                <w:color w:val="000000"/>
                <w:kern w:val="0"/>
                <w:szCs w:val="21"/>
                <w:lang w:bidi="ar"/>
              </w:rPr>
              <w:t>因投标人维保责任造成三类故障。</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详见《通号部故障管理规定》</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发现故障或缺陷未及时上报、上报流程不正确、故障处理结果没有按时反馈、故障无记录。</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视为违约，并按合同中的违约责任进行处理。</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rPr>
              <w:t>年度故障数</w:t>
            </w:r>
            <w:r>
              <w:rPr>
                <w:rFonts w:hint="eastAsia" w:ascii="宋体" w:hAnsi="宋体" w:cs="宋体"/>
                <w:color w:val="000000"/>
                <w:kern w:val="0"/>
                <w:szCs w:val="21"/>
                <w:lang w:bidi="ar"/>
              </w:rPr>
              <w:t>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故障响应时间超过合同要求的。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一类故障修复时间超过合同要求的。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10分/次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超过3次，招标人有权视情况解除合同</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二类故障修复时间超过合同要求的。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三类故障修复时间超过合同要求的。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未通过故障分析对设备故障做出正确判断，采取有效措施，导致一月内故障累计发生3次及以上的。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10分/次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在故障没有修复的情况下，投标人不按要求安排人员现场值班。</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因投标人备品备件、材料及专用工器具不足，导致设备不能及时维修的。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在没有提前申明或无特殊原因下，计划的维护作业未按时完成，作业超期或漏检漏修。</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未按照设备维护规程进行作业，作业质量不合格。</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未按合同要求、维保计划完成现场及远程巡检，并提供巡检维护报告。</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17</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未按合同要求进行数据库检查及清理。</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未按合同要求提供系统性能优化方案。</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19</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投标人开展的维保作业，应填写维保记录。若投标人未填写维保记录，招标人有权认为该项维保作业未完成，对投标人处以考核罚款。若投标人填写维保记录不认真，达不到合同规定的要求。</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投标人进行故障处理涉及板卡、模块更换的情况，需对更换的板卡、模块提供质保，相同部件质保期内出现相同故障，相关费用由投标人承担，且对投标人进行考核。</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21</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所有更换下来的故障零部件及材料在更换后未交还招标人处理或共同销毁的相关费用由投标人承担，且对投标人进行考核。</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22</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投标人现场作业人员被乘客或其它单位投诉并查明为有责投诉。</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23</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每半年维保期结束后，检修记录、各统计报表数据不真实或未按合同要求于</w:t>
            </w:r>
            <w:r>
              <w:rPr>
                <w:rFonts w:ascii="宋体" w:hAnsi="宋体" w:cs="宋体"/>
                <w:color w:val="000000"/>
                <w:kern w:val="0"/>
                <w:szCs w:val="21"/>
                <w:lang w:bidi="ar"/>
              </w:rPr>
              <w:t>5～10个工作日内</w:t>
            </w:r>
            <w:r>
              <w:rPr>
                <w:rFonts w:hint="eastAsia" w:ascii="宋体" w:hAnsi="宋体" w:cs="宋体"/>
                <w:color w:val="000000"/>
                <w:kern w:val="0"/>
                <w:szCs w:val="21"/>
                <w:lang w:bidi="ar"/>
              </w:rPr>
              <w:t>提交的。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3分/次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24</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对</w:t>
            </w:r>
            <w:r>
              <w:rPr>
                <w:rFonts w:ascii="宋体" w:hAnsi="宋体" w:cs="宋体"/>
                <w:color w:val="000000"/>
                <w:kern w:val="0"/>
                <w:szCs w:val="21"/>
                <w:lang w:bidi="ar"/>
              </w:rPr>
              <w:t>系统故障及超出计划时间的停机维护，</w:t>
            </w:r>
            <w:r>
              <w:rPr>
                <w:rFonts w:hint="eastAsia" w:ascii="宋体" w:hAnsi="宋体" w:cs="宋体"/>
                <w:color w:val="000000"/>
                <w:kern w:val="0"/>
                <w:szCs w:val="21"/>
                <w:lang w:bidi="ar"/>
              </w:rPr>
              <w:t>未能按合同要求</w:t>
            </w:r>
            <w:r>
              <w:rPr>
                <w:rFonts w:ascii="宋体" w:hAnsi="宋体" w:cs="宋体"/>
                <w:color w:val="000000"/>
                <w:kern w:val="0"/>
                <w:szCs w:val="21"/>
                <w:lang w:bidi="ar"/>
              </w:rPr>
              <w:t>在系统恢复后的5～10个工作日内提交故障处理报告</w:t>
            </w:r>
            <w:r>
              <w:rPr>
                <w:rFonts w:hint="eastAsia" w:ascii="宋体" w:hAnsi="宋体" w:cs="宋体"/>
                <w:color w:val="000000"/>
                <w:kern w:val="0"/>
                <w:szCs w:val="21"/>
                <w:lang w:bidi="ar"/>
              </w:rPr>
              <w:t>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25</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未参与招标人应急抢险或应急演练。</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26</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调整检修计划未上报招标人审批。</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27</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经招标人抽查，发现设备存在损坏的零部件未更换，投标人未按招标人要求在规定日期内整改的。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28</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检修所用物资、工器具管理未达到检修标准及招标人规范要求的。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29</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招标人通知与本合同项目内相关的工作，投标人未按时间完成或内容不符合要求。</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highlight w:val="yellow"/>
                <w:lang w:bidi="ar"/>
              </w:rPr>
            </w:pPr>
            <w:r>
              <w:rPr>
                <w:rFonts w:hint="eastAsia" w:ascii="宋体" w:hAnsi="宋体" w:cs="宋体"/>
                <w:color w:val="000000"/>
                <w:kern w:val="0"/>
                <w:szCs w:val="21"/>
                <w:lang w:bidi="ar"/>
              </w:rPr>
              <w:t>30</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临时任务、配合作业没完成或未按要求完成。</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31</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投标人管理人员每月必须完成现场检查1次并留有记录。</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32</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rPr>
              <w:t>投标人未在约定的时间内提供远程或现场服务，每延误一天按招标人对委外维保单位相关考核文件及办法扣除违约金，如遇不可抗力原因需向招标人提前告知。</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扣款200-500元</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szCs w:val="21"/>
              </w:rPr>
              <w:t>参《运营公司承包商安全管理办法》中“</w:t>
            </w:r>
            <w:r>
              <w:rPr>
                <w:rFonts w:hint="eastAsia" w:ascii="宋体" w:hAnsi="宋体"/>
                <w:szCs w:val="21"/>
              </w:rPr>
              <w:t>擅自取消计划，每发生一起考核一起”</w:t>
            </w:r>
            <w:r>
              <w:rPr>
                <w:rFonts w:hint="eastAsia" w:ascii="宋体" w:hAnsi="宋体" w:cs="宋体"/>
                <w:color w:val="000000"/>
                <w:szCs w:val="21"/>
              </w:rPr>
              <w:t>。</w:t>
            </w: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33</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rPr>
              <w:t>投标人需按合同要求定期对招标人出具系统维护服务报告，如发现有伪造服务报告数据的，每发现1次按招标人对委外维保单元相关考核文件及办法扣除违约金</w:t>
            </w:r>
            <w:r>
              <w:rPr>
                <w:rFonts w:hint="eastAsia" w:ascii="宋体" w:hAnsi="宋体" w:cs="宋体"/>
                <w:szCs w:val="21"/>
              </w:rPr>
              <w:t>。</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扣款500-1000元</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rPr>
              <w:t>超过3次，招标人有权视情况解除合同</w:t>
            </w: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34</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rPr>
              <w:t>投标人需按约定的时间完成故障板件的返修服务，并按合同要求在返修期间提供换件服务</w:t>
            </w:r>
            <w:r>
              <w:rPr>
                <w:rFonts w:hint="eastAsia" w:ascii="宋体" w:hAnsi="宋体" w:cs="宋体"/>
                <w:szCs w:val="21"/>
              </w:rPr>
              <w:t>。</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投标人如未履行此项服务，招标人有权扣除合同中此项服务费用的10%。</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bl>
    <w:p>
      <w:pPr>
        <w:spacing w:line="560" w:lineRule="exact"/>
        <w:rPr>
          <w:rFonts w:ascii="宋体" w:hAnsi="宋体" w:cs="宋体"/>
          <w:bCs/>
          <w:szCs w:val="21"/>
        </w:rPr>
      </w:pPr>
    </w:p>
    <w:tbl>
      <w:tblPr>
        <w:tblStyle w:val="46"/>
        <w:tblW w:w="104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7"/>
        <w:gridCol w:w="4695"/>
        <w:gridCol w:w="4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0482" w:type="dxa"/>
            <w:gridSpan w:val="3"/>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表五  考核支付表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557" w:type="dxa"/>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考评等级</w:t>
            </w:r>
          </w:p>
        </w:tc>
        <w:tc>
          <w:tcPr>
            <w:tcW w:w="4695" w:type="dxa"/>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考评标准（基础分100分）</w:t>
            </w:r>
          </w:p>
        </w:tc>
        <w:tc>
          <w:tcPr>
            <w:tcW w:w="4230" w:type="dxa"/>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对应扣款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57"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A级</w:t>
            </w:r>
          </w:p>
        </w:tc>
        <w:tc>
          <w:tcPr>
            <w:tcW w:w="4695"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综合考评分≥90分,支付比例100%。</w:t>
            </w:r>
          </w:p>
        </w:tc>
        <w:tc>
          <w:tcPr>
            <w:tcW w:w="4230"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57"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B级</w:t>
            </w:r>
          </w:p>
        </w:tc>
        <w:tc>
          <w:tcPr>
            <w:tcW w:w="4695"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80分≤综合考评分&lt;90分，支付比例90%。</w:t>
            </w:r>
          </w:p>
        </w:tc>
        <w:tc>
          <w:tcPr>
            <w:tcW w:w="4230"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当期进度款*10%（元）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57"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C级</w:t>
            </w:r>
          </w:p>
        </w:tc>
        <w:tc>
          <w:tcPr>
            <w:tcW w:w="4695"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70分≤综合考评分&lt;80分，支付比例80%。</w:t>
            </w:r>
          </w:p>
        </w:tc>
        <w:tc>
          <w:tcPr>
            <w:tcW w:w="4230"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当期进度款*20%（元）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57"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D级</w:t>
            </w:r>
          </w:p>
        </w:tc>
        <w:tc>
          <w:tcPr>
            <w:tcW w:w="4695"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综合考评分&lt;70分，支付比例70%。</w:t>
            </w:r>
          </w:p>
        </w:tc>
        <w:tc>
          <w:tcPr>
            <w:tcW w:w="4230" w:type="dxa"/>
            <w:tcMar>
              <w:top w:w="15" w:type="dxa"/>
              <w:left w:w="15" w:type="dxa"/>
              <w:right w:w="15" w:type="dxa"/>
            </w:tcMar>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当期进度款*30%（元），赔偿相关损失，招标人有权解除合同。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10482" w:type="dxa"/>
            <w:gridSpan w:val="3"/>
            <w:tcMar>
              <w:top w:w="15" w:type="dxa"/>
              <w:left w:w="15" w:type="dxa"/>
              <w:right w:w="15" w:type="dxa"/>
            </w:tcMar>
            <w:vAlign w:val="center"/>
          </w:tcPr>
          <w:p>
            <w:pPr>
              <w:ind w:firstLine="420" w:firstLineChars="200"/>
              <w:rPr>
                <w:rFonts w:ascii="宋体" w:hAnsi="宋体" w:cs="仿宋_GB2312"/>
                <w:bCs/>
                <w:szCs w:val="21"/>
              </w:rPr>
            </w:pPr>
            <w:r>
              <w:rPr>
                <w:rFonts w:hint="eastAsia" w:ascii="宋体" w:hAnsi="宋体" w:cs="宋体"/>
                <w:bCs/>
                <w:szCs w:val="21"/>
              </w:rPr>
              <w:t>当综合考评分90分以上（含90分）时，按照《运营公司承包商安全管理办法》进行考核。</w:t>
            </w:r>
          </w:p>
        </w:tc>
      </w:tr>
      <w:bookmarkEnd w:id="41"/>
      <w:bookmarkEnd w:id="42"/>
      <w:bookmarkEnd w:id="43"/>
      <w:bookmarkEnd w:id="44"/>
      <w:bookmarkEnd w:id="45"/>
      <w:bookmarkEnd w:id="46"/>
    </w:tbl>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2" w:firstLineChars="200"/>
        <w:textAlignment w:val="auto"/>
        <w:outlineLvl w:val="0"/>
        <w:rPr>
          <w:rFonts w:ascii="宋体" w:hAnsi="宋体" w:cs="楷体"/>
          <w:b/>
          <w:szCs w:val="21"/>
        </w:rPr>
      </w:pPr>
      <w:bookmarkStart w:id="47" w:name="_Toc9838814"/>
      <w:r>
        <w:rPr>
          <w:rFonts w:hint="eastAsia" w:ascii="宋体" w:hAnsi="宋体" w:cs="楷体"/>
          <w:b/>
          <w:szCs w:val="21"/>
        </w:rPr>
        <w:t>九、其他要求</w:t>
      </w:r>
      <w:bookmarkEnd w:id="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hint="eastAsia" w:ascii="宋体" w:hAnsi="宋体" w:cs="仿宋_GB2312"/>
          <w:szCs w:val="21"/>
        </w:rPr>
        <w:t>投标人提供详细的《设备组件维修报价清单》，包括现有无线系统设备整机更换及单个模块维修价（单个模块需细化至CPU\主板\电源等组件维修时人工费、材料费及工具仪表使用费等）。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hint="eastAsia" w:ascii="宋体" w:hAnsi="宋体" w:cs="仿宋_GB2312"/>
          <w:szCs w:val="21"/>
        </w:rPr>
        <w:t>投标人需对本次维护项目的难点、重点进行分析，提供</w:t>
      </w:r>
      <w:r>
        <w:rPr>
          <w:rFonts w:hint="eastAsia" w:ascii="宋体" w:hAnsi="宋体" w:cs="仿宋_GB2312"/>
          <w:szCs w:val="21"/>
          <w:highlight w:val="none"/>
        </w:rPr>
        <w:t>《维护方案》，</w:t>
      </w:r>
      <w:r>
        <w:rPr>
          <w:rFonts w:hint="eastAsia" w:ascii="宋体" w:hAnsi="宋体" w:cs="仿宋_GB2312"/>
          <w:szCs w:val="21"/>
        </w:rPr>
        <w:t>内容包括但不限于深度维护方案、故障处理/抢修方案、重要时期保障方案、质量及技术保证措施、安全及文明措施、针对关键设备出现故障时的应急预案、故障的响应和处理流程等，经招标人认可后方可进场维护。</w:t>
      </w:r>
    </w:p>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2" w:firstLineChars="200"/>
        <w:textAlignment w:val="auto"/>
        <w:outlineLvl w:val="0"/>
        <w:rPr>
          <w:rFonts w:ascii="宋体" w:hAnsi="宋体" w:cs="楷体"/>
          <w:b/>
          <w:szCs w:val="21"/>
        </w:rPr>
      </w:pPr>
      <w:bookmarkStart w:id="48" w:name="_Toc9838815"/>
      <w:r>
        <w:rPr>
          <w:rFonts w:hint="eastAsia" w:ascii="宋体" w:hAnsi="宋体" w:cs="楷体"/>
          <w:b/>
          <w:szCs w:val="21"/>
        </w:rPr>
        <w:t>十、其他</w:t>
      </w:r>
      <w:bookmarkEnd w:id="4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ascii="宋体" w:hAnsi="宋体" w:cs="仿宋_GB2312"/>
          <w:szCs w:val="21"/>
        </w:rPr>
        <w:t>附件</w:t>
      </w:r>
      <w:r>
        <w:rPr>
          <w:rFonts w:hint="eastAsia" w:ascii="宋体" w:hAnsi="宋体" w:cs="仿宋_GB2312"/>
          <w:szCs w:val="21"/>
        </w:rPr>
        <w:t>1</w:t>
      </w:r>
      <w:r>
        <w:rPr>
          <w:rFonts w:ascii="宋体" w:hAnsi="宋体" w:cs="仿宋_GB2312"/>
          <w:szCs w:val="21"/>
        </w:rPr>
        <w:t>：设备清单</w:t>
      </w:r>
    </w:p>
    <w:tbl>
      <w:tblPr>
        <w:tblStyle w:val="46"/>
        <w:tblpPr w:leftFromText="180" w:rightFromText="180" w:vertAnchor="text" w:tblpXSpec="center" w:tblpY="1"/>
        <w:tblOverlap w:val="never"/>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12"/>
        <w:gridCol w:w="2698"/>
        <w:gridCol w:w="3760"/>
        <w:gridCol w:w="7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812" w:type="dxa"/>
            <w:shd w:val="clear" w:color="auto" w:fill="FFFFFF"/>
            <w:vAlign w:val="center"/>
          </w:tcPr>
          <w:p>
            <w:pPr>
              <w:jc w:val="center"/>
              <w:rPr>
                <w:rFonts w:ascii="宋体" w:hAnsi="宋体" w:cs="仿宋_GB2312"/>
                <w:b/>
                <w:szCs w:val="21"/>
              </w:rPr>
            </w:pPr>
            <w:r>
              <w:rPr>
                <w:rFonts w:hint="eastAsia" w:ascii="宋体" w:hAnsi="宋体" w:cs="仿宋_GB2312"/>
                <w:b/>
                <w:szCs w:val="21"/>
              </w:rPr>
              <w:t>序号</w:t>
            </w:r>
          </w:p>
        </w:tc>
        <w:tc>
          <w:tcPr>
            <w:tcW w:w="2698" w:type="dxa"/>
            <w:shd w:val="clear" w:color="auto" w:fill="FFFFFF"/>
            <w:vAlign w:val="center"/>
          </w:tcPr>
          <w:p>
            <w:pPr>
              <w:jc w:val="center"/>
              <w:rPr>
                <w:rFonts w:ascii="宋体" w:hAnsi="宋体" w:cs="仿宋_GB2312"/>
                <w:b/>
                <w:szCs w:val="21"/>
              </w:rPr>
            </w:pPr>
            <w:r>
              <w:rPr>
                <w:rFonts w:hint="eastAsia" w:ascii="宋体" w:hAnsi="宋体" w:cs="仿宋_GB2312"/>
                <w:b/>
                <w:szCs w:val="21"/>
              </w:rPr>
              <w:t>名称</w:t>
            </w:r>
          </w:p>
        </w:tc>
        <w:tc>
          <w:tcPr>
            <w:tcW w:w="3760" w:type="dxa"/>
            <w:shd w:val="clear" w:color="auto" w:fill="FFFFFF"/>
            <w:vAlign w:val="center"/>
          </w:tcPr>
          <w:p>
            <w:pPr>
              <w:jc w:val="center"/>
              <w:rPr>
                <w:rFonts w:ascii="宋体" w:hAnsi="宋体" w:cs="仿宋_GB2312"/>
                <w:b/>
                <w:szCs w:val="21"/>
              </w:rPr>
            </w:pPr>
            <w:r>
              <w:rPr>
                <w:rFonts w:hint="eastAsia" w:ascii="宋体" w:hAnsi="宋体" w:cs="仿宋_GB2312"/>
                <w:b/>
                <w:szCs w:val="21"/>
              </w:rPr>
              <w:t>规格型号</w:t>
            </w:r>
          </w:p>
        </w:tc>
        <w:tc>
          <w:tcPr>
            <w:tcW w:w="776" w:type="dxa"/>
            <w:shd w:val="clear" w:color="auto" w:fill="FFFFFF"/>
            <w:vAlign w:val="center"/>
          </w:tcPr>
          <w:p>
            <w:pPr>
              <w:jc w:val="center"/>
              <w:rPr>
                <w:rFonts w:ascii="宋体" w:hAnsi="宋体" w:cs="仿宋_GB2312"/>
                <w:b/>
                <w:szCs w:val="21"/>
              </w:rPr>
            </w:pPr>
            <w:r>
              <w:rPr>
                <w:rFonts w:hint="eastAsia" w:ascii="宋体" w:hAnsi="宋体" w:cs="仿宋_GB2312"/>
                <w:b/>
                <w:szCs w:val="21"/>
              </w:rPr>
              <w:t>单位</w:t>
            </w:r>
          </w:p>
        </w:tc>
        <w:tc>
          <w:tcPr>
            <w:tcW w:w="851" w:type="dxa"/>
            <w:shd w:val="clear" w:color="auto" w:fill="FFFFFF"/>
            <w:vAlign w:val="center"/>
          </w:tcPr>
          <w:p>
            <w:pPr>
              <w:jc w:val="center"/>
              <w:rPr>
                <w:rFonts w:ascii="宋体" w:hAnsi="宋体" w:cs="仿宋_GB2312"/>
                <w:b/>
                <w:szCs w:val="21"/>
              </w:rPr>
            </w:pPr>
            <w:r>
              <w:rPr>
                <w:rFonts w:hint="eastAsia" w:ascii="宋体" w:hAnsi="宋体" w:cs="仿宋_GB2312"/>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NTS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Symmetricom S300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2</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VPN</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ProSafe SRX5308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3</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CWR</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4</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CGER</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 S6000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5</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CLANS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2620-48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6</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BR</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 GGM800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7</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GGSN</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 GGM800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8</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EC</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DITECH</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9</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RCSR</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 GGM800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10</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RCSS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2620-48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11</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MTIG-E1</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12</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PDS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13</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PMS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14</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SZS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15</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PZS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16</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Auc</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以下表格空白</w:t>
            </w:r>
          </w:p>
        </w:tc>
        <w:tc>
          <w:tcPr>
            <w:tcW w:w="3760" w:type="dxa"/>
            <w:shd w:val="clear" w:color="auto" w:fill="FFFFFF"/>
            <w:vAlign w:val="center"/>
          </w:tcPr>
          <w:p>
            <w:pPr>
              <w:widowControl/>
              <w:jc w:val="center"/>
              <w:textAlignment w:val="center"/>
              <w:rPr>
                <w:rFonts w:ascii="宋体" w:hAnsi="宋体" w:cs="仿宋_GB2312"/>
                <w:szCs w:val="21"/>
              </w:rPr>
            </w:pPr>
          </w:p>
        </w:tc>
        <w:tc>
          <w:tcPr>
            <w:tcW w:w="776" w:type="dxa"/>
            <w:shd w:val="clear" w:color="auto" w:fill="FFFFFF"/>
            <w:vAlign w:val="center"/>
          </w:tcPr>
          <w:p>
            <w:pPr>
              <w:widowControl/>
              <w:jc w:val="center"/>
              <w:textAlignment w:val="center"/>
              <w:rPr>
                <w:rFonts w:ascii="宋体" w:hAnsi="宋体" w:cs="仿宋_GB2312"/>
                <w:szCs w:val="21"/>
              </w:rPr>
            </w:pPr>
          </w:p>
        </w:tc>
        <w:tc>
          <w:tcPr>
            <w:tcW w:w="851" w:type="dxa"/>
            <w:shd w:val="clear" w:color="auto" w:fill="FFFFFF"/>
            <w:vAlign w:val="center"/>
          </w:tcPr>
          <w:p>
            <w:pPr>
              <w:widowControl/>
              <w:jc w:val="center"/>
              <w:textAlignment w:val="center"/>
              <w:rPr>
                <w:rFonts w:ascii="宋体" w:hAnsi="宋体" w:cs="仿宋_GB2312"/>
                <w:szCs w:val="21"/>
              </w:rPr>
            </w:pPr>
          </w:p>
        </w:tc>
      </w:tr>
    </w:tbl>
    <w:p>
      <w:pPr>
        <w:spacing w:line="560" w:lineRule="exact"/>
        <w:ind w:firstLine="420" w:firstLineChars="200"/>
        <w:rPr>
          <w:rFonts w:ascii="宋体" w:hAnsi="宋体" w:cs="仿宋_GB2312"/>
          <w:strike/>
          <w:dstrike w:val="0"/>
          <w:color w:val="FF0000"/>
          <w:szCs w:val="21"/>
        </w:rPr>
      </w:pPr>
    </w:p>
    <w:p>
      <w:pPr>
        <w:pStyle w:val="3"/>
        <w:keepNext w:val="0"/>
        <w:spacing w:line="360" w:lineRule="auto"/>
        <w:ind w:firstLine="643" w:firstLineChars="200"/>
        <w:rPr>
          <w:rFonts w:ascii="黑体" w:hAnsi="黑体" w:eastAsia="黑体"/>
          <w:bCs w:val="0"/>
          <w:sz w:val="32"/>
          <w:szCs w:val="32"/>
        </w:rPr>
        <w:sectPr>
          <w:footerReference r:id="rId10" w:type="first"/>
          <w:headerReference r:id="rId8" w:type="default"/>
          <w:footerReference r:id="rId9" w:type="default"/>
          <w:pgSz w:w="12240" w:h="15840"/>
          <w:pgMar w:top="1440" w:right="1800" w:bottom="1440" w:left="1800" w:header="720" w:footer="720" w:gutter="0"/>
          <w:cols w:space="720" w:num="1"/>
          <w:titlePg/>
          <w:docGrid w:type="lines" w:linePitch="323" w:charSpace="0"/>
        </w:sectPr>
      </w:pPr>
    </w:p>
    <w:p>
      <w:pPr>
        <w:pStyle w:val="3"/>
        <w:keepNext w:val="0"/>
        <w:spacing w:line="360" w:lineRule="auto"/>
        <w:ind w:firstLine="643" w:firstLineChars="200"/>
        <w:rPr>
          <w:rFonts w:ascii="宋体" w:hAnsi="宋体" w:cs="宋体"/>
          <w:bCs w:val="0"/>
          <w:sz w:val="32"/>
          <w:szCs w:val="32"/>
        </w:rPr>
      </w:pPr>
      <w:bookmarkStart w:id="49" w:name="_Toc19957"/>
      <w:r>
        <w:rPr>
          <w:rFonts w:hint="eastAsia" w:ascii="宋体" w:hAnsi="宋体" w:cs="宋体"/>
          <w:bCs w:val="0"/>
          <w:sz w:val="32"/>
          <w:szCs w:val="32"/>
        </w:rPr>
        <w:t>第五章  合同格式条款</w:t>
      </w:r>
      <w:bookmarkEnd w:id="49"/>
    </w:p>
    <w:p>
      <w:pPr>
        <w:adjustRightInd w:val="0"/>
        <w:snapToGrid w:val="0"/>
        <w:spacing w:line="360" w:lineRule="auto"/>
        <w:ind w:firstLine="2880" w:firstLineChars="1200"/>
        <w:jc w:val="right"/>
        <w:rPr>
          <w:rFonts w:ascii="仿宋_GB2312" w:hAnsi="仿宋_GB2312" w:eastAsia="仿宋_GB2312" w:cs="仿宋_GB2312"/>
          <w:sz w:val="24"/>
        </w:rPr>
      </w:pPr>
    </w:p>
    <w:p>
      <w:pPr>
        <w:adjustRightInd w:val="0"/>
        <w:snapToGrid w:val="0"/>
        <w:spacing w:line="360" w:lineRule="auto"/>
        <w:ind w:firstLine="2880" w:firstLineChars="1200"/>
        <w:jc w:val="right"/>
        <w:rPr>
          <w:rFonts w:ascii="宋体" w:hAnsi="宋体" w:cs="仿宋_GB2312"/>
          <w:sz w:val="22"/>
          <w:szCs w:val="18"/>
        </w:rPr>
      </w:pPr>
      <w:r>
        <w:rPr>
          <w:rFonts w:hint="eastAsia" w:ascii="宋体" w:hAnsi="宋体" w:cs="仿宋_GB2312"/>
          <w:sz w:val="24"/>
        </w:rPr>
        <w:t>合同编号:长轨运  服合[2019]  号</w:t>
      </w: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jc w:val="center"/>
        <w:rPr>
          <w:rFonts w:ascii="宋体" w:hAnsi="宋体" w:cs="仿宋_GB2312"/>
          <w:b/>
          <w:sz w:val="48"/>
          <w:szCs w:val="48"/>
        </w:rPr>
      </w:pPr>
      <w:r>
        <w:rPr>
          <w:rFonts w:hint="eastAsia" w:ascii="宋体" w:hAnsi="宋体" w:cs="仿宋_GB2312"/>
          <w:b/>
          <w:spacing w:val="20"/>
          <w:sz w:val="52"/>
          <w:szCs w:val="52"/>
        </w:rPr>
        <w:t>服务项目合同</w:t>
      </w:r>
      <w:r>
        <w:rPr>
          <w:rFonts w:hint="eastAsia" w:ascii="宋体" w:hAnsi="宋体" w:cs="仿宋_GB2312"/>
          <w:b/>
          <w:spacing w:val="20"/>
          <w:sz w:val="48"/>
          <w:szCs w:val="48"/>
        </w:rPr>
        <w:t xml:space="preserve"> </w:t>
      </w: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spacing w:line="360" w:lineRule="auto"/>
        <w:ind w:left="1964" w:leftChars="266" w:hanging="1405" w:hangingChars="500"/>
        <w:rPr>
          <w:rFonts w:ascii="宋体" w:hAnsi="宋体" w:cs="仿宋_GB2312"/>
          <w:b/>
          <w:sz w:val="28"/>
          <w:szCs w:val="28"/>
          <w:u w:val="dotted"/>
        </w:rPr>
      </w:pPr>
      <w:r>
        <w:rPr>
          <w:rFonts w:hint="eastAsia" w:ascii="宋体" w:hAnsi="宋体" w:cs="仿宋_GB2312"/>
          <w:b/>
          <w:sz w:val="28"/>
          <w:szCs w:val="28"/>
        </w:rPr>
        <w:t>项目名称：</w:t>
      </w:r>
      <w:r>
        <w:rPr>
          <w:rFonts w:hint="eastAsia" w:ascii="宋体" w:hAnsi="宋体" w:cs="仿宋_GB2312"/>
          <w:b/>
          <w:sz w:val="28"/>
          <w:szCs w:val="28"/>
          <w:u w:val="dotted"/>
        </w:rPr>
        <w:t>长沙市轨道交通2号线运营期2019-2021年度无线通信系统委外维保服务项目</w:t>
      </w:r>
    </w:p>
    <w:p>
      <w:pPr>
        <w:adjustRightInd w:val="0"/>
        <w:snapToGrid w:val="0"/>
        <w:spacing w:line="360" w:lineRule="auto"/>
        <w:ind w:firstLine="562" w:firstLineChars="200"/>
        <w:jc w:val="left"/>
        <w:rPr>
          <w:rFonts w:ascii="宋体" w:hAnsi="宋体" w:cs="仿宋_GB2312"/>
          <w:b/>
          <w:sz w:val="28"/>
          <w:szCs w:val="28"/>
        </w:rPr>
      </w:pPr>
    </w:p>
    <w:p>
      <w:pPr>
        <w:adjustRightInd w:val="0"/>
        <w:snapToGrid w:val="0"/>
        <w:spacing w:line="360" w:lineRule="auto"/>
        <w:ind w:firstLine="562" w:firstLineChars="200"/>
        <w:jc w:val="left"/>
        <w:rPr>
          <w:rFonts w:ascii="宋体" w:hAnsi="宋体" w:cs="仿宋_GB2312"/>
          <w:b/>
          <w:sz w:val="28"/>
          <w:szCs w:val="28"/>
        </w:rPr>
      </w:pPr>
    </w:p>
    <w:p>
      <w:pPr>
        <w:adjustRightInd w:val="0"/>
        <w:snapToGrid w:val="0"/>
        <w:spacing w:line="360" w:lineRule="auto"/>
        <w:ind w:firstLine="562" w:firstLineChars="200"/>
        <w:jc w:val="left"/>
        <w:rPr>
          <w:rFonts w:ascii="宋体" w:hAnsi="宋体" w:cs="仿宋_GB2312"/>
          <w:b/>
          <w:sz w:val="28"/>
          <w:szCs w:val="28"/>
        </w:rPr>
      </w:pPr>
      <w:r>
        <w:rPr>
          <w:rFonts w:hint="eastAsia" w:ascii="宋体" w:hAnsi="宋体" w:cs="仿宋_GB2312"/>
          <w:b/>
          <w:sz w:val="28"/>
          <w:szCs w:val="28"/>
        </w:rPr>
        <w:t>项目地点：</w:t>
      </w:r>
      <w:r>
        <w:rPr>
          <w:rFonts w:hint="eastAsia" w:ascii="宋体" w:hAnsi="宋体" w:cs="仿宋_GB2312"/>
          <w:b/>
          <w:sz w:val="28"/>
          <w:szCs w:val="28"/>
          <w:u w:val="dotted"/>
        </w:rPr>
        <w:t>湖南省长沙市</w:t>
      </w:r>
      <w:r>
        <w:rPr>
          <w:rFonts w:hint="eastAsia" w:ascii="宋体" w:hAnsi="宋体" w:cs="仿宋_GB2312"/>
          <w:b/>
          <w:sz w:val="28"/>
          <w:szCs w:val="28"/>
        </w:rPr>
        <w:t xml:space="preserve">    </w:t>
      </w:r>
    </w:p>
    <w:p>
      <w:pPr>
        <w:adjustRightInd w:val="0"/>
        <w:snapToGrid w:val="0"/>
        <w:spacing w:line="360" w:lineRule="auto"/>
        <w:ind w:firstLine="562" w:firstLineChars="200"/>
        <w:jc w:val="left"/>
        <w:rPr>
          <w:rFonts w:ascii="宋体" w:hAnsi="宋体" w:cs="仿宋_GB2312"/>
          <w:b/>
          <w:sz w:val="28"/>
          <w:szCs w:val="28"/>
        </w:rPr>
      </w:pPr>
    </w:p>
    <w:p>
      <w:pPr>
        <w:adjustRightInd w:val="0"/>
        <w:snapToGrid w:val="0"/>
        <w:spacing w:line="360" w:lineRule="auto"/>
        <w:ind w:firstLine="562" w:firstLineChars="200"/>
        <w:jc w:val="left"/>
        <w:rPr>
          <w:rFonts w:ascii="宋体" w:hAnsi="宋体" w:cs="仿宋_GB2312"/>
          <w:b/>
          <w:sz w:val="28"/>
          <w:szCs w:val="28"/>
        </w:rPr>
      </w:pPr>
    </w:p>
    <w:p>
      <w:pPr>
        <w:adjustRightInd w:val="0"/>
        <w:snapToGrid w:val="0"/>
        <w:spacing w:line="360" w:lineRule="auto"/>
        <w:ind w:firstLine="562" w:firstLineChars="200"/>
        <w:jc w:val="left"/>
        <w:rPr>
          <w:rFonts w:ascii="宋体" w:hAnsi="宋体" w:cs="仿宋_GB2312"/>
          <w:b/>
          <w:sz w:val="28"/>
          <w:szCs w:val="28"/>
        </w:rPr>
      </w:pPr>
      <w:r>
        <w:rPr>
          <w:rFonts w:hint="eastAsia" w:ascii="宋体" w:hAnsi="宋体" w:cs="仿宋_GB2312"/>
          <w:b/>
          <w:sz w:val="28"/>
          <w:szCs w:val="28"/>
        </w:rPr>
        <w:t>甲    方：</w:t>
      </w:r>
      <w:r>
        <w:rPr>
          <w:rFonts w:hint="eastAsia" w:ascii="宋体" w:hAnsi="宋体" w:cs="仿宋_GB2312"/>
          <w:b/>
          <w:sz w:val="28"/>
          <w:szCs w:val="28"/>
          <w:u w:val="single"/>
        </w:rPr>
        <w:t xml:space="preserve">                        </w:t>
      </w:r>
      <w:r>
        <w:rPr>
          <w:rFonts w:hint="eastAsia" w:ascii="宋体" w:hAnsi="宋体" w:cs="仿宋_GB2312"/>
          <w:b/>
          <w:sz w:val="28"/>
          <w:szCs w:val="28"/>
          <w:u w:val="dotted"/>
        </w:rPr>
        <w:t xml:space="preserve">                      </w:t>
      </w:r>
      <w:r>
        <w:rPr>
          <w:rFonts w:hint="eastAsia" w:ascii="宋体" w:hAnsi="宋体" w:cs="仿宋_GB2312"/>
          <w:b/>
          <w:sz w:val="28"/>
          <w:szCs w:val="28"/>
        </w:rPr>
        <w:t xml:space="preserve">                           </w:t>
      </w:r>
    </w:p>
    <w:p>
      <w:pPr>
        <w:adjustRightInd w:val="0"/>
        <w:snapToGrid w:val="0"/>
        <w:spacing w:line="360" w:lineRule="auto"/>
        <w:ind w:firstLine="562" w:firstLineChars="200"/>
        <w:jc w:val="left"/>
        <w:rPr>
          <w:rFonts w:ascii="宋体" w:hAnsi="宋体" w:cs="仿宋_GB2312"/>
          <w:b/>
          <w:sz w:val="28"/>
          <w:szCs w:val="28"/>
        </w:rPr>
      </w:pPr>
      <w:r>
        <w:rPr>
          <w:rFonts w:hint="eastAsia" w:ascii="宋体" w:hAnsi="宋体" w:cs="仿宋_GB2312"/>
          <w:b/>
          <w:sz w:val="28"/>
          <w:szCs w:val="28"/>
        </w:rPr>
        <w:t xml:space="preserve">         </w:t>
      </w:r>
    </w:p>
    <w:p>
      <w:pPr>
        <w:adjustRightInd w:val="0"/>
        <w:snapToGrid w:val="0"/>
        <w:spacing w:before="156" w:beforeLines="50" w:line="360" w:lineRule="auto"/>
        <w:ind w:firstLine="562" w:firstLineChars="200"/>
        <w:jc w:val="left"/>
        <w:rPr>
          <w:rFonts w:ascii="宋体" w:hAnsi="宋体" w:cs="仿宋_GB2312"/>
          <w:b/>
          <w:sz w:val="28"/>
          <w:szCs w:val="28"/>
          <w:u w:val="dotted"/>
        </w:rPr>
      </w:pPr>
      <w:r>
        <w:rPr>
          <w:rFonts w:hint="eastAsia" w:ascii="宋体" w:hAnsi="宋体" w:cs="仿宋_GB2312"/>
          <w:b/>
          <w:sz w:val="28"/>
          <w:szCs w:val="28"/>
        </w:rPr>
        <w:t>乙    方：</w:t>
      </w:r>
      <w:r>
        <w:rPr>
          <w:rFonts w:hint="eastAsia" w:ascii="宋体" w:hAnsi="宋体" w:cs="仿宋_GB2312"/>
          <w:b/>
          <w:sz w:val="28"/>
          <w:szCs w:val="28"/>
          <w:u w:val="dotted"/>
        </w:rPr>
        <w:t xml:space="preserve">   </w:t>
      </w:r>
    </w:p>
    <w:p>
      <w:pPr>
        <w:adjustRightInd w:val="0"/>
        <w:snapToGrid w:val="0"/>
        <w:spacing w:before="156" w:beforeLines="50" w:line="360" w:lineRule="auto"/>
        <w:ind w:firstLine="562" w:firstLineChars="200"/>
        <w:jc w:val="left"/>
        <w:rPr>
          <w:rFonts w:ascii="宋体" w:hAnsi="宋体" w:cs="仿宋_GB2312"/>
          <w:b/>
          <w:sz w:val="28"/>
          <w:szCs w:val="28"/>
          <w:u w:val="dotted"/>
        </w:rPr>
      </w:pPr>
    </w:p>
    <w:p>
      <w:pPr>
        <w:adjustRightInd w:val="0"/>
        <w:snapToGrid w:val="0"/>
        <w:spacing w:before="156" w:beforeLines="50" w:line="360" w:lineRule="auto"/>
        <w:ind w:firstLine="562" w:firstLineChars="200"/>
        <w:jc w:val="left"/>
        <w:rPr>
          <w:rFonts w:ascii="宋体" w:hAnsi="宋体" w:cs="仿宋_GB2312"/>
          <w:b/>
          <w:sz w:val="28"/>
          <w:szCs w:val="28"/>
          <w:u w:val="dotted"/>
        </w:rPr>
      </w:pPr>
    </w:p>
    <w:p>
      <w:pPr>
        <w:pStyle w:val="32"/>
        <w:spacing w:line="360" w:lineRule="auto"/>
        <w:jc w:val="center"/>
        <w:outlineLvl w:val="0"/>
        <w:rPr>
          <w:rFonts w:hint="eastAsia" w:ascii="宋体" w:hAnsi="宋体" w:eastAsia="宋体" w:cs="宋体"/>
          <w:sz w:val="21"/>
          <w:szCs w:val="21"/>
        </w:rPr>
      </w:pPr>
      <w:r>
        <w:rPr>
          <w:rFonts w:hint="eastAsia" w:ascii="宋体" w:hAnsi="宋体" w:eastAsia="宋体" w:cs="宋体"/>
          <w:sz w:val="21"/>
          <w:szCs w:val="21"/>
        </w:rPr>
        <w:t>第一部分 合同协议书</w:t>
      </w:r>
    </w:p>
    <w:p>
      <w:pPr>
        <w:pStyle w:val="13"/>
        <w:snapToGrid w:val="0"/>
        <w:spacing w:line="360" w:lineRule="auto"/>
        <w:ind w:left="205" w:hanging="179" w:hangingChars="85"/>
        <w:rPr>
          <w:rFonts w:hint="eastAsia" w:ascii="宋体" w:hAnsi="宋体" w:eastAsia="宋体" w:cs="宋体"/>
          <w:b/>
          <w:sz w:val="21"/>
          <w:szCs w:val="21"/>
          <w:u w:val="single"/>
        </w:rPr>
      </w:pPr>
      <w:r>
        <w:rPr>
          <w:rFonts w:hint="eastAsia" w:ascii="宋体" w:hAnsi="宋体" w:eastAsia="宋体" w:cs="宋体"/>
          <w:b/>
          <w:sz w:val="21"/>
          <w:szCs w:val="21"/>
        </w:rPr>
        <w:t>甲方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p>
    <w:p>
      <w:pPr>
        <w:autoSpaceDE w:val="0"/>
        <w:autoSpaceDN w:val="0"/>
        <w:snapToGrid w:val="0"/>
        <w:spacing w:line="360" w:lineRule="auto"/>
        <w:textAlignment w:val="bottom"/>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ind w:firstLine="480"/>
        <w:textAlignment w:val="bottom"/>
        <w:rPr>
          <w:rFonts w:hint="eastAsia" w:ascii="宋体" w:hAnsi="宋体" w:eastAsia="宋体" w:cs="宋体"/>
          <w:sz w:val="21"/>
          <w:szCs w:val="21"/>
          <w:u w:val="single"/>
          <w:lang w:val="en-GB"/>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日由甲方和乙方依照《中华人民共和国合同法》及其他有关法律、行政法规，遵循平等、自愿、公平和诚实信用的原则，按下述条款和条件在</w:t>
      </w:r>
      <w:r>
        <w:rPr>
          <w:rFonts w:hint="eastAsia" w:ascii="宋体" w:hAnsi="宋体" w:eastAsia="宋体" w:cs="宋体"/>
          <w:sz w:val="21"/>
          <w:szCs w:val="21"/>
          <w:u w:val="single"/>
        </w:rPr>
        <w:t>湖南省长沙市雨花区</w:t>
      </w:r>
      <w:r>
        <w:rPr>
          <w:rFonts w:hint="eastAsia" w:ascii="宋体" w:hAnsi="宋体" w:eastAsia="宋体" w:cs="宋体"/>
          <w:sz w:val="21"/>
          <w:szCs w:val="21"/>
        </w:rPr>
        <w:t>签署。</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一、项目概况：</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二、服务范围：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三、服务期限：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kern w:val="0"/>
          <w:sz w:val="21"/>
          <w:szCs w:val="21"/>
        </w:rPr>
        <w:t>四、</w:t>
      </w:r>
      <w:r>
        <w:rPr>
          <w:rFonts w:hint="eastAsia" w:ascii="宋体" w:hAnsi="宋体" w:eastAsia="宋体" w:cs="宋体"/>
          <w:sz w:val="21"/>
          <w:szCs w:val="21"/>
        </w:rPr>
        <w:t>下述文件是本合同的一部分，一起阅读和解释：</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（3）中选通知书;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（5）技术规格书;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（6）签约合同价清单;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（7）合同其他附件及乙方供应商按合同附录格式及要求出具的文件;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（8）招标文件、澄清与答疑文件及其它补充资料；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（9）投标文件、澄清文件及其它补充资料；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（10）批准的图纸（如果有）；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（11）其他构成本合同的文件。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五、考虑到甲方将按照本合同向乙方支付，乙方在此保证全部按照合同的规定向甲方提供货物和服务，并修补缺陷。</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六、考虑到乙方提供的货物和服务并修补缺陷，甲方在此保证按照合同规定的时间和方式向乙方支付合同价格或其它按合同规定应支付的金额。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七、本合同正本</w:t>
      </w:r>
      <w:r>
        <w:rPr>
          <w:rFonts w:hint="eastAsia" w:ascii="宋体" w:hAnsi="宋体" w:eastAsia="宋体" w:cs="宋体"/>
          <w:sz w:val="21"/>
          <w:szCs w:val="21"/>
          <w:u w:val="single"/>
        </w:rPr>
        <w:t>二</w:t>
      </w:r>
      <w:r>
        <w:rPr>
          <w:rFonts w:hint="eastAsia" w:ascii="宋体" w:hAnsi="宋体" w:eastAsia="宋体" w:cs="宋体"/>
          <w:sz w:val="21"/>
          <w:szCs w:val="21"/>
        </w:rPr>
        <w:t>份、副本</w:t>
      </w:r>
      <w:r>
        <w:rPr>
          <w:rFonts w:hint="eastAsia" w:ascii="宋体" w:hAnsi="宋体" w:eastAsia="宋体" w:cs="宋体"/>
          <w:sz w:val="21"/>
          <w:szCs w:val="21"/>
          <w:u w:val="single"/>
        </w:rPr>
        <w:t>六</w:t>
      </w:r>
      <w:r>
        <w:rPr>
          <w:rFonts w:hint="eastAsia" w:ascii="宋体" w:hAnsi="宋体" w:eastAsia="宋体" w:cs="宋体"/>
          <w:sz w:val="21"/>
          <w:szCs w:val="21"/>
        </w:rPr>
        <w:t>份，甲方持正本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五</w:t>
      </w:r>
      <w:r>
        <w:rPr>
          <w:rFonts w:hint="eastAsia" w:ascii="宋体" w:hAnsi="宋体" w:eastAsia="宋体" w:cs="宋体"/>
          <w:sz w:val="21"/>
          <w:szCs w:val="21"/>
        </w:rPr>
        <w:t>份，乙方持正本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一</w:t>
      </w:r>
      <w:r>
        <w:rPr>
          <w:rFonts w:hint="eastAsia" w:ascii="宋体" w:hAnsi="宋体" w:eastAsia="宋体" w:cs="宋体"/>
          <w:sz w:val="21"/>
          <w:szCs w:val="21"/>
        </w:rPr>
        <w:t>份。合同正本与副本具有同等效力，当合同副本与正本之间存有差异时，以合同正本为准。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八、本合同自</w:t>
      </w:r>
      <w:r>
        <w:rPr>
          <w:rFonts w:hint="eastAsia" w:ascii="宋体" w:hAnsi="宋体" w:eastAsia="宋体" w:cs="宋体"/>
          <w:sz w:val="21"/>
          <w:szCs w:val="21"/>
          <w:u w:val="single"/>
        </w:rPr>
        <w:t>双方法定代表人或其授权代表签字，加盖合同专用章/公章后</w:t>
      </w:r>
      <w:r>
        <w:rPr>
          <w:rFonts w:hint="eastAsia" w:ascii="宋体" w:hAnsi="宋体" w:eastAsia="宋体" w:cs="宋体"/>
          <w:sz w:val="21"/>
          <w:szCs w:val="21"/>
        </w:rPr>
        <w:t>生效。</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bl>
    <w:p>
      <w:pPr>
        <w:spacing w:line="360" w:lineRule="auto"/>
        <w:rPr>
          <w:rFonts w:hint="eastAsia" w:ascii="宋体" w:hAnsi="宋体" w:eastAsia="宋体" w:cs="宋体"/>
          <w:sz w:val="21"/>
          <w:szCs w:val="21"/>
        </w:rPr>
      </w:pPr>
    </w:p>
    <w:p>
      <w:pPr>
        <w:spacing w:line="360" w:lineRule="auto"/>
        <w:jc w:val="center"/>
        <w:outlineLvl w:val="0"/>
        <w:rPr>
          <w:rFonts w:hint="eastAsia" w:ascii="宋体" w:hAnsi="宋体" w:eastAsia="宋体" w:cs="宋体"/>
          <w:sz w:val="21"/>
          <w:szCs w:val="21"/>
          <w:u w:val="single"/>
        </w:rPr>
      </w:pPr>
      <w:bookmarkStart w:id="50" w:name="_Toc2245"/>
      <w:bookmarkStart w:id="51" w:name="_Toc368066684"/>
      <w:r>
        <w:rPr>
          <w:rFonts w:hint="eastAsia" w:ascii="宋体" w:hAnsi="宋体" w:eastAsia="宋体" w:cs="宋体"/>
          <w:b/>
          <w:sz w:val="21"/>
          <w:szCs w:val="21"/>
        </w:rPr>
        <w:br w:type="page"/>
      </w:r>
      <w:bookmarkStart w:id="52" w:name="_Toc11675"/>
      <w:r>
        <w:rPr>
          <w:rFonts w:hint="eastAsia" w:ascii="宋体" w:hAnsi="宋体" w:eastAsia="宋体" w:cs="宋体"/>
          <w:b/>
          <w:sz w:val="21"/>
          <w:szCs w:val="21"/>
        </w:rPr>
        <w:t>第二部分 中选通知书</w:t>
      </w:r>
      <w:bookmarkEnd w:id="50"/>
      <w:bookmarkEnd w:id="51"/>
      <w:bookmarkEnd w:id="52"/>
    </w:p>
    <w:p>
      <w:pPr>
        <w:spacing w:line="360" w:lineRule="auto"/>
        <w:rPr>
          <w:rFonts w:hint="eastAsia" w:ascii="宋体" w:hAnsi="宋体" w:eastAsia="宋体" w:cs="宋体"/>
          <w:sz w:val="21"/>
          <w:szCs w:val="21"/>
          <w:u w:val="single"/>
        </w:rPr>
      </w:pPr>
    </w:p>
    <w:p>
      <w:pPr>
        <w:jc w:val="center"/>
        <w:outlineLvl w:val="0"/>
        <w:rPr>
          <w:rFonts w:hint="eastAsia" w:ascii="宋体" w:hAnsi="宋体" w:eastAsia="宋体" w:cs="宋体"/>
          <w:sz w:val="21"/>
          <w:szCs w:val="21"/>
          <w:u w:val="single"/>
        </w:rPr>
      </w:pPr>
      <w:bookmarkStart w:id="53" w:name="_Toc26018"/>
      <w:bookmarkStart w:id="54" w:name="_Toc368066685"/>
      <w:r>
        <w:rPr>
          <w:rFonts w:hint="eastAsia" w:ascii="宋体" w:hAnsi="宋体" w:eastAsia="宋体" w:cs="宋体"/>
          <w:b/>
          <w:sz w:val="21"/>
          <w:szCs w:val="21"/>
        </w:rPr>
        <w:br w:type="page"/>
      </w:r>
      <w:bookmarkStart w:id="55" w:name="_Toc29343"/>
      <w:r>
        <w:rPr>
          <w:rFonts w:hint="eastAsia" w:ascii="宋体" w:hAnsi="宋体" w:eastAsia="宋体" w:cs="宋体"/>
          <w:b/>
          <w:sz w:val="21"/>
          <w:szCs w:val="21"/>
        </w:rPr>
        <w:t>第三部分 合同条款</w:t>
      </w:r>
      <w:bookmarkEnd w:id="53"/>
      <w:bookmarkEnd w:id="54"/>
      <w:bookmarkEnd w:id="55"/>
    </w:p>
    <w:p>
      <w:pPr>
        <w:spacing w:line="360" w:lineRule="auto"/>
        <w:ind w:firstLine="413" w:firstLineChars="196"/>
        <w:outlineLvl w:val="1"/>
        <w:rPr>
          <w:rFonts w:hint="eastAsia" w:ascii="宋体" w:hAnsi="宋体" w:eastAsia="宋体" w:cs="宋体"/>
          <w:b/>
          <w:bCs/>
          <w:sz w:val="21"/>
          <w:szCs w:val="21"/>
        </w:rPr>
      </w:pPr>
      <w:bookmarkStart w:id="56" w:name="_Toc368066686"/>
      <w:bookmarkStart w:id="57" w:name="_Toc7761"/>
      <w:bookmarkStart w:id="58" w:name="_Toc28651"/>
      <w:bookmarkStart w:id="59" w:name="_Toc136850799"/>
      <w:bookmarkStart w:id="60" w:name="_Toc192323513"/>
      <w:bookmarkStart w:id="61" w:name="_Toc240992305"/>
      <w:bookmarkStart w:id="62" w:name="_Toc357774462"/>
      <w:r>
        <w:rPr>
          <w:rFonts w:hint="eastAsia" w:ascii="宋体" w:hAnsi="宋体" w:eastAsia="宋体" w:cs="宋体"/>
          <w:b/>
          <w:bCs/>
          <w:sz w:val="21"/>
          <w:szCs w:val="21"/>
        </w:rPr>
        <w:t>1、</w:t>
      </w:r>
      <w:bookmarkEnd w:id="56"/>
      <w:r>
        <w:rPr>
          <w:rFonts w:hint="eastAsia" w:ascii="宋体" w:hAnsi="宋体" w:eastAsia="宋体" w:cs="宋体"/>
          <w:b/>
          <w:bCs/>
          <w:sz w:val="21"/>
          <w:szCs w:val="21"/>
        </w:rPr>
        <w:t>定义</w:t>
      </w:r>
      <w:bookmarkEnd w:id="57"/>
      <w:bookmarkEnd w:id="58"/>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（1）“合同”系指甲乙双方签署的、合同格式中载明的甲乙双方所达成的协议，包括合同协议书、合同条款及合同附件、合同附录和上述文件所提到的构成合同的所有文件。</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（2）“签约合同价”系指甲方和乙方在合同协议书中确定的金额，即本项目的中标价格或成交价格。</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（3）“合同价格”系指根据本合同规定乙方在正确地完全履行合同义务后，经长沙市政府相关职能部门或长沙市轨道交通集团有限公司审定的结算价格。</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（4）“甲方”是指承担直接投资责任和委托维修保养业务的一方以及其合法继承人，即合同协议书中所述的甲方。</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（5）“乙方”是指承担维修保养业务和维修保养责任的一方以及其合法继承人，即合同协议书中所述的乙方。</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（6）“维保机构”是指乙方派驻本工程现场实施维修保养业务的组织。</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（7）“日”是指任何一天零时至第二天零时的时间段。</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（8）“月”是指根据公历从一个月份中任何一天开始到下一个月相应日期的前一天的时间段。</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（10）响应时间：是指在接报故障后赶赴且到达现场处理的时间。</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（11）接报：是指甲方通知乙方的形式，包括口头、电话、电子邮件、书面等。</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（12）现场：是指故障发生地点、区段，或报故障车站、部门等。</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（13）临时修复时间：如果由于条件限制，维修人员暂时无法使设备、设施达到原有技术指标的情况下，采取临时性措施，尽量减少故障的影响范围的时限。此时限是指接报故障到采取措施临时修复完毕。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（14）完全修复时间：通过维修使有问题设备、设施恢复到原来技术指标及状态的期限。此时限是指接报故障到设备完全修复完毕。</w:t>
      </w:r>
    </w:p>
    <w:p>
      <w:pPr>
        <w:spacing w:line="360" w:lineRule="auto"/>
        <w:ind w:firstLine="413" w:firstLineChars="196"/>
        <w:outlineLvl w:val="1"/>
        <w:rPr>
          <w:rFonts w:hint="eastAsia" w:ascii="宋体" w:hAnsi="宋体" w:eastAsia="宋体" w:cs="宋体"/>
          <w:b/>
          <w:bCs/>
          <w:sz w:val="21"/>
          <w:szCs w:val="21"/>
        </w:rPr>
      </w:pPr>
      <w:bookmarkStart w:id="63" w:name="_Toc12453"/>
      <w:bookmarkStart w:id="64" w:name="_Toc20721"/>
      <w:bookmarkStart w:id="65" w:name="_Toc368066687"/>
      <w:r>
        <w:rPr>
          <w:rFonts w:hint="eastAsia" w:ascii="宋体" w:hAnsi="宋体" w:eastAsia="宋体" w:cs="宋体"/>
          <w:b/>
          <w:bCs/>
          <w:sz w:val="21"/>
          <w:szCs w:val="21"/>
        </w:rPr>
        <w:t>2、标准和规范</w:t>
      </w:r>
      <w:bookmarkEnd w:id="63"/>
      <w:bookmarkEnd w:id="64"/>
    </w:p>
    <w:p>
      <w:pPr>
        <w:tabs>
          <w:tab w:val="left" w:pos="851"/>
        </w:tabs>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2.1 适用国家标准、行业标准、工程所在地的地方性标准，以及相应的规范、规程等。</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2.2 甲方对本项目的技术标准或功能的其他要求</w:t>
      </w:r>
      <w:r>
        <w:rPr>
          <w:rFonts w:hint="eastAsia" w:ascii="宋体" w:hAnsi="宋体" w:eastAsia="宋体" w:cs="宋体"/>
          <w:sz w:val="21"/>
          <w:szCs w:val="21"/>
          <w:u w:val="single"/>
        </w:rPr>
        <w:t>以用户需求书/技术规格书为准</w:t>
      </w:r>
      <w:r>
        <w:rPr>
          <w:rFonts w:hint="eastAsia" w:ascii="宋体" w:hAnsi="宋体" w:eastAsia="宋体" w:cs="宋体"/>
          <w:sz w:val="21"/>
          <w:szCs w:val="21"/>
        </w:rPr>
        <w:t>。</w:t>
      </w:r>
    </w:p>
    <w:p>
      <w:pPr>
        <w:pStyle w:val="45"/>
        <w:spacing w:after="0" w:line="360" w:lineRule="auto"/>
        <w:ind w:firstLine="482"/>
        <w:outlineLvl w:val="1"/>
        <w:rPr>
          <w:rFonts w:hint="eastAsia" w:ascii="宋体" w:hAnsi="宋体" w:eastAsia="宋体" w:cs="宋体"/>
          <w:b/>
          <w:bCs/>
          <w:sz w:val="21"/>
          <w:szCs w:val="21"/>
        </w:rPr>
      </w:pPr>
      <w:bookmarkStart w:id="66" w:name="_Toc1523"/>
      <w:bookmarkStart w:id="67" w:name="_Toc10573"/>
      <w:r>
        <w:rPr>
          <w:rFonts w:hint="eastAsia" w:ascii="宋体" w:hAnsi="宋体" w:eastAsia="宋体" w:cs="宋体"/>
          <w:b/>
          <w:bCs/>
          <w:sz w:val="21"/>
          <w:szCs w:val="21"/>
        </w:rPr>
        <w:t>3、</w:t>
      </w:r>
      <w:bookmarkEnd w:id="65"/>
      <w:bookmarkEnd w:id="66"/>
      <w:r>
        <w:rPr>
          <w:rFonts w:hint="eastAsia" w:ascii="宋体" w:hAnsi="宋体" w:eastAsia="宋体" w:cs="宋体"/>
          <w:b/>
          <w:bCs/>
          <w:sz w:val="21"/>
          <w:szCs w:val="21"/>
        </w:rPr>
        <w:t>价款</w:t>
      </w:r>
      <w:bookmarkEnd w:id="67"/>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3.1本项目签约合同价为</w:t>
      </w:r>
      <w:r>
        <w:rPr>
          <w:rFonts w:hint="eastAsia" w:ascii="宋体" w:hAnsi="宋体" w:eastAsia="宋体" w:cs="宋体"/>
          <w:sz w:val="21"/>
          <w:szCs w:val="21"/>
          <w:u w:val="single"/>
        </w:rPr>
        <w:t xml:space="preserve">          </w:t>
      </w:r>
      <w:r>
        <w:rPr>
          <w:rFonts w:hint="eastAsia" w:ascii="宋体" w:hAnsi="宋体" w:eastAsia="宋体" w:cs="宋体"/>
          <w:sz w:val="21"/>
          <w:szCs w:val="21"/>
        </w:rPr>
        <w:t>，具体分项价格表详见合同附件之签约合同价清单。</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3.2本项目采用总价合同方式，合同价格包括在维保过程中所需的管理费、利润、税金等一切费用。在项目实施中出现任何遗漏，均由乙方免费提供，甲方不再支付任何费用。</w:t>
      </w:r>
      <w:bookmarkStart w:id="68" w:name="_Toc192323515"/>
      <w:bookmarkStart w:id="69" w:name="_Toc8367"/>
      <w:bookmarkStart w:id="70" w:name="_Toc240992306"/>
      <w:bookmarkStart w:id="71" w:name="_Toc136850801"/>
      <w:bookmarkStart w:id="72" w:name="_Toc357774463"/>
      <w:bookmarkStart w:id="73" w:name="_Toc23394"/>
      <w:bookmarkStart w:id="74" w:name="_Toc23767"/>
    </w:p>
    <w:p>
      <w:pPr>
        <w:pStyle w:val="45"/>
        <w:spacing w:after="0" w:line="360" w:lineRule="auto"/>
        <w:ind w:firstLine="482"/>
        <w:rPr>
          <w:rFonts w:hint="eastAsia" w:ascii="宋体" w:hAnsi="宋体" w:eastAsia="宋体" w:cs="宋体"/>
          <w:b/>
          <w:bCs/>
          <w:sz w:val="21"/>
          <w:szCs w:val="21"/>
        </w:rPr>
      </w:pPr>
      <w:r>
        <w:rPr>
          <w:rFonts w:hint="eastAsia" w:ascii="宋体" w:hAnsi="宋体" w:eastAsia="宋体" w:cs="宋体"/>
          <w:b/>
          <w:bCs/>
          <w:sz w:val="21"/>
          <w:szCs w:val="21"/>
        </w:rPr>
        <w:t>4、</w:t>
      </w:r>
      <w:bookmarkEnd w:id="68"/>
      <w:bookmarkEnd w:id="69"/>
      <w:bookmarkEnd w:id="70"/>
      <w:bookmarkEnd w:id="71"/>
      <w:bookmarkEnd w:id="72"/>
      <w:r>
        <w:rPr>
          <w:rFonts w:hint="eastAsia" w:ascii="宋体" w:hAnsi="宋体" w:eastAsia="宋体" w:cs="宋体"/>
          <w:b/>
          <w:bCs/>
          <w:sz w:val="21"/>
          <w:szCs w:val="21"/>
        </w:rPr>
        <w:t>支付</w:t>
      </w:r>
      <w:bookmarkEnd w:id="73"/>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4.1付款周期为每半年支付一次，甲方对乙方维保工作进行综合考核，乙方按甲方的支付程序办理请款手续并提供增值税专用发票、有效期内的履约担保复印件后28个工作日内，由甲方向乙方支付。</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4.2每次支付的金额：按签约合同价的70%平均到每个付款周期，甲方依据考核结果向乙方支付上一个付款周期的价款，累计支付不得超过签约合同价的70%。</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4.3履约验收完成付款：项目按合同约定完成履约且按甲方相关规定办理履约验收，履约验收完成后，在收到乙方支付申请并证实完整后28个工作日内，支付至合同价格的97%。</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4.4质保期满付款：质保期满且最终验收合格，收到乙方支付请求并经甲方审核无误后28个工作日内，支付合同价格的剩余款项。</w:t>
      </w:r>
    </w:p>
    <w:p>
      <w:pPr>
        <w:spacing w:line="360" w:lineRule="auto"/>
        <w:ind w:firstLine="413" w:firstLineChars="196"/>
        <w:outlineLvl w:val="1"/>
        <w:rPr>
          <w:rFonts w:hint="eastAsia" w:ascii="宋体" w:hAnsi="宋体" w:eastAsia="宋体" w:cs="宋体"/>
          <w:b/>
          <w:bCs/>
          <w:sz w:val="21"/>
          <w:szCs w:val="21"/>
        </w:rPr>
      </w:pPr>
      <w:bookmarkStart w:id="75" w:name="_Toc19286"/>
      <w:r>
        <w:rPr>
          <w:rFonts w:hint="eastAsia" w:ascii="宋体" w:hAnsi="宋体" w:eastAsia="宋体" w:cs="宋体"/>
          <w:b/>
          <w:bCs/>
          <w:sz w:val="21"/>
          <w:szCs w:val="21"/>
        </w:rPr>
        <w:t>5、</w:t>
      </w:r>
      <w:bookmarkEnd w:id="59"/>
      <w:bookmarkEnd w:id="60"/>
      <w:bookmarkEnd w:id="61"/>
      <w:bookmarkEnd w:id="62"/>
      <w:r>
        <w:rPr>
          <w:rFonts w:hint="eastAsia" w:ascii="宋体" w:hAnsi="宋体" w:eastAsia="宋体" w:cs="宋体"/>
          <w:b/>
          <w:bCs/>
          <w:sz w:val="21"/>
          <w:szCs w:val="21"/>
        </w:rPr>
        <w:t>履约担保</w:t>
      </w:r>
      <w:bookmarkEnd w:id="74"/>
      <w:bookmarkEnd w:id="75"/>
    </w:p>
    <w:p>
      <w:pPr>
        <w:autoSpaceDE w:val="0"/>
        <w:autoSpaceDN w:val="0"/>
        <w:spacing w:line="360" w:lineRule="auto"/>
        <w:ind w:firstLine="480"/>
        <w:textAlignment w:val="bottom"/>
        <w:rPr>
          <w:rFonts w:hint="eastAsia" w:ascii="宋体" w:hAnsi="宋体" w:eastAsia="宋体" w:cs="宋体"/>
          <w:sz w:val="21"/>
          <w:szCs w:val="21"/>
        </w:rPr>
      </w:pPr>
      <w:bookmarkStart w:id="76" w:name="_Toc443376818"/>
      <w:bookmarkStart w:id="77" w:name="_Toc443208225"/>
      <w:r>
        <w:rPr>
          <w:rFonts w:hint="eastAsia" w:ascii="宋体" w:hAnsi="宋体" w:eastAsia="宋体" w:cs="宋体"/>
          <w:sz w:val="21"/>
          <w:szCs w:val="21"/>
        </w:rPr>
        <w:t>5.1 履约担保是办理付款的必要条件之一，乙方应在本合同签订后提供履约担保。</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5.2 履约担保用于补偿甲方因乙方不能完成其合同义务而蒙受的损失。</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5.3 乙方提供履约担保的形式、金额及期限可采用以下两种方式之一：</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（2）采用现金形式，现金担保额度为签约合同价的10%，担保期限为履约保证金到账之日起，至服务期满之日止。履约担保以现金形式提交的，乙方应从其基本账户通过转帐或电汇至甲方指定的账户。</w:t>
      </w:r>
      <w:r>
        <w:rPr>
          <w:rFonts w:hint="eastAsia" w:ascii="宋体" w:hAnsi="宋体" w:eastAsia="宋体" w:cs="宋体"/>
          <w:sz w:val="21"/>
          <w:szCs w:val="21"/>
          <w:u w:val="single"/>
        </w:rPr>
        <w:t>户名     ；开户行：                 账号：         。</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5.4 在乙方完成其合同义务包括任何保证义务后，甲方将把履约担保无息退还乙方。</w:t>
      </w:r>
    </w:p>
    <w:bookmarkEnd w:id="76"/>
    <w:bookmarkEnd w:id="77"/>
    <w:p>
      <w:pPr>
        <w:autoSpaceDE w:val="0"/>
        <w:autoSpaceDN w:val="0"/>
        <w:spacing w:line="360" w:lineRule="auto"/>
        <w:ind w:firstLine="413" w:firstLineChars="196"/>
        <w:textAlignment w:val="bottom"/>
        <w:outlineLvl w:val="1"/>
        <w:rPr>
          <w:rFonts w:hint="eastAsia" w:ascii="宋体" w:hAnsi="宋体" w:eastAsia="宋体" w:cs="宋体"/>
          <w:b/>
          <w:bCs/>
          <w:sz w:val="21"/>
          <w:szCs w:val="21"/>
        </w:rPr>
      </w:pPr>
      <w:bookmarkStart w:id="78" w:name="_Toc469"/>
      <w:bookmarkStart w:id="79" w:name="_Toc21707"/>
      <w:r>
        <w:rPr>
          <w:rFonts w:hint="eastAsia" w:ascii="宋体" w:hAnsi="宋体" w:eastAsia="宋体" w:cs="宋体"/>
          <w:b/>
          <w:bCs/>
          <w:sz w:val="21"/>
          <w:szCs w:val="21"/>
        </w:rPr>
        <w:t>6、合同变更</w:t>
      </w:r>
      <w:bookmarkEnd w:id="78"/>
      <w:bookmarkEnd w:id="79"/>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（1）要实施的工作的说明（如果有的话）以及工作的实施进度计划；和</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（2）对进度计划或本合同项下的乙方义务进行任何必要的修改的建议；和</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（3）乙方对合同价格调整的建议。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收到乙方的上述递呈，并在与乙方适当协商后，甲方应尽快决定是否进行变更。</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6.3 合同变更/修改时，如果甲乙双方未能对价格调整达成一致，则对合同价格的调整应按下述方式进行：</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（1）对合同中已明确并有定价的选项及替代方案，按合同列明的相应的金额计算；</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（2）对合同中尚未明确和定价的选项及替代方案，其金额须由合同双方按以下一种或多种方法协商确定：</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1）根据合同规定的原则计出总价；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2）根据合同单价和/或单位费率计算而计出总价；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3）根据合同价格类推和/或按比例计算而计出总价；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4）根据合同规定的相应成本确定。</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6.6 除了上述情况外，不应对合同条款进行任何变更或修改。经甲方同意的对合同条款进行任何变更或修改，甲乙双方应签订补充协议予以明确。</w:t>
      </w:r>
    </w:p>
    <w:p>
      <w:pPr>
        <w:autoSpaceDE w:val="0"/>
        <w:autoSpaceDN w:val="0"/>
        <w:spacing w:line="360" w:lineRule="auto"/>
        <w:ind w:firstLine="413" w:firstLineChars="196"/>
        <w:textAlignment w:val="bottom"/>
        <w:outlineLvl w:val="1"/>
        <w:rPr>
          <w:rFonts w:hint="eastAsia" w:ascii="宋体" w:hAnsi="宋体" w:eastAsia="宋体" w:cs="宋体"/>
          <w:b/>
          <w:bCs/>
          <w:sz w:val="21"/>
          <w:szCs w:val="21"/>
        </w:rPr>
      </w:pPr>
      <w:bookmarkStart w:id="80" w:name="_Toc16499"/>
      <w:bookmarkStart w:id="81" w:name="_Toc28160"/>
      <w:r>
        <w:rPr>
          <w:rFonts w:hint="eastAsia" w:ascii="宋体" w:hAnsi="宋体" w:eastAsia="宋体" w:cs="宋体"/>
          <w:b/>
          <w:bCs/>
          <w:sz w:val="21"/>
          <w:szCs w:val="21"/>
        </w:rPr>
        <w:t>7、材料设备供应</w:t>
      </w:r>
      <w:bookmarkEnd w:id="80"/>
      <w:bookmarkEnd w:id="81"/>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7.2 乙方必须配备足够的用于维修保养的工器具，所使用的测试仪器必须定期进行检验，检验合格的产品才能使用。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7.4 所有维修保养更换的损坏件，应交给甲方回收报废。</w:t>
      </w:r>
    </w:p>
    <w:p>
      <w:pPr>
        <w:pStyle w:val="45"/>
        <w:spacing w:after="0" w:line="360" w:lineRule="auto"/>
        <w:ind w:firstLine="482"/>
        <w:outlineLvl w:val="1"/>
        <w:rPr>
          <w:rFonts w:hint="eastAsia" w:ascii="宋体" w:hAnsi="宋体" w:eastAsia="宋体" w:cs="宋体"/>
          <w:b/>
          <w:bCs/>
          <w:sz w:val="21"/>
          <w:szCs w:val="21"/>
        </w:rPr>
      </w:pPr>
      <w:bookmarkStart w:id="82" w:name="_Toc368066694"/>
      <w:bookmarkStart w:id="83" w:name="_Toc9335"/>
      <w:bookmarkStart w:id="84" w:name="_Toc16050"/>
      <w:r>
        <w:rPr>
          <w:rFonts w:hint="eastAsia" w:ascii="宋体" w:hAnsi="宋体" w:eastAsia="宋体" w:cs="宋体"/>
          <w:b/>
          <w:bCs/>
          <w:sz w:val="21"/>
          <w:szCs w:val="21"/>
        </w:rPr>
        <w:t>8、双方责任</w:t>
      </w:r>
      <w:bookmarkEnd w:id="82"/>
      <w:bookmarkEnd w:id="83"/>
      <w:bookmarkEnd w:id="84"/>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8.1甲方责任</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（1）向乙方提供完成本项目的基础资料。</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（2）协调乙方执行本合同与甲方内部有关职能部门的关系，办理有关内部批准文件。乙方进场维护保养时，甲方给予配合。</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（3）甲方在本项目履行期间派一名代表协助乙方处理维修保养中存在的问题，并对乙方维修保养工作进行监督、检查。</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（4）根据本合同规定按时向乙方付款。</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（5）按合同要求组织验收。</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8.2 乙方责任</w:t>
      </w:r>
    </w:p>
    <w:p>
      <w:pPr>
        <w:pStyle w:val="45"/>
        <w:spacing w:after="0" w:line="360" w:lineRule="auto"/>
        <w:ind w:firstLine="480"/>
        <w:rPr>
          <w:rFonts w:hint="eastAsia" w:ascii="宋体" w:hAnsi="宋体" w:eastAsia="宋体" w:cs="宋体"/>
          <w:sz w:val="21"/>
          <w:szCs w:val="21"/>
        </w:rPr>
      </w:pPr>
      <w:bookmarkStart w:id="85" w:name="_Toc368066695"/>
      <w:bookmarkStart w:id="86" w:name="_Toc357774470"/>
      <w:bookmarkStart w:id="87" w:name="_Toc240992313"/>
      <w:r>
        <w:rPr>
          <w:rFonts w:hint="eastAsia" w:ascii="宋体" w:hAnsi="宋体" w:eastAsia="宋体" w:cs="宋体"/>
          <w:sz w:val="21"/>
          <w:szCs w:val="21"/>
        </w:rPr>
        <w:t>（1）乙方应按照甲方要求制定详细的维修保养计划，经甲方审核后方能进行设备维护维修工作。</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（2）乙方应严格按照合同约定的标准、规范提供维修保养服务。</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（3）乙方维保人员应统一着装，并按有关规定配发劳保防护用品。维修保养过程中，乙方须采取严格的安全防护措施。</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（4）乙方须安排专人值班，确保通讯畅通。接到甲方通知后，按甲方要求在规定时间内响应并到达现场进行维修处理。</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（5）乙方须接受甲方对工期、质量、人员组成、设备、仪器、维护维修过程的监督。</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6）乙方须按投标承诺配置维保机构人员，如投标阶段未明确人员名单，则乙方须按甲方要求将维保机构人员资料交甲方备案。维保机构人员数量及技术能力应保持稳定，未经甲方许可不得擅自更换人员。确需更换人员的，乙方应按甲方相关规定办理变更手续，经甲方审批同意并按本合同第10条支付违约金后方可更换。</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（7）乙方须积极配合行业主管部门对设备的检查、检测、遗留问题整改等相关工作。</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82"/>
        <w:outlineLvl w:val="1"/>
        <w:rPr>
          <w:rFonts w:hint="eastAsia" w:ascii="宋体" w:hAnsi="宋体" w:eastAsia="宋体" w:cs="宋体"/>
          <w:b/>
          <w:bCs/>
          <w:sz w:val="21"/>
          <w:szCs w:val="21"/>
        </w:rPr>
      </w:pPr>
      <w:bookmarkStart w:id="88" w:name="_Toc13407"/>
      <w:bookmarkStart w:id="89" w:name="_Toc21185"/>
      <w:r>
        <w:rPr>
          <w:rFonts w:hint="eastAsia" w:ascii="宋体" w:hAnsi="宋体" w:eastAsia="宋体" w:cs="宋体"/>
          <w:b/>
          <w:bCs/>
          <w:sz w:val="21"/>
          <w:szCs w:val="21"/>
        </w:rPr>
        <w:t>9、项目验收</w:t>
      </w:r>
      <w:bookmarkEnd w:id="85"/>
      <w:bookmarkEnd w:id="88"/>
      <w:bookmarkEnd w:id="89"/>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乙方应按甲方规定的时间以书面形式提交维护保养报告，维护保养成果及维护保养报告经甲方确认达到本合同要求的技术及质量标准，视为验收合格。具体要求以用户需求书/技术规格书为准。</w:t>
      </w:r>
    </w:p>
    <w:bookmarkEnd w:id="86"/>
    <w:bookmarkEnd w:id="87"/>
    <w:p>
      <w:pPr>
        <w:pStyle w:val="45"/>
        <w:spacing w:after="0" w:line="360" w:lineRule="auto"/>
        <w:ind w:firstLine="482"/>
        <w:outlineLvl w:val="1"/>
        <w:rPr>
          <w:rFonts w:hint="eastAsia" w:ascii="宋体" w:hAnsi="宋体" w:eastAsia="宋体" w:cs="宋体"/>
          <w:b/>
          <w:bCs/>
          <w:sz w:val="21"/>
          <w:szCs w:val="21"/>
          <w:lang w:bidi="ar"/>
        </w:rPr>
      </w:pPr>
      <w:bookmarkStart w:id="90" w:name="_Toc26125"/>
      <w:bookmarkStart w:id="91" w:name="_Toc2817"/>
      <w:bookmarkStart w:id="92" w:name="_Toc368066696"/>
      <w:bookmarkStart w:id="93" w:name="_Toc136850808"/>
      <w:r>
        <w:rPr>
          <w:rFonts w:hint="eastAsia" w:ascii="宋体" w:hAnsi="宋体" w:eastAsia="宋体" w:cs="宋体"/>
          <w:b/>
          <w:bCs/>
          <w:sz w:val="21"/>
          <w:szCs w:val="21"/>
          <w:lang w:bidi="ar"/>
        </w:rPr>
        <w:t>10、违约责任</w:t>
      </w:r>
      <w:bookmarkEnd w:id="90"/>
      <w:bookmarkEnd w:id="91"/>
      <w:bookmarkEnd w:id="92"/>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10.1人员管理不到位的违约责任</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合同履行期间，乙方确需更换项目负责人的，乙方应按甲方相关规定办理变更手续，且只能更换一次；经报甲方审批同意更换项目负责人的，乙方须支付10000元违约金。</w:t>
      </w:r>
      <w:r>
        <w:rPr>
          <w:rFonts w:hint="eastAsia" w:ascii="宋体" w:hAnsi="宋体" w:eastAsia="宋体" w:cs="宋体"/>
          <w:sz w:val="21"/>
          <w:szCs w:val="21"/>
        </w:rPr>
        <w:t>未经甲方审批同意，乙方擅自变更项目负责人的，乙方须支付20000元违约金。</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（2）合同履行期间，</w:t>
      </w:r>
      <w:r>
        <w:rPr>
          <w:rFonts w:hint="eastAsia" w:ascii="宋体" w:hAnsi="宋体" w:eastAsia="宋体" w:cs="宋体"/>
          <w:kern w:val="0"/>
          <w:sz w:val="21"/>
          <w:szCs w:val="21"/>
        </w:rPr>
        <w:t>乙方确需更换项目其他人员的，乙方应按甲方相关规定办理变更手续；经报甲方审批同意更换项目其他人员的，乙方须支付2000元/人的违约金。</w:t>
      </w:r>
      <w:r>
        <w:rPr>
          <w:rFonts w:hint="eastAsia" w:ascii="宋体" w:hAnsi="宋体" w:eastAsia="宋体" w:cs="宋体"/>
          <w:sz w:val="21"/>
          <w:szCs w:val="21"/>
        </w:rPr>
        <w:t>未经甲方审批同意，乙方擅自变更项目其他人员的，乙方须支付4000元/人的违约金。</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10.2 维保工作不到位的违约责任</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维保工作不到位的违约责任在用户需求书/技术规格书中明确的，按用户需求书/技术规格书执行，无明确约定的，按下述条款执行。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（1）未经甲方书面同意，乙方在设备维保过程中使用不符合合同要求的备件和材料的，乙方应立即按甲方要求进行整改，且乙方须支付5000元/次的违约金。</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（2）乙方未采取严格的安全防护措施导致发生人员安全事故的，由乙方承担全部责任及由此而产生的一切费用。</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（3）乙方未按合同规定的时间对设备进行日常维护保养、特定日保障的（如有），乙方须支付2000元/次的违约金。</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（4）乙方接到甲方设备故障（缺陷）通知后，未按甲方要求的时间响应或到达现场进行维修处理的，乙方须支付1000元/次的违约金。</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（5）逾期提供部分或全部履约担保在30天内的：每逾期一天乙方应按300元/天向甲方赔偿损失，损失最高额为签约合同价的6% 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我司支付违约金，违约金最高为签约合同价的8%或人民币伍万元整（以两者数额较低者计取）。</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10.3违约金以现金或转账方式交纳，甲方开具收款收据、不提供发票，乙方不得因此冲减增值税专用发票金额。</w:t>
      </w:r>
    </w:p>
    <w:bookmarkEnd w:id="93"/>
    <w:p>
      <w:pPr>
        <w:pStyle w:val="45"/>
        <w:spacing w:after="0" w:line="360" w:lineRule="auto"/>
        <w:ind w:firstLine="482"/>
        <w:outlineLvl w:val="1"/>
        <w:rPr>
          <w:rFonts w:hint="eastAsia" w:ascii="宋体" w:hAnsi="宋体" w:eastAsia="宋体" w:cs="宋体"/>
          <w:b/>
          <w:bCs/>
          <w:sz w:val="21"/>
          <w:szCs w:val="21"/>
        </w:rPr>
      </w:pPr>
      <w:bookmarkStart w:id="94" w:name="_Toc11534"/>
      <w:bookmarkStart w:id="95" w:name="_Toc12374"/>
      <w:bookmarkStart w:id="96" w:name="_Toc368066697"/>
      <w:r>
        <w:rPr>
          <w:rFonts w:hint="eastAsia" w:ascii="宋体" w:hAnsi="宋体" w:eastAsia="宋体" w:cs="宋体"/>
          <w:b/>
          <w:bCs/>
          <w:sz w:val="21"/>
          <w:szCs w:val="21"/>
        </w:rPr>
        <w:t>11、不可抗力</w:t>
      </w:r>
      <w:bookmarkEnd w:id="94"/>
      <w:bookmarkEnd w:id="95"/>
      <w:bookmarkEnd w:id="96"/>
    </w:p>
    <w:p>
      <w:pPr>
        <w:pStyle w:val="45"/>
        <w:spacing w:after="0" w:line="360" w:lineRule="auto"/>
        <w:ind w:firstLine="480"/>
        <w:rPr>
          <w:rFonts w:hint="eastAsia" w:ascii="宋体" w:hAnsi="宋体" w:eastAsia="宋体" w:cs="宋体"/>
          <w:sz w:val="21"/>
          <w:szCs w:val="21"/>
        </w:rPr>
      </w:pPr>
      <w:bookmarkStart w:id="97" w:name="_Toc136850809"/>
      <w:r>
        <w:rPr>
          <w:rFonts w:hint="eastAsia" w:ascii="宋体" w:hAnsi="宋体" w:eastAsia="宋体" w:cs="宋体"/>
          <w:sz w:val="21"/>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97"/>
    <w:p>
      <w:pPr>
        <w:pStyle w:val="45"/>
        <w:spacing w:after="0" w:line="360" w:lineRule="auto"/>
        <w:ind w:firstLine="482"/>
        <w:outlineLvl w:val="1"/>
        <w:rPr>
          <w:rFonts w:hint="eastAsia" w:ascii="宋体" w:hAnsi="宋体" w:eastAsia="宋体" w:cs="宋体"/>
          <w:b/>
          <w:bCs/>
          <w:sz w:val="21"/>
          <w:szCs w:val="21"/>
        </w:rPr>
      </w:pPr>
      <w:bookmarkStart w:id="98" w:name="_Toc368066698"/>
      <w:bookmarkStart w:id="99" w:name="_Toc20430"/>
      <w:bookmarkStart w:id="100" w:name="_Toc18270"/>
      <w:r>
        <w:rPr>
          <w:rFonts w:hint="eastAsia" w:ascii="宋体" w:hAnsi="宋体" w:eastAsia="宋体" w:cs="宋体"/>
          <w:b/>
          <w:bCs/>
          <w:sz w:val="21"/>
          <w:szCs w:val="21"/>
        </w:rPr>
        <w:t>12、争议解决</w:t>
      </w:r>
      <w:bookmarkEnd w:id="98"/>
      <w:bookmarkEnd w:id="99"/>
      <w:bookmarkEnd w:id="100"/>
    </w:p>
    <w:p>
      <w:pPr>
        <w:pStyle w:val="45"/>
        <w:spacing w:after="0" w:line="360" w:lineRule="auto"/>
        <w:ind w:firstLine="480"/>
        <w:rPr>
          <w:rFonts w:hint="eastAsia" w:ascii="宋体" w:hAnsi="宋体" w:eastAsia="宋体" w:cs="宋体"/>
          <w:sz w:val="21"/>
          <w:szCs w:val="21"/>
        </w:rPr>
      </w:pPr>
      <w:bookmarkStart w:id="101" w:name="_Toc368066699"/>
      <w:r>
        <w:rPr>
          <w:rFonts w:hint="eastAsia" w:ascii="宋体" w:hAnsi="宋体" w:eastAsia="宋体" w:cs="宋体"/>
          <w:sz w:val="21"/>
          <w:szCs w:val="21"/>
        </w:rPr>
        <w:t>12.1合同双方在履行合同中发生争议的，先应友好协商解决或委托中介机构或专业部门进行鉴定，检测或审核，也可提请行政主管部门的专门机构进行调解。</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12.2合同当事人友好协商解决不成，不愿委托中介机构或专业部门鉴定、检测、审核、也不提请调解的，或不接受鉴定、检测、审核结论或调解意见的，可向工程所在地的人民法院提起诉讼。</w:t>
      </w:r>
    </w:p>
    <w:bookmarkEnd w:id="101"/>
    <w:p>
      <w:pPr>
        <w:pStyle w:val="45"/>
        <w:spacing w:after="0" w:line="360" w:lineRule="auto"/>
        <w:ind w:firstLine="482"/>
        <w:outlineLvl w:val="1"/>
        <w:rPr>
          <w:rFonts w:hint="eastAsia" w:ascii="宋体" w:hAnsi="宋体" w:eastAsia="宋体" w:cs="宋体"/>
          <w:b/>
          <w:bCs/>
          <w:sz w:val="21"/>
          <w:szCs w:val="21"/>
        </w:rPr>
      </w:pPr>
      <w:bookmarkStart w:id="102" w:name="_Toc24616"/>
      <w:bookmarkStart w:id="103" w:name="_Toc5613"/>
      <w:r>
        <w:rPr>
          <w:rFonts w:hint="eastAsia" w:ascii="宋体" w:hAnsi="宋体" w:eastAsia="宋体" w:cs="宋体"/>
          <w:b/>
          <w:bCs/>
          <w:sz w:val="21"/>
          <w:szCs w:val="21"/>
        </w:rPr>
        <w:t>13、合同解除</w:t>
      </w:r>
      <w:bookmarkEnd w:id="102"/>
      <w:bookmarkEnd w:id="103"/>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13.1 有下列情形之一的，合同当事人一方或双方可以解除合同：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（1）乙方将本合同约定的工作全部或部分转包给他人，甲方可以解除合同；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（2）因不可抗力致使合同无法履行；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（3）因一方违约致使合同无法实际履行或实际履行已无必要。</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（4）违约金总额超过合同签约价的10%，甲方有权解除合同。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13.2 任何一方提出解除合同的，应提前30天书面通知对方。</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13.4本合同解除后，本合同约定的有关结算、争议解决方式的条款仍然有效。</w:t>
      </w:r>
    </w:p>
    <w:p>
      <w:pPr>
        <w:pStyle w:val="45"/>
        <w:spacing w:after="0" w:line="360" w:lineRule="auto"/>
        <w:ind w:firstLine="482"/>
        <w:outlineLvl w:val="1"/>
        <w:rPr>
          <w:rFonts w:hint="eastAsia" w:ascii="宋体" w:hAnsi="宋体" w:eastAsia="宋体" w:cs="宋体"/>
          <w:b/>
          <w:bCs/>
          <w:sz w:val="21"/>
          <w:szCs w:val="21"/>
        </w:rPr>
      </w:pPr>
      <w:bookmarkStart w:id="104" w:name="_Toc7465"/>
      <w:bookmarkStart w:id="105" w:name="_Toc32137"/>
      <w:r>
        <w:rPr>
          <w:rFonts w:hint="eastAsia" w:ascii="宋体" w:hAnsi="宋体" w:eastAsia="宋体" w:cs="宋体"/>
          <w:b/>
          <w:bCs/>
          <w:sz w:val="21"/>
          <w:szCs w:val="21"/>
        </w:rPr>
        <w:t>14、合同终止</w:t>
      </w:r>
      <w:bookmarkEnd w:id="104"/>
      <w:bookmarkEnd w:id="105"/>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除合同解除外，以下条件全部满足时，本合同终止：</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（1）乙方完成本合同约定的全部工作；</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（2）甲方与乙方结清并支付服务费用；</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（3）乙方将甲方提供的资料交还。</w:t>
      </w:r>
    </w:p>
    <w:p>
      <w:pPr>
        <w:pStyle w:val="45"/>
        <w:spacing w:after="0" w:line="360" w:lineRule="auto"/>
        <w:ind w:firstLine="482"/>
        <w:outlineLvl w:val="1"/>
        <w:rPr>
          <w:rFonts w:hint="eastAsia" w:ascii="宋体" w:hAnsi="宋体" w:eastAsia="宋体" w:cs="宋体"/>
          <w:b/>
          <w:bCs/>
          <w:sz w:val="21"/>
          <w:szCs w:val="21"/>
        </w:rPr>
      </w:pPr>
      <w:bookmarkStart w:id="106" w:name="_Toc20824"/>
      <w:r>
        <w:rPr>
          <w:rFonts w:hint="eastAsia" w:ascii="宋体" w:hAnsi="宋体" w:eastAsia="宋体" w:cs="宋体"/>
          <w:b/>
          <w:bCs/>
          <w:sz w:val="21"/>
          <w:szCs w:val="21"/>
        </w:rPr>
        <w:t>15、双方约定的其他事项</w:t>
      </w:r>
      <w:bookmarkEnd w:id="106"/>
    </w:p>
    <w:p>
      <w:pPr>
        <w:pStyle w:val="45"/>
        <w:spacing w:after="0" w:line="360" w:lineRule="auto"/>
        <w:ind w:firstLine="482"/>
        <w:outlineLvl w:val="1"/>
        <w:rPr>
          <w:rFonts w:hint="eastAsia" w:ascii="宋体" w:hAnsi="宋体" w:eastAsia="宋体" w:cs="宋体"/>
          <w:b/>
          <w:bCs/>
          <w:sz w:val="21"/>
          <w:szCs w:val="21"/>
          <w:u w:val="single"/>
        </w:rPr>
      </w:pPr>
      <w:r>
        <w:rPr>
          <w:rFonts w:hint="eastAsia" w:ascii="宋体" w:hAnsi="宋体" w:eastAsia="宋体" w:cs="宋体"/>
          <w:b/>
          <w:bCs/>
          <w:sz w:val="21"/>
          <w:szCs w:val="21"/>
          <w:u w:val="single"/>
        </w:rPr>
        <w:t xml:space="preserve">                     </w:t>
      </w:r>
    </w:p>
    <w:p>
      <w:pPr>
        <w:tabs>
          <w:tab w:val="left" w:pos="851"/>
          <w:tab w:val="left" w:pos="1440"/>
        </w:tabs>
        <w:adjustRightInd w:val="0"/>
        <w:snapToGrid w:val="0"/>
        <w:spacing w:before="156" w:beforeLines="50" w:after="156" w:afterLines="50" w:line="360" w:lineRule="auto"/>
        <w:jc w:val="center"/>
        <w:outlineLvl w:val="0"/>
        <w:rPr>
          <w:rFonts w:hint="eastAsia" w:ascii="宋体" w:hAnsi="宋体" w:eastAsia="宋体" w:cs="宋体"/>
          <w:b/>
          <w:kern w:val="0"/>
          <w:sz w:val="21"/>
          <w:szCs w:val="21"/>
        </w:rPr>
      </w:pPr>
      <w:r>
        <w:rPr>
          <w:rFonts w:hint="eastAsia" w:ascii="宋体" w:hAnsi="宋体" w:eastAsia="宋体" w:cs="宋体"/>
          <w:b/>
          <w:bCs/>
          <w:sz w:val="21"/>
          <w:szCs w:val="21"/>
          <w:u w:val="single"/>
        </w:rPr>
        <w:br w:type="page"/>
      </w:r>
      <w:bookmarkStart w:id="107" w:name="_Toc26755"/>
      <w:bookmarkStart w:id="108" w:name="_Toc25884"/>
      <w:r>
        <w:rPr>
          <w:rFonts w:hint="eastAsia" w:ascii="宋体" w:hAnsi="宋体" w:eastAsia="宋体" w:cs="宋体"/>
          <w:b/>
          <w:kern w:val="0"/>
          <w:sz w:val="21"/>
          <w:szCs w:val="21"/>
        </w:rPr>
        <w:t>第四部分 技术规格书</w:t>
      </w:r>
      <w:bookmarkEnd w:id="107"/>
      <w:bookmarkEnd w:id="108"/>
    </w:p>
    <w:p>
      <w:pPr>
        <w:tabs>
          <w:tab w:val="left" w:pos="851"/>
          <w:tab w:val="left" w:pos="1440"/>
        </w:tabs>
        <w:adjustRightInd w:val="0"/>
        <w:snapToGrid w:val="0"/>
        <w:spacing w:before="156" w:beforeLines="50" w:after="156" w:afterLines="50" w:line="360" w:lineRule="auto"/>
        <w:jc w:val="center"/>
        <w:outlineLvl w:val="0"/>
        <w:rPr>
          <w:rFonts w:hint="eastAsia" w:ascii="宋体" w:hAnsi="宋体" w:eastAsia="宋体" w:cs="宋体"/>
          <w:sz w:val="21"/>
          <w:szCs w:val="21"/>
        </w:rPr>
      </w:pPr>
      <w:r>
        <w:rPr>
          <w:rFonts w:hint="eastAsia" w:ascii="宋体" w:hAnsi="宋体" w:eastAsia="宋体" w:cs="宋体"/>
          <w:b/>
          <w:bCs/>
          <w:sz w:val="21"/>
          <w:szCs w:val="21"/>
          <w:u w:val="single"/>
        </w:rPr>
        <w:br w:type="page"/>
      </w:r>
      <w:bookmarkStart w:id="109" w:name="_Toc26605"/>
      <w:bookmarkStart w:id="110" w:name="_Toc29947"/>
      <w:bookmarkStart w:id="111" w:name="_Toc437444975"/>
      <w:r>
        <w:rPr>
          <w:rFonts w:hint="eastAsia" w:ascii="宋体" w:hAnsi="宋体" w:eastAsia="宋体" w:cs="宋体"/>
          <w:b/>
          <w:kern w:val="0"/>
          <w:sz w:val="21"/>
          <w:szCs w:val="21"/>
        </w:rPr>
        <w:t>第五部分 合同附件</w:t>
      </w:r>
      <w:bookmarkEnd w:id="109"/>
      <w:bookmarkEnd w:id="110"/>
      <w:r>
        <w:rPr>
          <w:rFonts w:hint="eastAsia" w:ascii="宋体" w:hAnsi="宋体" w:eastAsia="宋体" w:cs="宋体"/>
          <w:b/>
          <w:kern w:val="0"/>
          <w:sz w:val="21"/>
          <w:szCs w:val="21"/>
        </w:rPr>
        <w:t xml:space="preserve"> </w:t>
      </w:r>
    </w:p>
    <w:p>
      <w:pPr>
        <w:tabs>
          <w:tab w:val="left" w:pos="540"/>
        </w:tabs>
        <w:spacing w:line="360" w:lineRule="auto"/>
        <w:outlineLvl w:val="1"/>
        <w:rPr>
          <w:rFonts w:hint="eastAsia" w:ascii="宋体" w:hAnsi="宋体" w:eastAsia="宋体" w:cs="宋体"/>
          <w:b/>
          <w:bCs/>
          <w:sz w:val="21"/>
          <w:szCs w:val="21"/>
          <w:u w:val="single"/>
        </w:rPr>
      </w:pPr>
      <w:bookmarkStart w:id="112" w:name="_Toc19384"/>
      <w:bookmarkStart w:id="113" w:name="_Toc25824"/>
      <w:r>
        <w:rPr>
          <w:rFonts w:hint="eastAsia" w:ascii="宋体" w:hAnsi="宋体" w:eastAsia="宋体" w:cs="宋体"/>
          <w:b/>
          <w:bCs/>
          <w:sz w:val="21"/>
          <w:szCs w:val="21"/>
        </w:rPr>
        <w:t>附件1 廉政合同</w:t>
      </w:r>
      <w:bookmarkEnd w:id="112"/>
      <w:bookmarkEnd w:id="113"/>
    </w:p>
    <w:p>
      <w:pPr>
        <w:autoSpaceDE w:val="0"/>
        <w:autoSpaceDN w:val="0"/>
        <w:adjustRightInd w:val="0"/>
        <w:snapToGrid w:val="0"/>
        <w:spacing w:line="360" w:lineRule="auto"/>
        <w:jc w:val="center"/>
        <w:textAlignment w:val="bottom"/>
        <w:rPr>
          <w:rFonts w:hint="eastAsia" w:ascii="宋体" w:hAnsi="宋体" w:eastAsia="宋体" w:cs="宋体"/>
          <w:snapToGrid w:val="0"/>
          <w:sz w:val="21"/>
          <w:szCs w:val="21"/>
        </w:rPr>
      </w:pPr>
      <w:r>
        <w:rPr>
          <w:rFonts w:hint="eastAsia" w:ascii="宋体" w:hAnsi="宋体" w:eastAsia="宋体" w:cs="宋体"/>
          <w:b/>
          <w:snapToGrid w:val="0"/>
          <w:sz w:val="21"/>
          <w:szCs w:val="21"/>
        </w:rPr>
        <w:t>廉政</w:t>
      </w:r>
      <w:bookmarkEnd w:id="111"/>
      <w:r>
        <w:rPr>
          <w:rFonts w:hint="eastAsia" w:ascii="宋体" w:hAnsi="宋体" w:eastAsia="宋体" w:cs="宋体"/>
          <w:b/>
          <w:snapToGrid w:val="0"/>
          <w:sz w:val="21"/>
          <w:szCs w:val="21"/>
        </w:rPr>
        <w:t>合同</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根据国家法律、法规以及有关廉政的规定，为做好项目中的党风廉政建设，保证项目高效优质，保证项目资金的安全和有效使用以及投资效益，</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的项目法人</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(以下称“甲方”)与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（以下称“乙方”），特订立如下合同。</w:t>
      </w:r>
    </w:p>
    <w:p>
      <w:pPr>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第一条 甲乙双方的权利和义务</w:t>
      </w:r>
    </w:p>
    <w:p>
      <w:pPr>
        <w:tabs>
          <w:tab w:val="left" w:pos="2115"/>
        </w:tabs>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（一）严格遵守党和国家有关法律法规及湖南省、长沙市的相关规定。</w:t>
      </w:r>
    </w:p>
    <w:p>
      <w:pPr>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（二）严格执行</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的合同文件（以下简称主合同），自觉按合同办事。</w:t>
      </w:r>
    </w:p>
    <w:p>
      <w:pPr>
        <w:tabs>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（三）双方的业务活动坚持公开、公正、诚信、透明的原则（除法律认定的商业秘密和合同文件另有规定之外），不得损害国家和集体利益，违反项目建设规章制度。</w:t>
      </w:r>
    </w:p>
    <w:p>
      <w:pPr>
        <w:tabs>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（四）建立健全廉政制度，开展廉政教育，设立廉政告示牌，公布举报电话，监督并认真查处违法违纪行为。</w:t>
      </w:r>
    </w:p>
    <w:p>
      <w:pPr>
        <w:tabs>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（五）发现对方在业务活动中有违反廉政规定的行为，有及时提醒对方纠正的权利和义务。</w:t>
      </w:r>
    </w:p>
    <w:p>
      <w:pPr>
        <w:tabs>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（六）发现对方严重违反本合同义务条款的行为，有向其上级有关部门举报、建议给予处理并要求告知处理结果的权利。</w:t>
      </w:r>
    </w:p>
    <w:p>
      <w:pPr>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第二条 甲方的义务</w:t>
      </w:r>
    </w:p>
    <w:p>
      <w:pPr>
        <w:tabs>
          <w:tab w:val="left" w:pos="0"/>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（一）甲方及其工作人员不得索要或接受乙方的礼金、有价证券和贵重物品，不得在乙方报销任何应由甲方或个人支付的费用等。</w:t>
      </w:r>
    </w:p>
    <w:p>
      <w:pPr>
        <w:tabs>
          <w:tab w:val="left" w:pos="0"/>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（二）甲方工作人员不得参加乙方安排的超标准宴请和娱乐活动；不得接受乙方提供的通讯工具、交通工具和高档办公用品等。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（三）甲方及其工作人员不得要求或者接受乙方为其住房装修、婚丧嫁娶活动、配偶子女的工作安排以及出国出境、旅游等提供方便等。</w:t>
      </w:r>
    </w:p>
    <w:p>
      <w:pPr>
        <w:adjustRightInd w:val="0"/>
        <w:snapToGrid w:val="0"/>
        <w:spacing w:line="360" w:lineRule="auto"/>
        <w:ind w:firstLine="510"/>
        <w:rPr>
          <w:rFonts w:hint="eastAsia" w:ascii="宋体" w:hAnsi="宋体" w:eastAsia="宋体" w:cs="宋体"/>
          <w:b/>
          <w:snapToGrid w:val="0"/>
          <w:sz w:val="21"/>
          <w:szCs w:val="21"/>
        </w:rPr>
      </w:pPr>
      <w:r>
        <w:rPr>
          <w:rFonts w:hint="eastAsia" w:ascii="宋体" w:hAnsi="宋体" w:eastAsia="宋体" w:cs="宋体"/>
          <w:b/>
          <w:snapToGrid w:val="0"/>
          <w:sz w:val="21"/>
          <w:szCs w:val="21"/>
        </w:rPr>
        <w:t>第三条 乙方的义务</w:t>
      </w:r>
    </w:p>
    <w:p>
      <w:pPr>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（一）乙方不得以任何理由向甲方及其工作人员行贿或馈赠礼金、有价证券、贵重礼品。</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（二）乙方不得以任何名义为甲方及其工作人员报销应由甲方单位或个人支付的任何费用。</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（三）乙方不得以任何理由安排甲方工作人员参加超标准宴请及娱乐活动。</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（四）乙方不得为甲方单位和个人购置或提供通讯工具、交通工具和高档办公用品等。</w:t>
      </w:r>
    </w:p>
    <w:p>
      <w:pPr>
        <w:adjustRightInd w:val="0"/>
        <w:snapToGrid w:val="0"/>
        <w:spacing w:line="360" w:lineRule="auto"/>
        <w:ind w:firstLine="510"/>
        <w:rPr>
          <w:rFonts w:hint="eastAsia" w:ascii="宋体" w:hAnsi="宋体" w:eastAsia="宋体" w:cs="宋体"/>
          <w:b/>
          <w:snapToGrid w:val="0"/>
          <w:sz w:val="21"/>
          <w:szCs w:val="21"/>
        </w:rPr>
      </w:pPr>
      <w:r>
        <w:rPr>
          <w:rFonts w:hint="eastAsia" w:ascii="宋体" w:hAnsi="宋体" w:eastAsia="宋体" w:cs="宋体"/>
          <w:b/>
          <w:snapToGrid w:val="0"/>
          <w:sz w:val="21"/>
          <w:szCs w:val="21"/>
        </w:rPr>
        <w:t>第四条 违约责任</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b/>
          <w:snapToGrid w:val="0"/>
          <w:sz w:val="21"/>
          <w:szCs w:val="21"/>
        </w:rPr>
        <w:t>第五条</w:t>
      </w:r>
      <w:r>
        <w:rPr>
          <w:rFonts w:hint="eastAsia" w:ascii="宋体" w:hAnsi="宋体" w:eastAsia="宋体" w:cs="宋体"/>
          <w:snapToGrid w:val="0"/>
          <w:sz w:val="21"/>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b/>
          <w:snapToGrid w:val="0"/>
          <w:sz w:val="21"/>
          <w:szCs w:val="21"/>
        </w:rPr>
        <w:t>第六条</w:t>
      </w:r>
      <w:r>
        <w:rPr>
          <w:rFonts w:hint="eastAsia" w:ascii="宋体" w:hAnsi="宋体" w:eastAsia="宋体" w:cs="宋体"/>
          <w:snapToGrid w:val="0"/>
          <w:sz w:val="21"/>
          <w:szCs w:val="21"/>
        </w:rPr>
        <w:t xml:space="preserve"> 本协议书有效期为甲乙双方签署之日起至合同完全履行完毕之日止。</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b/>
          <w:snapToGrid w:val="0"/>
          <w:sz w:val="21"/>
          <w:szCs w:val="21"/>
        </w:rPr>
        <w:t>第七条</w:t>
      </w:r>
      <w:r>
        <w:rPr>
          <w:rFonts w:hint="eastAsia" w:ascii="宋体" w:hAnsi="宋体" w:eastAsia="宋体" w:cs="宋体"/>
          <w:snapToGrid w:val="0"/>
          <w:sz w:val="21"/>
          <w:szCs w:val="21"/>
        </w:rPr>
        <w:t xml:space="preserve"> 本协议书作为主合同的附件，与主合同具有同等的法律效力，经合同双方签署立即生效。</w:t>
      </w:r>
    </w:p>
    <w:p>
      <w:pPr>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第八条</w:t>
      </w:r>
      <w:r>
        <w:rPr>
          <w:rFonts w:hint="eastAsia" w:ascii="宋体" w:hAnsi="宋体" w:eastAsia="宋体" w:cs="宋体"/>
          <w:snapToGrid w:val="0"/>
          <w:sz w:val="21"/>
          <w:szCs w:val="21"/>
        </w:rPr>
        <w:t xml:space="preserve"> 发现有违反相关要求的，可通过以下途径举报：</w:t>
      </w:r>
    </w:p>
    <w:p>
      <w:pPr>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（1）监督举报电话（限短信方式）：15367896029，15367896120。</w:t>
      </w:r>
    </w:p>
    <w:p>
      <w:pPr>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（2）举报邮箱：yygsjbyx2015@163.com。</w:t>
      </w:r>
    </w:p>
    <w:p>
      <w:pPr>
        <w:adjustRightInd w:val="0"/>
        <w:snapToGrid w:val="0"/>
        <w:spacing w:line="360" w:lineRule="auto"/>
        <w:rPr>
          <w:rFonts w:hint="eastAsia" w:ascii="宋体" w:hAnsi="宋体" w:eastAsia="宋体" w:cs="宋体"/>
          <w:snapToGrid w:val="0"/>
          <w:sz w:val="21"/>
          <w:szCs w:val="21"/>
          <w:u w:val="single"/>
        </w:rPr>
      </w:pPr>
      <w:r>
        <w:rPr>
          <w:rFonts w:hint="eastAsia" w:ascii="宋体" w:hAnsi="宋体" w:eastAsia="宋体" w:cs="宋体"/>
          <w:snapToGrid w:val="0"/>
          <w:sz w:val="21"/>
          <w:szCs w:val="21"/>
        </w:rPr>
        <w:t>甲方单位：</w:t>
      </w:r>
      <w:r>
        <w:rPr>
          <w:rFonts w:hint="eastAsia" w:ascii="宋体" w:hAnsi="宋体" w:eastAsia="宋体" w:cs="宋体"/>
          <w:snapToGrid w:val="0"/>
          <w:sz w:val="21"/>
          <w:szCs w:val="21"/>
          <w:u w:val="single"/>
        </w:rPr>
        <w:t xml:space="preserve"> （盖章）       </w:t>
      </w:r>
      <w:r>
        <w:rPr>
          <w:rFonts w:hint="eastAsia" w:ascii="宋体" w:hAnsi="宋体" w:eastAsia="宋体" w:cs="宋体"/>
          <w:snapToGrid w:val="0"/>
          <w:sz w:val="21"/>
          <w:szCs w:val="21"/>
        </w:rPr>
        <w:t xml:space="preserve">                 乙方单位：</w:t>
      </w:r>
      <w:r>
        <w:rPr>
          <w:rFonts w:hint="eastAsia" w:ascii="宋体" w:hAnsi="宋体" w:eastAsia="宋体" w:cs="宋体"/>
          <w:snapToGrid w:val="0"/>
          <w:sz w:val="21"/>
          <w:szCs w:val="21"/>
          <w:u w:val="single"/>
        </w:rPr>
        <w:t xml:space="preserve"> （盖章）       </w:t>
      </w:r>
    </w:p>
    <w:p>
      <w:pPr>
        <w:adjustRightInd w:val="0"/>
        <w:snapToGrid w:val="0"/>
        <w:spacing w:line="360" w:lineRule="auto"/>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法定代表人或授权代理人：（签字）             法定代表人或授权代理人：（签字）     </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u w:val="single"/>
        </w:rPr>
        <w:t xml:space="preserve">            </w:t>
      </w:r>
    </w:p>
    <w:p>
      <w:pPr>
        <w:adjustRightInd w:val="0"/>
        <w:snapToGrid w:val="0"/>
        <w:spacing w:line="360" w:lineRule="auto"/>
        <w:rPr>
          <w:rFonts w:hint="eastAsia" w:ascii="宋体" w:hAnsi="宋体" w:eastAsia="宋体" w:cs="宋体"/>
          <w:snapToGrid w:val="0"/>
          <w:sz w:val="21"/>
          <w:szCs w:val="21"/>
          <w:u w:val="single"/>
        </w:rPr>
      </w:pP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u w:val="single"/>
        </w:rPr>
        <w:t xml:space="preserve">                          </w:t>
      </w:r>
    </w:p>
    <w:p>
      <w:pPr>
        <w:adjustRightInd w:val="0"/>
        <w:snapToGrid w:val="0"/>
        <w:spacing w:line="360" w:lineRule="auto"/>
        <w:rPr>
          <w:rFonts w:hint="eastAsia" w:ascii="宋体" w:hAnsi="宋体" w:eastAsia="宋体" w:cs="宋体"/>
          <w:snapToGrid w:val="0"/>
          <w:sz w:val="21"/>
          <w:szCs w:val="21"/>
        </w:rPr>
        <w:sectPr>
          <w:headerReference r:id="rId11" w:type="default"/>
          <w:footerReference r:id="rId12" w:type="default"/>
          <w:pgSz w:w="12240" w:h="15840"/>
          <w:pgMar w:top="1440" w:right="1800" w:bottom="1157" w:left="1800" w:header="720" w:footer="720" w:gutter="0"/>
          <w:cols w:space="720" w:num="1"/>
          <w:docGrid w:type="lines" w:linePitch="312" w:charSpace="0"/>
        </w:sectPr>
      </w:pPr>
      <w:r>
        <w:rPr>
          <w:rFonts w:hint="eastAsia" w:ascii="宋体" w:hAnsi="宋体" w:eastAsia="宋体" w:cs="宋体"/>
          <w:snapToGrid w:val="0"/>
          <w:sz w:val="21"/>
          <w:szCs w:val="21"/>
        </w:rPr>
        <w:t>电话：</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电话：</w:t>
      </w:r>
      <w:r>
        <w:rPr>
          <w:rFonts w:hint="eastAsia" w:ascii="宋体" w:hAnsi="宋体" w:eastAsia="宋体" w:cs="宋体"/>
          <w:snapToGrid w:val="0"/>
          <w:sz w:val="21"/>
          <w:szCs w:val="21"/>
          <w:u w:val="single"/>
        </w:rPr>
        <w:t xml:space="preserve">                         </w:t>
      </w:r>
    </w:p>
    <w:p>
      <w:pPr>
        <w:tabs>
          <w:tab w:val="left" w:pos="540"/>
        </w:tabs>
        <w:spacing w:line="360" w:lineRule="auto"/>
        <w:outlineLvl w:val="1"/>
        <w:rPr>
          <w:rFonts w:hint="eastAsia" w:ascii="宋体" w:hAnsi="宋体" w:eastAsia="宋体" w:cs="宋体"/>
          <w:b/>
          <w:bCs/>
          <w:sz w:val="21"/>
          <w:szCs w:val="21"/>
        </w:rPr>
      </w:pPr>
      <w:bookmarkStart w:id="114" w:name="_Toc454978188"/>
      <w:r>
        <w:rPr>
          <w:rFonts w:hint="eastAsia" w:ascii="宋体" w:hAnsi="宋体" w:eastAsia="宋体" w:cs="宋体"/>
          <w:b/>
          <w:bCs/>
          <w:sz w:val="21"/>
          <w:szCs w:val="21"/>
        </w:rPr>
        <w:t>附件2 签约合同价清单</w:t>
      </w:r>
    </w:p>
    <w:tbl>
      <w:tblPr>
        <w:tblStyle w:val="46"/>
        <w:tblpPr w:leftFromText="180" w:rightFromText="180" w:vertAnchor="text" w:horzAnchor="page" w:tblpX="1590" w:tblpY="591"/>
        <w:tblOverlap w:val="never"/>
        <w:tblW w:w="88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526"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7367" w:type="dxa"/>
            <w:vAlign w:val="center"/>
          </w:tcPr>
          <w:p>
            <w:pPr>
              <w:adjustRightInd w:val="0"/>
              <w:snapToGrid w:val="0"/>
              <w:spacing w:line="360" w:lineRule="auto"/>
              <w:jc w:val="lef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1526"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服务期限</w:t>
            </w:r>
          </w:p>
        </w:tc>
        <w:tc>
          <w:tcPr>
            <w:tcW w:w="7367" w:type="dxa"/>
            <w:vAlign w:val="center"/>
          </w:tcPr>
          <w:p>
            <w:pPr>
              <w:adjustRightInd w:val="0"/>
              <w:snapToGrid w:val="0"/>
              <w:spacing w:line="360" w:lineRule="auto"/>
              <w:jc w:val="lef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526" w:type="dxa"/>
            <w:vAlign w:val="center"/>
          </w:tcPr>
          <w:p>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签约合同价</w:t>
            </w:r>
          </w:p>
        </w:tc>
        <w:tc>
          <w:tcPr>
            <w:tcW w:w="7367" w:type="dxa"/>
            <w:vAlign w:val="center"/>
          </w:tcPr>
          <w:p>
            <w:pPr>
              <w:adjustRightInd w:val="0"/>
              <w:snapToGrid w:val="0"/>
              <w:spacing w:line="360" w:lineRule="auto"/>
              <w:jc w:val="left"/>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526" w:type="dxa"/>
            <w:vAlign w:val="center"/>
          </w:tcPr>
          <w:p>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c>
          <w:tcPr>
            <w:tcW w:w="7367" w:type="dxa"/>
            <w:vAlign w:val="center"/>
          </w:tcPr>
          <w:p>
            <w:pPr>
              <w:adjustRightInd w:val="0"/>
              <w:snapToGrid w:val="0"/>
              <w:spacing w:line="360" w:lineRule="auto"/>
              <w:jc w:val="left"/>
              <w:rPr>
                <w:rFonts w:hint="eastAsia" w:ascii="宋体" w:hAnsi="宋体" w:eastAsia="宋体" w:cs="宋体"/>
                <w:bCs/>
                <w:sz w:val="21"/>
                <w:szCs w:val="21"/>
              </w:rPr>
            </w:pPr>
          </w:p>
        </w:tc>
      </w:tr>
    </w:tbl>
    <w:p>
      <w:pPr>
        <w:pStyle w:val="4"/>
        <w:rPr>
          <w:rFonts w:hint="eastAsia" w:ascii="宋体" w:hAnsi="宋体" w:eastAsia="宋体" w:cs="宋体"/>
          <w:sz w:val="21"/>
          <w:szCs w:val="21"/>
        </w:rPr>
      </w:pPr>
    </w:p>
    <w:p>
      <w:pPr>
        <w:tabs>
          <w:tab w:val="left" w:pos="540"/>
        </w:tabs>
        <w:spacing w:line="360" w:lineRule="auto"/>
        <w:outlineLvl w:val="1"/>
        <w:rPr>
          <w:rFonts w:hint="eastAsia" w:ascii="宋体" w:hAnsi="宋体" w:eastAsia="宋体" w:cs="宋体"/>
          <w:b/>
          <w:bCs/>
          <w:sz w:val="21"/>
          <w:szCs w:val="21"/>
        </w:rPr>
      </w:pPr>
    </w:p>
    <w:p>
      <w:pPr>
        <w:tabs>
          <w:tab w:val="left" w:pos="540"/>
        </w:tabs>
        <w:spacing w:line="360" w:lineRule="auto"/>
        <w:outlineLvl w:val="1"/>
        <w:rPr>
          <w:rFonts w:hint="eastAsia" w:ascii="宋体" w:hAnsi="宋体" w:eastAsia="宋体" w:cs="宋体"/>
          <w:b/>
          <w:bCs/>
          <w:sz w:val="21"/>
          <w:szCs w:val="21"/>
        </w:rPr>
      </w:pPr>
      <w:r>
        <w:rPr>
          <w:rFonts w:hint="eastAsia" w:ascii="宋体" w:hAnsi="宋体" w:eastAsia="宋体" w:cs="宋体"/>
          <w:b/>
          <w:bCs/>
          <w:sz w:val="21"/>
          <w:szCs w:val="21"/>
        </w:rPr>
        <w:t>附件3 澄清与答疑文件</w:t>
      </w:r>
    </w:p>
    <w:p>
      <w:pPr>
        <w:pStyle w:val="4"/>
        <w:rPr>
          <w:rFonts w:hint="eastAsia" w:ascii="宋体" w:hAnsi="宋体" w:eastAsia="宋体" w:cs="宋体"/>
          <w:bCs w:val="0"/>
          <w:sz w:val="21"/>
          <w:szCs w:val="21"/>
        </w:rPr>
      </w:pPr>
    </w:p>
    <w:p>
      <w:pPr>
        <w:rPr>
          <w:rFonts w:hint="eastAsia" w:ascii="宋体" w:hAnsi="宋体" w:eastAsia="宋体" w:cs="宋体"/>
          <w:b/>
          <w:bCs/>
          <w:sz w:val="21"/>
          <w:szCs w:val="21"/>
        </w:rPr>
      </w:pPr>
    </w:p>
    <w:p>
      <w:pPr>
        <w:pStyle w:val="4"/>
        <w:rPr>
          <w:rFonts w:hint="eastAsia" w:ascii="宋体" w:hAnsi="宋体" w:eastAsia="宋体" w:cs="宋体"/>
          <w:bCs w:val="0"/>
          <w:sz w:val="21"/>
          <w:szCs w:val="21"/>
        </w:rPr>
      </w:pPr>
    </w:p>
    <w:p>
      <w:pPr>
        <w:rPr>
          <w:rFonts w:hint="eastAsia" w:ascii="宋体" w:hAnsi="宋体" w:eastAsia="宋体" w:cs="宋体"/>
          <w:b/>
          <w:bCs/>
          <w:sz w:val="21"/>
          <w:szCs w:val="21"/>
        </w:rPr>
      </w:pPr>
    </w:p>
    <w:p>
      <w:pPr>
        <w:pStyle w:val="4"/>
        <w:rPr>
          <w:rFonts w:hint="eastAsia" w:ascii="宋体" w:hAnsi="宋体" w:eastAsia="宋体" w:cs="宋体"/>
          <w:bCs w:val="0"/>
          <w:sz w:val="21"/>
          <w:szCs w:val="21"/>
        </w:rPr>
      </w:pPr>
    </w:p>
    <w:p>
      <w:pPr>
        <w:pStyle w:val="4"/>
        <w:rPr>
          <w:rFonts w:hint="eastAsia" w:ascii="宋体" w:hAnsi="宋体" w:eastAsia="宋体" w:cs="宋体"/>
          <w:sz w:val="21"/>
          <w:szCs w:val="21"/>
        </w:rPr>
      </w:pPr>
      <w:r>
        <w:rPr>
          <w:rFonts w:hint="eastAsia" w:ascii="宋体" w:hAnsi="宋体" w:eastAsia="宋体" w:cs="宋体"/>
          <w:bCs w:val="0"/>
          <w:sz w:val="21"/>
          <w:szCs w:val="21"/>
        </w:rPr>
        <w:t>附件4  项目关键岗位人员表（如有）</w:t>
      </w:r>
    </w:p>
    <w:p>
      <w:pPr>
        <w:adjustRightInd w:val="0"/>
        <w:snapToGrid w:val="0"/>
        <w:spacing w:line="360" w:lineRule="auto"/>
        <w:jc w:val="center"/>
        <w:outlineLvl w:val="0"/>
        <w:rPr>
          <w:rFonts w:hint="eastAsia" w:ascii="宋体" w:hAnsi="宋体" w:eastAsia="宋体" w:cs="宋体"/>
          <w:b/>
          <w:snapToGrid w:val="0"/>
          <w:sz w:val="21"/>
          <w:szCs w:val="21"/>
        </w:rPr>
      </w:pPr>
      <w:r>
        <w:rPr>
          <w:rFonts w:hint="eastAsia" w:ascii="宋体" w:hAnsi="宋体" w:eastAsia="宋体" w:cs="宋体"/>
          <w:sz w:val="21"/>
          <w:szCs w:val="21"/>
        </w:rPr>
        <w:br w:type="page"/>
      </w:r>
      <w:r>
        <w:rPr>
          <w:rFonts w:hint="eastAsia" w:ascii="宋体" w:hAnsi="宋体" w:eastAsia="宋体" w:cs="宋体"/>
          <w:b/>
          <w:snapToGrid w:val="0"/>
          <w:sz w:val="21"/>
          <w:szCs w:val="21"/>
        </w:rPr>
        <w:t>合同附录</w:t>
      </w:r>
      <w:bookmarkEnd w:id="114"/>
    </w:p>
    <w:p>
      <w:pPr>
        <w:adjustRightInd w:val="0"/>
        <w:snapToGrid w:val="0"/>
        <w:spacing w:line="360" w:lineRule="auto"/>
        <w:outlineLvl w:val="1"/>
        <w:rPr>
          <w:rFonts w:hint="eastAsia" w:ascii="宋体" w:hAnsi="宋体" w:eastAsia="宋体" w:cs="宋体"/>
          <w:b/>
          <w:snapToGrid w:val="0"/>
          <w:sz w:val="21"/>
          <w:szCs w:val="21"/>
        </w:rPr>
      </w:pPr>
      <w:bookmarkStart w:id="115" w:name="_Toc454978189"/>
      <w:r>
        <w:rPr>
          <w:rFonts w:hint="eastAsia" w:ascii="宋体" w:hAnsi="宋体" w:eastAsia="宋体" w:cs="宋体"/>
          <w:b/>
          <w:snapToGrid w:val="0"/>
          <w:sz w:val="21"/>
          <w:szCs w:val="21"/>
        </w:rPr>
        <w:t>附录一 授权委托书（格式）</w:t>
      </w:r>
      <w:bookmarkEnd w:id="115"/>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授权委托书</w:t>
      </w:r>
    </w:p>
    <w:p>
      <w:pPr>
        <w:adjustRightInd w:val="0"/>
        <w:snapToGrid w:val="0"/>
        <w:spacing w:line="360" w:lineRule="auto"/>
        <w:rPr>
          <w:rFonts w:hint="eastAsia" w:ascii="宋体" w:hAnsi="宋体" w:eastAsia="宋体" w:cs="宋体"/>
          <w:b/>
          <w:sz w:val="21"/>
          <w:szCs w:val="21"/>
        </w:rPr>
      </w:pP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（国家名称）的</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（被授权人的姓名、职务）为本公司的合法代表，就合同编号</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合同》（以下简称“合同”）的签约，并以本公司名义处理一切与之有关的事务。</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授权代表（被授权人，即授权代理人）签字：</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乙方全称（公章）：</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乙方地址：</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p>
    <w:p>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附：</w:t>
      </w:r>
      <w:r>
        <w:rPr>
          <w:rFonts w:hint="eastAsia" w:ascii="宋体" w:hAnsi="宋体" w:eastAsia="宋体" w:cs="宋体"/>
          <w:sz w:val="21"/>
          <w:szCs w:val="21"/>
        </w:rPr>
        <w:t>授权人的法定代表人证明材料复印件（加盖单位公章）、授权人和被授权人的身份证彩色影印件（加盖单位公章）</w:t>
      </w:r>
    </w:p>
    <w:p>
      <w:pPr>
        <w:adjustRightInd w:val="0"/>
        <w:snapToGrid w:val="0"/>
        <w:spacing w:line="360" w:lineRule="auto"/>
        <w:outlineLvl w:val="1"/>
        <w:rPr>
          <w:rFonts w:hint="eastAsia" w:ascii="宋体" w:hAnsi="宋体" w:eastAsia="宋体" w:cs="宋体"/>
          <w:sz w:val="21"/>
          <w:szCs w:val="21"/>
        </w:rPr>
      </w:pPr>
    </w:p>
    <w:p>
      <w:pPr>
        <w:adjustRightInd w:val="0"/>
        <w:snapToGrid w:val="0"/>
        <w:spacing w:line="360" w:lineRule="auto"/>
        <w:rPr>
          <w:rFonts w:hint="eastAsia" w:ascii="宋体" w:hAnsi="宋体" w:eastAsia="宋体" w:cs="宋体"/>
          <w:sz w:val="21"/>
          <w:szCs w:val="21"/>
        </w:rPr>
      </w:pPr>
    </w:p>
    <w:p>
      <w:pPr>
        <w:tabs>
          <w:tab w:val="left" w:pos="540"/>
        </w:tabs>
        <w:adjustRightInd w:val="0"/>
        <w:snapToGrid w:val="0"/>
        <w:spacing w:line="360" w:lineRule="auto"/>
        <w:outlineLvl w:val="1"/>
        <w:rPr>
          <w:rFonts w:hint="eastAsia" w:ascii="宋体" w:hAnsi="宋体" w:eastAsia="宋体" w:cs="宋体"/>
          <w:b/>
          <w:sz w:val="21"/>
          <w:szCs w:val="21"/>
        </w:rPr>
      </w:pPr>
    </w:p>
    <w:p>
      <w:pPr>
        <w:tabs>
          <w:tab w:val="left" w:pos="540"/>
        </w:tabs>
        <w:adjustRightInd w:val="0"/>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16" w:name="_Toc22020_WPSOffice_Level2"/>
      <w:bookmarkStart w:id="117" w:name="_Toc24929"/>
      <w:r>
        <w:rPr>
          <w:rFonts w:hint="eastAsia" w:ascii="宋体" w:hAnsi="宋体" w:eastAsia="宋体" w:cs="宋体"/>
          <w:b/>
          <w:sz w:val="21"/>
          <w:szCs w:val="21"/>
        </w:rPr>
        <w:t>附录2 银行履约保函（格式）</w:t>
      </w:r>
      <w:bookmarkEnd w:id="116"/>
      <w:bookmarkEnd w:id="117"/>
    </w:p>
    <w:p>
      <w:pPr>
        <w:adjustRightInd w:val="0"/>
        <w:snapToGrid w:val="0"/>
        <w:spacing w:line="360" w:lineRule="auto"/>
        <w:jc w:val="center"/>
        <w:rPr>
          <w:rFonts w:hint="eastAsia" w:ascii="宋体" w:hAnsi="宋体" w:eastAsia="宋体" w:cs="宋体"/>
          <w:b/>
          <w:sz w:val="21"/>
          <w:szCs w:val="21"/>
        </w:rPr>
      </w:pP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adjustRightInd w:val="0"/>
        <w:snapToGrid w:val="0"/>
        <w:spacing w:line="360" w:lineRule="auto"/>
        <w:ind w:right="480"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adjustRightInd w:val="0"/>
        <w:snapToGrid w:val="0"/>
        <w:spacing w:line="360" w:lineRule="auto"/>
        <w:ind w:right="480"/>
        <w:rPr>
          <w:rFonts w:hint="eastAsia" w:ascii="宋体" w:hAnsi="宋体" w:eastAsia="宋体" w:cs="宋体"/>
          <w:sz w:val="21"/>
          <w:szCs w:val="21"/>
          <w:u w:val="single"/>
        </w:rPr>
      </w:pPr>
      <w:r>
        <w:rPr>
          <w:rFonts w:hint="eastAsia" w:ascii="宋体" w:hAnsi="宋体" w:eastAsia="宋体" w:cs="宋体"/>
          <w:sz w:val="21"/>
          <w:szCs w:val="21"/>
        </w:rPr>
        <w:t xml:space="preserve">                                                   保函编号：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（甲方名称）：</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鉴于 </w:t>
      </w:r>
      <w:r>
        <w:rPr>
          <w:rFonts w:hint="eastAsia" w:ascii="宋体" w:hAnsi="宋体" w:eastAsia="宋体" w:cs="宋体"/>
          <w:sz w:val="21"/>
          <w:szCs w:val="21"/>
          <w:u w:val="single"/>
        </w:rPr>
        <w:t xml:space="preserve">          </w:t>
      </w:r>
      <w:r>
        <w:rPr>
          <w:rFonts w:hint="eastAsia" w:ascii="宋体" w:hAnsi="宋体" w:eastAsia="宋体" w:cs="宋体"/>
          <w:sz w:val="21"/>
          <w:szCs w:val="21"/>
        </w:rPr>
        <w:t>（甲方名称，以下简称“你方”）与</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2. 担保有效期自本保函生效之日起至合同约定的服务期满之日止。</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6.本保函自我方法定代表人或授权代理人签字并加盖公章之日起生效。</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担保人：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ascii="宋体" w:hAnsi="宋体" w:cs="仿宋_GB2312"/>
          <w:sz w:val="24"/>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3"/>
        <w:keepNext w:val="0"/>
        <w:spacing w:line="360" w:lineRule="auto"/>
        <w:ind w:firstLine="643" w:firstLineChars="200"/>
        <w:rPr>
          <w:rFonts w:hint="eastAsia" w:ascii="宋体" w:hAnsi="宋体" w:cs="宋体"/>
          <w:bCs w:val="0"/>
          <w:sz w:val="32"/>
          <w:szCs w:val="32"/>
        </w:rPr>
        <w:sectPr>
          <w:pgSz w:w="12240" w:h="15840"/>
          <w:pgMar w:top="1440" w:right="1800" w:bottom="1440" w:left="1800" w:header="720" w:footer="720" w:gutter="0"/>
          <w:cols w:space="720" w:num="1"/>
          <w:titlePg/>
          <w:docGrid w:type="lines" w:linePitch="323" w:charSpace="0"/>
        </w:sectPr>
      </w:pPr>
      <w:bookmarkStart w:id="118" w:name="_Toc27097"/>
    </w:p>
    <w:p>
      <w:pPr>
        <w:pStyle w:val="3"/>
        <w:keepNext w:val="0"/>
        <w:spacing w:line="360" w:lineRule="auto"/>
        <w:ind w:firstLine="643" w:firstLineChars="200"/>
        <w:rPr>
          <w:rFonts w:ascii="宋体" w:hAnsi="宋体" w:cs="宋体"/>
          <w:bCs w:val="0"/>
          <w:sz w:val="32"/>
          <w:szCs w:val="32"/>
        </w:rPr>
      </w:pPr>
      <w:r>
        <w:rPr>
          <w:rFonts w:hint="eastAsia" w:ascii="宋体" w:hAnsi="宋体" w:cs="宋体"/>
          <w:bCs w:val="0"/>
          <w:sz w:val="32"/>
          <w:szCs w:val="32"/>
        </w:rPr>
        <w:t>第六章  响应文件组成</w:t>
      </w:r>
      <w:bookmarkEnd w:id="118"/>
    </w:p>
    <w:p>
      <w:pPr>
        <w:spacing w:line="360" w:lineRule="auto"/>
        <w:ind w:firstLine="422" w:firstLineChars="200"/>
        <w:jc w:val="center"/>
        <w:rPr>
          <w:rFonts w:ascii="宋体" w:hAnsi="宋体"/>
          <w:b/>
        </w:rPr>
      </w:pPr>
    </w:p>
    <w:p>
      <w:pPr>
        <w:spacing w:line="360" w:lineRule="auto"/>
        <w:ind w:firstLine="420" w:firstLineChars="200"/>
        <w:jc w:val="center"/>
        <w:rPr>
          <w:rFonts w:ascii="宋体" w:hAnsi="宋体"/>
          <w:b/>
        </w:rPr>
      </w:pPr>
      <w:r>
        <w:pict>
          <v:shape id="Quad Arrow 2" o:spid="_x0000_s1041" o:spt="202" type="#_x0000_t202" style="position:absolute;left:0pt;margin-left:333pt;margin-top:0pt;height:33pt;width:87.75pt;z-index:251655168;mso-width-relative:page;mso-height-relative:page;" o:preferrelative="t" coordsize="21600,2160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ascii="宋体" w:hAnsi="宋体" w:cs="Courier New"/>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spacing w:line="360" w:lineRule="auto"/>
        <w:jc w:val="center"/>
        <w:rPr>
          <w:rFonts w:ascii="宋体" w:hAnsi="宋体"/>
          <w:b/>
          <w:bCs/>
          <w:sz w:val="52"/>
          <w:szCs w:val="52"/>
        </w:rPr>
      </w:pPr>
      <w:r>
        <w:rPr>
          <w:rFonts w:hint="eastAsia" w:ascii="宋体" w:hAnsi="宋体"/>
          <w:b/>
          <w:bCs/>
          <w:sz w:val="52"/>
          <w:szCs w:val="52"/>
        </w:rPr>
        <w:t>响应文件</w:t>
      </w:r>
    </w:p>
    <w:p>
      <w:pPr>
        <w:pStyle w:val="2"/>
        <w:ind w:left="0" w:leftChars="0"/>
        <w:rPr>
          <w:rFonts w:ascii="宋体" w:hAnsi="宋体"/>
          <w:b/>
          <w:bCs/>
          <w:sz w:val="52"/>
          <w:szCs w:val="52"/>
        </w:rPr>
      </w:pPr>
    </w:p>
    <w:p/>
    <w:p>
      <w:pPr>
        <w:pStyle w:val="2"/>
        <w:ind w:left="0" w:leftChars="0"/>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
        <w:spacing w:line="360" w:lineRule="auto"/>
        <w:ind w:left="0" w:leftChars="0"/>
        <w:rPr>
          <w:rFonts w:ascii="宋体"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宋体" w:hAnsi="宋体"/>
          <w:b/>
          <w:bCs/>
          <w:sz w:val="44"/>
          <w:szCs w:val="44"/>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p>
    <w:p>
      <w:pPr>
        <w:spacing w:line="360" w:lineRule="auto"/>
        <w:ind w:firstLine="883" w:firstLineChars="200"/>
        <w:jc w:val="center"/>
        <w:rPr>
          <w:rFonts w:ascii="宋体" w:hAnsi="宋体"/>
          <w:b/>
          <w:sz w:val="44"/>
          <w:szCs w:val="44"/>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bookmarkStart w:id="119" w:name="_Toc27212"/>
    </w:p>
    <w:p>
      <w:pPr>
        <w:adjustRightInd w:val="0"/>
        <w:snapToGrid w:val="0"/>
        <w:spacing w:line="360" w:lineRule="auto"/>
        <w:ind w:firstLine="420" w:firstLineChars="200"/>
        <w:outlineLvl w:val="0"/>
        <w:rPr>
          <w:rFonts w:ascii="宋体" w:hAnsi="宋体"/>
          <w:szCs w:val="21"/>
        </w:rPr>
      </w:pPr>
      <w:r>
        <w:rPr>
          <w:rFonts w:hint="eastAsia" w:ascii="宋体" w:hAnsi="宋体"/>
          <w:szCs w:val="21"/>
        </w:rPr>
        <w:t>一、谈判承诺书</w:t>
      </w:r>
      <w:bookmarkEnd w:id="119"/>
    </w:p>
    <w:p>
      <w:pPr>
        <w:adjustRightInd w:val="0"/>
        <w:snapToGrid w:val="0"/>
        <w:spacing w:line="360" w:lineRule="auto"/>
        <w:ind w:firstLine="420" w:firstLineChars="200"/>
        <w:jc w:val="left"/>
        <w:outlineLvl w:val="0"/>
        <w:rPr>
          <w:rFonts w:ascii="宋体" w:hAnsi="宋体"/>
          <w:szCs w:val="21"/>
        </w:rPr>
      </w:pPr>
      <w:bookmarkStart w:id="120" w:name="_Toc31855"/>
      <w:r>
        <w:rPr>
          <w:rFonts w:hint="eastAsia" w:ascii="宋体" w:hAnsi="宋体"/>
          <w:szCs w:val="21"/>
        </w:rPr>
        <w:t>二、法定代表人身份证明书</w:t>
      </w:r>
      <w:bookmarkEnd w:id="120"/>
    </w:p>
    <w:p>
      <w:pPr>
        <w:adjustRightInd w:val="0"/>
        <w:snapToGrid w:val="0"/>
        <w:spacing w:line="360" w:lineRule="auto"/>
        <w:ind w:firstLine="420" w:firstLineChars="200"/>
        <w:jc w:val="left"/>
        <w:outlineLvl w:val="0"/>
        <w:rPr>
          <w:rFonts w:ascii="宋体" w:hAnsi="宋体"/>
          <w:szCs w:val="21"/>
        </w:rPr>
      </w:pPr>
      <w:bookmarkStart w:id="121" w:name="_Toc26247"/>
      <w:r>
        <w:rPr>
          <w:rFonts w:hint="eastAsia" w:ascii="宋体" w:hAnsi="宋体"/>
          <w:szCs w:val="21"/>
        </w:rPr>
        <w:t>三、授权委托书</w:t>
      </w:r>
      <w:bookmarkEnd w:id="121"/>
    </w:p>
    <w:p>
      <w:pPr>
        <w:adjustRightInd w:val="0"/>
        <w:snapToGrid w:val="0"/>
        <w:spacing w:line="360" w:lineRule="auto"/>
        <w:ind w:firstLine="420" w:firstLineChars="200"/>
        <w:jc w:val="left"/>
        <w:outlineLvl w:val="0"/>
        <w:rPr>
          <w:rFonts w:ascii="宋体" w:hAnsi="宋体"/>
          <w:szCs w:val="21"/>
        </w:rPr>
      </w:pPr>
      <w:bookmarkStart w:id="122" w:name="_Toc30184"/>
      <w:r>
        <w:rPr>
          <w:rFonts w:hint="eastAsia" w:ascii="宋体" w:hAnsi="宋体"/>
          <w:szCs w:val="21"/>
        </w:rPr>
        <w:t>四、</w:t>
      </w:r>
      <w:r>
        <w:rPr>
          <w:rFonts w:hint="eastAsia" w:hAnsi="宋体"/>
          <w:szCs w:val="21"/>
        </w:rPr>
        <w:t>谈判单位资格条件证明文件</w:t>
      </w:r>
      <w:bookmarkEnd w:id="122"/>
    </w:p>
    <w:p>
      <w:pPr>
        <w:adjustRightInd w:val="0"/>
        <w:snapToGrid w:val="0"/>
        <w:spacing w:line="360" w:lineRule="auto"/>
        <w:ind w:firstLine="420" w:firstLineChars="200"/>
        <w:outlineLvl w:val="0"/>
        <w:rPr>
          <w:rFonts w:ascii="宋体" w:hAnsi="宋体"/>
          <w:szCs w:val="21"/>
        </w:rPr>
      </w:pPr>
      <w:bookmarkStart w:id="123" w:name="_Toc4407"/>
      <w:r>
        <w:rPr>
          <w:rFonts w:hint="eastAsia" w:ascii="宋体" w:hAnsi="宋体"/>
          <w:szCs w:val="21"/>
        </w:rPr>
        <w:t>五、</w:t>
      </w:r>
      <w:r>
        <w:rPr>
          <w:rFonts w:hint="eastAsia" w:hAnsi="宋体"/>
          <w:bCs/>
          <w:szCs w:val="21"/>
        </w:rPr>
        <w:t>服务方案</w:t>
      </w:r>
      <w:bookmarkEnd w:id="123"/>
    </w:p>
    <w:p>
      <w:pPr>
        <w:adjustRightInd w:val="0"/>
        <w:snapToGrid w:val="0"/>
        <w:spacing w:line="360" w:lineRule="auto"/>
        <w:ind w:firstLine="420" w:firstLineChars="200"/>
        <w:jc w:val="left"/>
        <w:outlineLvl w:val="0"/>
        <w:rPr>
          <w:rFonts w:ascii="宋体" w:hAnsi="宋体"/>
          <w:szCs w:val="21"/>
        </w:rPr>
      </w:pPr>
      <w:bookmarkStart w:id="124" w:name="_Toc2978"/>
      <w:r>
        <w:rPr>
          <w:rFonts w:hint="eastAsia" w:ascii="宋体" w:hAnsi="宋体"/>
          <w:szCs w:val="21"/>
        </w:rPr>
        <w:t>六、报价一览表</w:t>
      </w:r>
      <w:bookmarkEnd w:id="124"/>
    </w:p>
    <w:p>
      <w:pPr>
        <w:adjustRightInd w:val="0"/>
        <w:snapToGrid w:val="0"/>
        <w:spacing w:line="360" w:lineRule="auto"/>
        <w:ind w:firstLine="420" w:firstLineChars="200"/>
        <w:jc w:val="left"/>
        <w:outlineLvl w:val="0"/>
        <w:rPr>
          <w:rFonts w:ascii="宋体" w:hAnsi="宋体"/>
          <w:szCs w:val="21"/>
        </w:rPr>
      </w:pPr>
      <w:r>
        <w:rPr>
          <w:rFonts w:hint="eastAsia" w:ascii="宋体" w:hAnsi="宋体"/>
          <w:szCs w:val="21"/>
        </w:rPr>
        <w:t>七、其他资料（如有）</w:t>
      </w:r>
    </w:p>
    <w:p>
      <w:pPr>
        <w:spacing w:line="360" w:lineRule="auto"/>
        <w:ind w:firstLine="480" w:firstLineChars="200"/>
        <w:jc w:val="center"/>
        <w:rPr>
          <w:rFonts w:ascii="黑体" w:hAnsi="黑体" w:eastAsia="黑体"/>
          <w:b/>
          <w:sz w:val="32"/>
          <w:szCs w:val="32"/>
        </w:rPr>
      </w:pPr>
      <w:r>
        <w:rPr>
          <w:rFonts w:hint="eastAsia" w:ascii="宋体" w:hAnsi="宋体"/>
          <w:sz w:val="24"/>
        </w:rPr>
        <w:br w:type="page"/>
      </w:r>
      <w:r>
        <w:rPr>
          <w:rFonts w:hint="eastAsia" w:ascii="宋体" w:hAnsi="宋体" w:cs="宋体"/>
          <w:b/>
          <w:sz w:val="32"/>
          <w:szCs w:val="32"/>
        </w:rPr>
        <w:t>一、谈判承诺书</w:t>
      </w:r>
    </w:p>
    <w:p>
      <w:pPr>
        <w:adjustRightInd w:val="0"/>
        <w:snapToGrid w:val="0"/>
        <w:spacing w:line="360" w:lineRule="auto"/>
        <w:ind w:firstLine="480" w:firstLineChars="200"/>
        <w:rPr>
          <w:rFonts w:ascii="仿宋_GB2312" w:hAnsi="宋体" w:eastAsia="仿宋_GB2312"/>
          <w:sz w:val="24"/>
        </w:rPr>
      </w:pPr>
    </w:p>
    <w:p>
      <w:pPr>
        <w:adjustRightInd w:val="0"/>
        <w:snapToGrid w:val="0"/>
        <w:spacing w:line="360" w:lineRule="auto"/>
        <w:ind w:firstLine="420" w:firstLineChars="200"/>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日历天(响应文件有效期)遵守本响应文件中的承诺且在此期限期满之前均具有法律约束力。</w:t>
      </w:r>
    </w:p>
    <w:p>
      <w:pPr>
        <w:pStyle w:val="25"/>
        <w:adjustRightInd w:val="0"/>
        <w:snapToGrid w:val="0"/>
        <w:spacing w:line="360" w:lineRule="auto"/>
        <w:ind w:left="210" w:leftChars="100" w:firstLine="210" w:firstLineChars="1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w:t>
      </w:r>
      <w:r>
        <w:rPr>
          <w:rFonts w:hint="eastAsia" w:hAnsi="宋体"/>
        </w:rPr>
        <w:t>份，并保证响应文件提供的数据和材料是真实、准确的，且无低于成本的恶意报价行为。否则，愿承担由此引起的一切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spacing w:line="360" w:lineRule="auto"/>
        <w:ind w:firstLine="420" w:firstLineChars="200"/>
        <w:rPr>
          <w:rFonts w:hAnsi="宋体"/>
        </w:rPr>
      </w:pPr>
      <w:r>
        <w:rPr>
          <w:rFonts w:hint="eastAsia"/>
        </w:rPr>
        <w:t>十一、如有违反本承诺书内容的行为，愿意承担由此产生的法律责任及后果。</w:t>
      </w:r>
    </w:p>
    <w:p>
      <w:pPr>
        <w:adjustRightInd w:val="0"/>
        <w:snapToGrid w:val="0"/>
        <w:spacing w:line="360" w:lineRule="auto"/>
        <w:ind w:firstLine="420" w:firstLineChars="200"/>
        <w:rPr>
          <w:rFonts w:ascii="宋体" w:hAnsi="宋体"/>
          <w:bCs/>
          <w:szCs w:val="21"/>
        </w:rPr>
      </w:pPr>
    </w:p>
    <w:p>
      <w:pPr>
        <w:pStyle w:val="25"/>
        <w:adjustRightInd w:val="0"/>
        <w:snapToGrid w:val="0"/>
        <w:spacing w:line="360" w:lineRule="auto"/>
        <w:ind w:firstLine="420" w:firstLineChars="200"/>
        <w:rPr>
          <w:rFonts w:hAnsi="宋体"/>
        </w:rPr>
      </w:pPr>
    </w:p>
    <w:p>
      <w:pPr>
        <w:spacing w:line="360" w:lineRule="auto"/>
        <w:ind w:firstLine="420" w:firstLineChars="200"/>
        <w:rPr>
          <w:u w:val="single"/>
        </w:rPr>
      </w:pPr>
      <w:r>
        <w:rPr>
          <w:rFonts w:hint="eastAsia"/>
        </w:rPr>
        <w:t>谈判单位名称：</w:t>
      </w:r>
      <w:r>
        <w:rPr>
          <w:rFonts w:hint="eastAsia"/>
          <w:u w:val="single"/>
        </w:rPr>
        <w:t xml:space="preserve">    （盖单位章）    </w:t>
      </w:r>
    </w:p>
    <w:p>
      <w:pPr>
        <w:spacing w:line="360" w:lineRule="auto"/>
        <w:ind w:firstLine="420" w:firstLineChars="200"/>
        <w:rPr>
          <w:rFonts w:ascii="宋体" w:hAnsi="宋体"/>
          <w:szCs w:val="21"/>
        </w:rPr>
      </w:pPr>
      <w:r>
        <w:rPr>
          <w:rFonts w:hint="eastAsia" w:ascii="宋体" w:hAnsi="宋体"/>
          <w:szCs w:val="21"/>
        </w:rPr>
        <w:t>法定</w:t>
      </w:r>
      <w:r>
        <w:rPr>
          <w:rFonts w:hint="eastAsia"/>
        </w:rPr>
        <w:t>代表</w:t>
      </w:r>
      <w:r>
        <w:rPr>
          <w:rFonts w:hint="eastAsia" w:ascii="宋体" w:hAnsi="宋体"/>
          <w:szCs w:val="21"/>
        </w:rPr>
        <w:t>人(签字或盖章)：</w:t>
      </w:r>
      <w:r>
        <w:rPr>
          <w:rFonts w:hint="eastAsia" w:ascii="宋体" w:hAnsi="宋体"/>
          <w:szCs w:val="21"/>
          <w:u w:val="single"/>
        </w:rPr>
        <w:t xml:space="preserve">               </w:t>
      </w:r>
    </w:p>
    <w:p>
      <w:pPr>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ascii="宋体" w:hAnsi="宋体" w:cs="宋体"/>
          <w:b/>
          <w:sz w:val="32"/>
          <w:szCs w:val="32"/>
        </w:rPr>
      </w:pPr>
      <w:r>
        <w:rPr>
          <w:rFonts w:hint="eastAsia" w:ascii="宋体" w:hAnsi="宋体" w:cs="宋体"/>
          <w:b/>
          <w:sz w:val="32"/>
          <w:szCs w:val="32"/>
        </w:rPr>
        <w:t>二、法定代表人身份证明书</w:t>
      </w:r>
    </w:p>
    <w:p>
      <w:pPr>
        <w:snapToGrid w:val="0"/>
        <w:spacing w:line="360" w:lineRule="auto"/>
        <w:ind w:firstLine="420" w:firstLineChars="200"/>
        <w:rPr>
          <w:rFonts w:ascii="宋体" w:hAnsi="宋体"/>
          <w:szCs w:val="21"/>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w:pict>
          <v:rect id="Rectangle 7" o:spid="_x0000_s1042" o:spt="1" style="position:absolute;left:0pt;margin-left:222.1pt;margin-top:11.5pt;height:96.15pt;width:185.5pt;z-index:-25165926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Rectangle 6" o:spid="_x0000_s1043" o:spt="1" style="position:absolute;left:0pt;margin-left:-8.8pt;margin-top:11.5pt;height:96.15pt;width:185.5pt;z-index:-251660288;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黑体" w:hAnsi="宋体" w:eastAsia="黑体"/>
          <w:b/>
          <w:sz w:val="32"/>
          <w:szCs w:val="32"/>
        </w:rPr>
      </w:pPr>
      <w:r>
        <w:rPr>
          <w:rFonts w:ascii="黑体" w:hAnsi="华文中宋" w:eastAsia="黑体"/>
          <w:bCs/>
          <w:sz w:val="24"/>
        </w:rPr>
        <w:br w:type="page"/>
      </w:r>
      <w:r>
        <w:rPr>
          <w:rFonts w:hint="eastAsia" w:ascii="宋体" w:hAnsi="宋体" w:cs="宋体"/>
          <w:b/>
          <w:sz w:val="32"/>
          <w:szCs w:val="32"/>
        </w:rPr>
        <w:t>三、授权委托书</w:t>
      </w:r>
    </w:p>
    <w:p>
      <w:pPr>
        <w:adjustRightInd w:val="0"/>
        <w:snapToGrid w:val="0"/>
        <w:spacing w:line="360" w:lineRule="auto"/>
        <w:ind w:firstLine="562" w:firstLineChars="200"/>
        <w:jc w:val="center"/>
        <w:rPr>
          <w:rFonts w:ascii="黑体" w:hAnsi="华文中宋" w:eastAsia="黑体"/>
          <w:b/>
          <w:sz w:val="28"/>
          <w:szCs w:val="28"/>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ind w:firstLine="420" w:firstLineChars="200"/>
        <w:rPr>
          <w:rFonts w:ascii="宋体" w:hAnsi="宋体"/>
          <w:szCs w:val="21"/>
        </w:rPr>
      </w:pPr>
      <w:r>
        <w:rPr>
          <w:rFonts w:hint="eastAsia" w:ascii="宋体" w:hAnsi="宋体"/>
          <w:szCs w:val="21"/>
        </w:rPr>
        <w:t>本授权书于年月日签字生效，特此声明。</w:t>
      </w:r>
    </w:p>
    <w:p>
      <w:pPr>
        <w:adjustRightInd w:val="0"/>
        <w:snapToGrid w:val="0"/>
        <w:spacing w:before="161" w:beforeLines="50" w:line="360" w:lineRule="auto"/>
        <w:ind w:firstLine="420" w:firstLineChars="200"/>
        <w:rPr>
          <w:rFonts w:ascii="宋体" w:hAnsi="宋体"/>
          <w:szCs w:val="21"/>
        </w:rPr>
      </w:pPr>
      <w:r>
        <w:rPr>
          <w:rFonts w:ascii="宋体" w:hAnsi="宋体"/>
          <w:szCs w:val="21"/>
        </w:rPr>
        <w:pict>
          <v:rect id="Rectangle 5" o:spid="_x0000_s1044" o:spt="1" style="position:absolute;left:0pt;margin-left:-9pt;margin-top:1.45pt;height:102.35pt;width:111.1pt;z-index:-251658240;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Rectangle 4" o:spid="_x0000_s1045" o:spt="1" style="position:absolute;left:0pt;margin-left:272.1pt;margin-top:0.3pt;height:100.1pt;width:122.5pt;z-index:-251656192;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w:r>
      <w:r>
        <w:rPr>
          <w:rFonts w:ascii="宋体" w:hAnsi="宋体"/>
          <w:szCs w:val="21"/>
        </w:rPr>
        <w:pict>
          <v:rect id="Rectangle 3" o:spid="_x0000_s1046" o:spt="1" style="position:absolute;left:0pt;flip:x;margin-left:133.45pt;margin-top:1.35pt;height:100.65pt;width:112.85pt;z-index:-251657216;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ind w:firstLine="420" w:firstLineChars="200"/>
        <w:rPr>
          <w:rFonts w:ascii="宋体" w:hAnsi="宋体"/>
          <w:szCs w:val="21"/>
        </w:rPr>
        <w:sectPr>
          <w:pgSz w:w="12240" w:h="15840"/>
          <w:pgMar w:top="1440" w:right="1800" w:bottom="1440" w:left="1800" w:header="720" w:footer="720" w:gutter="0"/>
          <w:cols w:space="720" w:num="1"/>
          <w:titlePg/>
          <w:docGrid w:type="lines" w:linePitch="323"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643" w:firstLineChars="200"/>
        <w:jc w:val="center"/>
        <w:rPr>
          <w:rFonts w:ascii="黑体" w:eastAsia="黑体"/>
          <w:sz w:val="24"/>
        </w:rPr>
      </w:pPr>
      <w:r>
        <w:rPr>
          <w:rFonts w:hint="eastAsia" w:ascii="黑体" w:hAnsi="宋体" w:eastAsia="黑体"/>
          <w:b/>
          <w:sz w:val="32"/>
          <w:szCs w:val="32"/>
        </w:rPr>
        <w:t>四、谈判单位资格证明文件</w:t>
      </w:r>
    </w:p>
    <w:p>
      <w:pPr>
        <w:adjustRightInd w:val="0"/>
        <w:snapToGrid w:val="0"/>
        <w:spacing w:line="360" w:lineRule="auto"/>
        <w:ind w:firstLine="420" w:firstLineChars="200"/>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spacing w:line="360" w:lineRule="auto"/>
        <w:ind w:firstLine="420" w:firstLineChars="200"/>
        <w:rPr>
          <w:rFonts w:hAnsi="宋体"/>
          <w:iCs/>
          <w:highlight w:val="none"/>
        </w:rPr>
      </w:pPr>
      <w:r>
        <w:rPr>
          <w:rFonts w:hint="eastAsia" w:ascii="宋体" w:hAnsi="宋体" w:cs="宋体"/>
          <w:iCs/>
          <w:highlight w:val="none"/>
        </w:rPr>
        <w:t>1.</w:t>
      </w:r>
      <w:r>
        <w:rPr>
          <w:rFonts w:hint="eastAsia" w:ascii="宋体" w:hAnsi="宋体" w:cs="宋体"/>
          <w:highlight w:val="none"/>
        </w:rPr>
        <w:t>谈判单位须为具有独立法人资格、自主经营、独立核算的公司</w:t>
      </w:r>
      <w:r>
        <w:rPr>
          <w:rFonts w:hint="eastAsia" w:hAnsi="宋体"/>
          <w:iCs/>
          <w:highlight w:val="none"/>
        </w:rPr>
        <w:t>。须提供营业执照副本复印件（须加盖谈判单位公章）。</w:t>
      </w:r>
    </w:p>
    <w:p>
      <w:pPr>
        <w:spacing w:line="360" w:lineRule="auto"/>
        <w:ind w:firstLine="420" w:firstLineChars="200"/>
        <w:rPr>
          <w:rFonts w:ascii="宋体" w:hAnsi="宋体"/>
          <w:szCs w:val="21"/>
          <w:highlight w:val="none"/>
        </w:rPr>
      </w:pPr>
      <w:r>
        <w:rPr>
          <w:rFonts w:hint="eastAsia" w:ascii="宋体" w:hAnsi="宋体" w:cs="宋体"/>
          <w:iCs/>
          <w:highlight w:val="none"/>
        </w:rPr>
        <w:t>2.</w:t>
      </w:r>
      <w:r>
        <w:rPr>
          <w:rFonts w:hint="eastAsia"/>
          <w:highlight w:val="none"/>
        </w:rPr>
        <w:t>谈判单位在本项目响应文件递交截止之日前60个月内须具有不少于3个TETRA系统的服务、维保类似项目业绩。</w:t>
      </w:r>
    </w:p>
    <w:p>
      <w:pPr>
        <w:spacing w:line="360" w:lineRule="auto"/>
        <w:ind w:firstLine="420" w:firstLineChars="200"/>
        <w:rPr>
          <w:rFonts w:ascii="宋体" w:hAnsi="宋体"/>
          <w:color w:val="000000"/>
          <w:szCs w:val="21"/>
        </w:rPr>
      </w:pPr>
      <w:r>
        <w:rPr>
          <w:rFonts w:hint="eastAsia" w:ascii="宋体" w:hAnsi="宋体"/>
          <w:color w:val="000000"/>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kern w:val="0"/>
          <w:szCs w:val="21"/>
        </w:rPr>
      </w:pPr>
      <w:r>
        <w:rPr>
          <w:rFonts w:ascii="宋体" w:hAnsi="宋体"/>
          <w:color w:val="000000"/>
          <w:szCs w:val="21"/>
        </w:rPr>
        <w:t>3</w:t>
      </w:r>
      <w:r>
        <w:rPr>
          <w:rFonts w:hint="eastAsia" w:ascii="宋体" w:hAnsi="宋体"/>
          <w:color w:val="000000"/>
          <w:szCs w:val="21"/>
        </w:rPr>
        <w:t>.谈判单位认为与本项目</w:t>
      </w:r>
      <w:r>
        <w:rPr>
          <w:rFonts w:hint="eastAsia" w:ascii="宋体" w:hAnsi="宋体" w:cs="宋体"/>
          <w:kern w:val="0"/>
          <w:szCs w:val="21"/>
        </w:rPr>
        <w:t>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sectPr>
          <w:pgSz w:w="12240" w:h="15840"/>
          <w:pgMar w:top="1440" w:right="1800" w:bottom="1440" w:left="1800" w:header="720" w:footer="720" w:gutter="0"/>
          <w:cols w:space="720" w:num="1"/>
          <w:titlePg/>
          <w:docGrid w:type="lines" w:linePitch="323" w:charSpace="0"/>
        </w:sectPr>
      </w:pPr>
      <w:r>
        <w:rPr>
          <w:rFonts w:hint="eastAsia" w:ascii="宋体" w:hAnsi="宋体"/>
          <w:b/>
          <w:bCs/>
          <w:szCs w:val="21"/>
        </w:rPr>
        <w:t>2.上述证明文件原件须用文件袋单独包装，在响应文件递交的同时一并提交。</w:t>
      </w:r>
    </w:p>
    <w:p>
      <w:pPr>
        <w:adjustRightInd w:val="0"/>
        <w:snapToGrid w:val="0"/>
        <w:spacing w:line="360" w:lineRule="auto"/>
        <w:ind w:firstLine="643" w:firstLineChars="200"/>
        <w:jc w:val="center"/>
        <w:rPr>
          <w:rFonts w:ascii="黑体" w:hAnsi="宋体" w:eastAsia="黑体"/>
          <w:b/>
          <w:bCs/>
          <w:sz w:val="32"/>
          <w:szCs w:val="32"/>
          <w:highlight w:val="none"/>
        </w:rPr>
      </w:pPr>
      <w:r>
        <w:rPr>
          <w:rFonts w:hint="eastAsia" w:ascii="黑体" w:hAnsi="宋体" w:eastAsia="黑体"/>
          <w:b/>
          <w:sz w:val="32"/>
          <w:szCs w:val="32"/>
          <w:highlight w:val="none"/>
        </w:rPr>
        <w:t>五、</w:t>
      </w:r>
      <w:r>
        <w:rPr>
          <w:rFonts w:hint="eastAsia" w:ascii="黑体" w:hAnsi="宋体" w:eastAsia="黑体"/>
          <w:b/>
          <w:bCs/>
          <w:sz w:val="32"/>
          <w:szCs w:val="32"/>
          <w:highlight w:val="none"/>
        </w:rPr>
        <w:t>服务方案</w:t>
      </w:r>
    </w:p>
    <w:p>
      <w:pPr>
        <w:adjustRightInd w:val="0"/>
        <w:snapToGrid w:val="0"/>
        <w:spacing w:line="360" w:lineRule="auto"/>
        <w:ind w:firstLine="643" w:firstLineChars="200"/>
        <w:jc w:val="center"/>
        <w:rPr>
          <w:rFonts w:ascii="黑体" w:hAnsi="宋体" w:eastAsia="黑体"/>
          <w:b/>
          <w:bCs/>
          <w:sz w:val="32"/>
          <w:szCs w:val="32"/>
        </w:rPr>
      </w:pPr>
    </w:p>
    <w:p>
      <w:pPr>
        <w:adjustRightInd w:val="0"/>
        <w:snapToGrid w:val="0"/>
        <w:spacing w:line="360" w:lineRule="auto"/>
        <w:ind w:firstLine="562" w:firstLineChars="200"/>
        <w:jc w:val="center"/>
        <w:rPr>
          <w:rFonts w:ascii="宋体" w:hAnsi="宋体"/>
          <w:b/>
          <w:bCs/>
          <w:sz w:val="28"/>
          <w:szCs w:val="28"/>
        </w:rPr>
      </w:pPr>
    </w:p>
    <w:p>
      <w:pPr>
        <w:adjustRightInd w:val="0"/>
        <w:snapToGrid w:val="0"/>
        <w:spacing w:line="360" w:lineRule="auto"/>
        <w:ind w:firstLine="422" w:firstLineChars="200"/>
        <w:rPr>
          <w:rFonts w:ascii="宋体" w:hAnsi="宋体"/>
          <w:b/>
          <w:szCs w:val="21"/>
        </w:rPr>
      </w:pPr>
      <w:r>
        <w:rPr>
          <w:rFonts w:hint="eastAsia" w:ascii="宋体" w:hAnsi="宋体"/>
          <w:b/>
          <w:szCs w:val="21"/>
        </w:rPr>
        <w:t>1．服务方案说明</w:t>
      </w:r>
    </w:p>
    <w:p>
      <w:pPr>
        <w:adjustRightInd w:val="0"/>
        <w:snapToGrid w:val="0"/>
        <w:spacing w:line="360" w:lineRule="auto"/>
        <w:ind w:firstLine="420" w:firstLineChars="200"/>
        <w:rPr>
          <w:rFonts w:ascii="宋体" w:hAnsi="宋体"/>
          <w:szCs w:val="21"/>
        </w:rPr>
      </w:pPr>
      <w:r>
        <w:rPr>
          <w:rFonts w:hint="eastAsia" w:ascii="宋体" w:hAnsi="宋体"/>
          <w:szCs w:val="21"/>
        </w:rPr>
        <w:t>1.1谈判单位应根据“用户需求书”规定编写服务方案或服务大纲。</w:t>
      </w:r>
    </w:p>
    <w:p>
      <w:pPr>
        <w:adjustRightInd w:val="0"/>
        <w:snapToGrid w:val="0"/>
        <w:spacing w:line="360" w:lineRule="auto"/>
        <w:ind w:firstLine="420" w:firstLineChars="200"/>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0"/>
        <w:rPr>
          <w:rFonts w:ascii="宋体" w:hAnsi="宋体"/>
          <w:bCs/>
          <w:sz w:val="21"/>
          <w:szCs w:val="21"/>
        </w:rPr>
      </w:pPr>
      <w:bookmarkStart w:id="125" w:name="_Toc29652"/>
      <w:bookmarkStart w:id="126" w:name="_Toc8554"/>
      <w:bookmarkStart w:id="127" w:name="_Toc2524"/>
      <w:r>
        <w:rPr>
          <w:rFonts w:hint="eastAsia" w:ascii="宋体" w:hAnsi="宋体"/>
          <w:sz w:val="21"/>
          <w:szCs w:val="21"/>
        </w:rPr>
        <w:t>谈判单位名称：</w:t>
      </w:r>
      <w:r>
        <w:rPr>
          <w:rFonts w:hint="eastAsia" w:ascii="宋体" w:hAnsi="宋体"/>
          <w:sz w:val="21"/>
          <w:szCs w:val="21"/>
          <w:u w:val="single"/>
        </w:rPr>
        <w:t xml:space="preserve">    （盖单位章）</w:t>
      </w:r>
      <w:bookmarkEnd w:id="125"/>
      <w:bookmarkEnd w:id="126"/>
      <w:bookmarkEnd w:id="127"/>
      <w:r>
        <w:rPr>
          <w:rFonts w:hint="eastAsia" w:ascii="宋体" w:hAnsi="宋体"/>
          <w:sz w:val="21"/>
          <w:szCs w:val="21"/>
          <w:u w:val="single"/>
        </w:rPr>
        <w:t xml:space="preserve">    </w:t>
      </w:r>
    </w:p>
    <w:p>
      <w:pPr>
        <w:adjustRightInd w:val="0"/>
        <w:snapToGrid w:val="0"/>
        <w:spacing w:line="360" w:lineRule="auto"/>
        <w:ind w:firstLine="420" w:firstLineChars="200"/>
        <w:outlineLvl w:val="0"/>
        <w:rPr>
          <w:rFonts w:ascii="宋体" w:hAnsi="宋体"/>
          <w:szCs w:val="21"/>
        </w:rPr>
      </w:pPr>
      <w:bookmarkStart w:id="128" w:name="_Toc8996"/>
      <w:bookmarkStart w:id="129" w:name="_Toc6287"/>
      <w:bookmarkStart w:id="130" w:name="_Toc10577"/>
      <w:r>
        <w:rPr>
          <w:rFonts w:hint="eastAsia" w:ascii="宋体" w:hAnsi="宋体"/>
          <w:szCs w:val="21"/>
        </w:rPr>
        <w:t>法定代表人或其委托代理人(签字或盖章)：</w:t>
      </w:r>
      <w:bookmarkEnd w:id="128"/>
      <w:bookmarkEnd w:id="129"/>
      <w:bookmarkEnd w:id="130"/>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黑体" w:hAnsi="宋体" w:eastAsia="黑体"/>
          <w:b/>
          <w:sz w:val="32"/>
          <w:szCs w:val="32"/>
        </w:rPr>
      </w:pPr>
      <w:r>
        <w:rPr>
          <w:rFonts w:ascii="宋体" w:hAnsi="宋体"/>
          <w:sz w:val="24"/>
        </w:rPr>
        <w:br w:type="page"/>
      </w:r>
      <w:r>
        <w:rPr>
          <w:rFonts w:hint="eastAsia" w:ascii="黑体" w:hAnsi="宋体" w:eastAsia="黑体"/>
          <w:b/>
          <w:bCs/>
          <w:sz w:val="32"/>
          <w:szCs w:val="32"/>
        </w:rPr>
        <w:t>六、报价一览表</w:t>
      </w:r>
    </w:p>
    <w:p>
      <w:pPr>
        <w:adjustRightInd w:val="0"/>
        <w:snapToGrid w:val="0"/>
        <w:spacing w:line="360" w:lineRule="auto"/>
        <w:ind w:firstLine="480" w:firstLineChars="200"/>
        <w:jc w:val="right"/>
        <w:rPr>
          <w:rFonts w:ascii="黑体" w:hAnsi="宋体" w:eastAsia="黑体"/>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ascii="宋体" w:hAnsi="宋体"/>
                <w:szCs w:val="21"/>
              </w:rPr>
              <w:t>项目名称</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宋体" w:hAnsi="宋体"/>
                <w:szCs w:val="21"/>
              </w:rPr>
            </w:pPr>
            <w:r>
              <w:rPr>
                <w:rFonts w:hint="eastAsia" w:ascii="宋体" w:hAnsi="宋体"/>
                <w:szCs w:val="21"/>
              </w:rPr>
              <w:t>服务期限</w:t>
            </w:r>
          </w:p>
        </w:tc>
        <w:tc>
          <w:tcPr>
            <w:tcW w:w="8033" w:type="dxa"/>
            <w:gridSpan w:val="2"/>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宋体" w:hAnsi="宋体"/>
                <w:b/>
                <w:szCs w:val="21"/>
              </w:rPr>
            </w:pPr>
            <w:r>
              <w:rPr>
                <w:rFonts w:hint="eastAsia" w:ascii="宋体" w:hAnsi="宋体"/>
                <w:b/>
                <w:szCs w:val="21"/>
              </w:rPr>
              <w:t>谈判</w:t>
            </w:r>
            <w:r>
              <w:rPr>
                <w:rFonts w:ascii="宋体" w:hAnsi="宋体"/>
                <w:b/>
                <w:szCs w:val="21"/>
              </w:rPr>
              <w:t>总报价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元/年</w:t>
            </w:r>
          </w:p>
        </w:tc>
        <w:tc>
          <w:tcPr>
            <w:tcW w:w="4016" w:type="dxa"/>
            <w:vAlign w:val="center"/>
          </w:tcPr>
          <w:p>
            <w:pPr>
              <w:spacing w:line="360" w:lineRule="auto"/>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宋体" w:hAnsi="宋体"/>
                <w:szCs w:val="21"/>
              </w:rPr>
            </w:pPr>
            <w:r>
              <w:rPr>
                <w:rFonts w:ascii="宋体" w:hAnsi="宋体"/>
                <w:szCs w:val="21"/>
              </w:rPr>
              <w:t>备  注</w:t>
            </w:r>
          </w:p>
        </w:tc>
        <w:tc>
          <w:tcPr>
            <w:tcW w:w="8033" w:type="dxa"/>
            <w:gridSpan w:val="2"/>
            <w:vAlign w:val="center"/>
          </w:tcPr>
          <w:p>
            <w:pPr>
              <w:spacing w:line="360" w:lineRule="auto"/>
              <w:rPr>
                <w:rFonts w:ascii="宋体" w:hAnsi="宋体"/>
                <w:szCs w:val="21"/>
              </w:rPr>
            </w:pPr>
          </w:p>
        </w:tc>
      </w:tr>
    </w:tbl>
    <w:p>
      <w:pPr>
        <w:adjustRightInd w:val="0"/>
        <w:snapToGrid w:val="0"/>
        <w:spacing w:line="360" w:lineRule="auto"/>
        <w:ind w:firstLine="422" w:firstLineChars="200"/>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0"/>
        <w:rPr>
          <w:rFonts w:ascii="宋体" w:hAnsi="宋体"/>
          <w:bCs/>
          <w:sz w:val="21"/>
          <w:szCs w:val="21"/>
        </w:rPr>
      </w:pPr>
      <w:bookmarkStart w:id="131" w:name="_Toc26371"/>
      <w:bookmarkStart w:id="132" w:name="_Toc22197"/>
      <w:bookmarkStart w:id="133" w:name="_Toc15367"/>
      <w:r>
        <w:rPr>
          <w:rFonts w:hint="eastAsia" w:ascii="宋体" w:hAnsi="宋体"/>
          <w:sz w:val="21"/>
          <w:szCs w:val="21"/>
        </w:rPr>
        <w:t>谈判单位名称：</w:t>
      </w:r>
      <w:r>
        <w:rPr>
          <w:rFonts w:hint="eastAsia" w:ascii="宋体" w:hAnsi="宋体"/>
          <w:sz w:val="21"/>
          <w:szCs w:val="21"/>
          <w:u w:val="single"/>
        </w:rPr>
        <w:t xml:space="preserve">    （盖单位章）</w:t>
      </w:r>
      <w:bookmarkEnd w:id="131"/>
      <w:bookmarkEnd w:id="132"/>
      <w:bookmarkEnd w:id="133"/>
      <w:r>
        <w:rPr>
          <w:rFonts w:hint="eastAsia" w:ascii="宋体" w:hAnsi="宋体"/>
          <w:sz w:val="21"/>
          <w:szCs w:val="21"/>
          <w:u w:val="single"/>
        </w:rPr>
        <w:t xml:space="preserve">    </w:t>
      </w:r>
    </w:p>
    <w:p>
      <w:pPr>
        <w:adjustRightInd w:val="0"/>
        <w:snapToGrid w:val="0"/>
        <w:spacing w:line="360" w:lineRule="auto"/>
        <w:ind w:firstLine="420" w:firstLineChars="200"/>
        <w:outlineLvl w:val="0"/>
        <w:rPr>
          <w:rFonts w:ascii="宋体" w:hAnsi="宋体"/>
          <w:szCs w:val="21"/>
        </w:rPr>
      </w:pPr>
      <w:bookmarkStart w:id="134" w:name="_Toc14381"/>
      <w:bookmarkStart w:id="135" w:name="_Toc26095"/>
      <w:bookmarkStart w:id="136" w:name="_Toc7637"/>
      <w:r>
        <w:rPr>
          <w:rFonts w:hint="eastAsia" w:ascii="宋体" w:hAnsi="宋体"/>
          <w:szCs w:val="21"/>
        </w:rPr>
        <w:t>法定代表人或其委托代理人(签字或盖章)：</w:t>
      </w:r>
      <w:bookmarkEnd w:id="134"/>
      <w:bookmarkEnd w:id="135"/>
      <w:bookmarkEnd w:id="136"/>
      <w:r>
        <w:rPr>
          <w:rFonts w:hint="eastAsia" w:ascii="宋体" w:hAnsi="宋体"/>
          <w:szCs w:val="21"/>
          <w:u w:val="single"/>
        </w:rPr>
        <w:t xml:space="preserve">               </w:t>
      </w:r>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outlineLvl w:val="0"/>
        <w:rPr>
          <w:rFonts w:ascii="黑体" w:eastAsia="黑体"/>
          <w:b/>
          <w:sz w:val="32"/>
          <w:szCs w:val="32"/>
        </w:rPr>
        <w:sectPr>
          <w:pgSz w:w="12240" w:h="15840"/>
          <w:pgMar w:top="1440" w:right="1800" w:bottom="1440" w:left="1800" w:header="720" w:footer="720" w:gutter="0"/>
          <w:cols w:space="720" w:num="1"/>
          <w:titlePg/>
          <w:docGrid w:type="lines" w:linePitch="323" w:charSpace="0"/>
        </w:sectPr>
      </w:pPr>
    </w:p>
    <w:p>
      <w:pPr>
        <w:spacing w:line="360" w:lineRule="auto"/>
        <w:ind w:firstLine="420" w:firstLineChars="200"/>
        <w:rPr>
          <w:rFonts w:ascii="仿宋_GB2312" w:hAnsi="仿宋_GB2312" w:eastAsia="仿宋_GB2312" w:cs="仿宋_GB2312"/>
          <w:color w:val="000000"/>
        </w:rPr>
      </w:pPr>
    </w:p>
    <w:p>
      <w:pPr>
        <w:spacing w:line="360" w:lineRule="auto"/>
        <w:ind w:firstLine="643" w:firstLineChars="200"/>
        <w:jc w:val="center"/>
        <w:outlineLvl w:val="0"/>
        <w:rPr>
          <w:rFonts w:ascii="黑体" w:hAnsi="宋体" w:eastAsia="黑体"/>
          <w:b/>
          <w:sz w:val="32"/>
          <w:szCs w:val="32"/>
        </w:rPr>
      </w:pPr>
      <w:bookmarkStart w:id="137" w:name="_Toc8265"/>
      <w:r>
        <w:rPr>
          <w:rFonts w:hint="eastAsia" w:ascii="黑体" w:hAnsi="宋体" w:eastAsia="黑体"/>
          <w:b/>
          <w:sz w:val="32"/>
          <w:szCs w:val="32"/>
        </w:rPr>
        <w:t>七、其他资料(如有)</w:t>
      </w:r>
      <w:bookmarkEnd w:id="137"/>
    </w:p>
    <w:p>
      <w:pPr>
        <w:adjustRightInd w:val="0"/>
        <w:snapToGrid w:val="0"/>
        <w:spacing w:before="161" w:beforeLines="50" w:line="360" w:lineRule="auto"/>
        <w:ind w:firstLine="560" w:firstLineChars="200"/>
        <w:jc w:val="center"/>
        <w:outlineLvl w:val="0"/>
        <w:rPr>
          <w:rFonts w:ascii="宋体" w:hAnsi="宋体"/>
          <w:sz w:val="28"/>
          <w:szCs w:val="28"/>
        </w:rPr>
      </w:pPr>
    </w:p>
    <w:p>
      <w:pPr>
        <w:adjustRightInd w:val="0"/>
        <w:snapToGrid w:val="0"/>
        <w:spacing w:before="161" w:beforeLines="50" w:line="360" w:lineRule="auto"/>
        <w:ind w:firstLine="420" w:firstLineChars="200"/>
        <w:jc w:val="center"/>
        <w:outlineLvl w:val="0"/>
        <w:rPr>
          <w:rFonts w:ascii="宋体" w:hAnsi="宋体"/>
          <w:szCs w:val="21"/>
        </w:rPr>
      </w:pPr>
      <w:bookmarkStart w:id="138" w:name="_Toc15601"/>
      <w:bookmarkStart w:id="139" w:name="_Toc3706"/>
      <w:r>
        <w:rPr>
          <w:rFonts w:hint="eastAsia" w:ascii="宋体" w:hAnsi="宋体"/>
          <w:szCs w:val="21"/>
        </w:rPr>
        <w:t>谈判单位认为需要提供的其他报价资料，格式自拟。</w:t>
      </w:r>
      <w:bookmarkEnd w:id="138"/>
      <w:bookmarkEnd w:id="139"/>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4" o:spid="_x0000_s2051" o:spt="202" type="#_x0000_t202" style="position:absolute;left:0pt;margin-top:0pt;height:144pt;width:144pt;mso-position-horizontal:center;mso-position-horizontal-relative:margin;mso-wrap-style:none;z-index:251656192;mso-width-relative:page;mso-height-relative:page;" filled="f" o:preferrelative="t"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9</w:t>
                </w:r>
                <w:r>
                  <w:rPr>
                    <w:lang w:val="zh-CN"/>
                  </w:rPr>
                  <w:fldChar w:fldCharType="end"/>
                </w:r>
              </w:p>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8" o:spid="_x0000_s205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14" o:spid="_x0000_s2053" o:spt="202" type="#_x0000_t202" style="position:absolute;left:0pt;margin-top:0pt;height:144pt;width:144pt;mso-position-horizontal:center;mso-position-horizontal-relative:margin;mso-wrap-style:none;z-index:251658240;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3" o:spid="_x0000_s2056" o:spt="202" type="#_x0000_t202" style="position:absolute;left:0pt;margin-top:0pt;height:144pt;width:144pt;mso-position-horizontal:center;mso-position-horizontal-relative:margin;mso-wrap-style:none;z-index:251655168;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11" o:spid="_x0000_s2054" o:spt="202" type="#_x0000_t202" style="position:absolute;left:0pt;margin-top:0pt;height:144pt;width:144pt;mso-position-horizontal:center;mso-position-horizontal-relative:margin;mso-wrap-style:none;z-index:251657216;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 o:spid="_x0000_s206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491E8A5F"/>
    <w:multiLevelType w:val="singleLevel"/>
    <w:tmpl w:val="491E8A5F"/>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210"/>
  <w:drawingGridVerticalSpacing w:val="16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84A"/>
    <w:rsid w:val="00005EC9"/>
    <w:rsid w:val="00006D21"/>
    <w:rsid w:val="00016902"/>
    <w:rsid w:val="000274C6"/>
    <w:rsid w:val="00052640"/>
    <w:rsid w:val="00063D15"/>
    <w:rsid w:val="00074928"/>
    <w:rsid w:val="00091C9D"/>
    <w:rsid w:val="000A5809"/>
    <w:rsid w:val="000C106E"/>
    <w:rsid w:val="000E6636"/>
    <w:rsid w:val="00115FE6"/>
    <w:rsid w:val="001453A1"/>
    <w:rsid w:val="00162D59"/>
    <w:rsid w:val="00186162"/>
    <w:rsid w:val="00195655"/>
    <w:rsid w:val="001C23BF"/>
    <w:rsid w:val="002069C8"/>
    <w:rsid w:val="002139EB"/>
    <w:rsid w:val="0022188F"/>
    <w:rsid w:val="00222DFA"/>
    <w:rsid w:val="00224DF9"/>
    <w:rsid w:val="00230A1A"/>
    <w:rsid w:val="002314A3"/>
    <w:rsid w:val="002523FD"/>
    <w:rsid w:val="00255546"/>
    <w:rsid w:val="00274721"/>
    <w:rsid w:val="00281EA3"/>
    <w:rsid w:val="00286014"/>
    <w:rsid w:val="002B1D56"/>
    <w:rsid w:val="003102A2"/>
    <w:rsid w:val="00331810"/>
    <w:rsid w:val="00380064"/>
    <w:rsid w:val="00381105"/>
    <w:rsid w:val="00392E64"/>
    <w:rsid w:val="003958B2"/>
    <w:rsid w:val="0039632C"/>
    <w:rsid w:val="003977AA"/>
    <w:rsid w:val="003B1109"/>
    <w:rsid w:val="003D080C"/>
    <w:rsid w:val="003F46A7"/>
    <w:rsid w:val="004014FD"/>
    <w:rsid w:val="00423B85"/>
    <w:rsid w:val="00453EE9"/>
    <w:rsid w:val="00473865"/>
    <w:rsid w:val="0048093D"/>
    <w:rsid w:val="00495DBC"/>
    <w:rsid w:val="00495F57"/>
    <w:rsid w:val="00503035"/>
    <w:rsid w:val="00504DED"/>
    <w:rsid w:val="00526589"/>
    <w:rsid w:val="00545140"/>
    <w:rsid w:val="0055214F"/>
    <w:rsid w:val="005556A5"/>
    <w:rsid w:val="0056143E"/>
    <w:rsid w:val="0058754B"/>
    <w:rsid w:val="005C5230"/>
    <w:rsid w:val="005C688B"/>
    <w:rsid w:val="005E6BBB"/>
    <w:rsid w:val="00641E72"/>
    <w:rsid w:val="00644857"/>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0485"/>
    <w:rsid w:val="008511F3"/>
    <w:rsid w:val="0085674B"/>
    <w:rsid w:val="008B6242"/>
    <w:rsid w:val="008C45E0"/>
    <w:rsid w:val="008C7C9F"/>
    <w:rsid w:val="00915948"/>
    <w:rsid w:val="00923E97"/>
    <w:rsid w:val="009407FD"/>
    <w:rsid w:val="00976388"/>
    <w:rsid w:val="009A5642"/>
    <w:rsid w:val="009B5270"/>
    <w:rsid w:val="009C10AF"/>
    <w:rsid w:val="009D41D7"/>
    <w:rsid w:val="009D7D4A"/>
    <w:rsid w:val="009E03FD"/>
    <w:rsid w:val="00A34DC1"/>
    <w:rsid w:val="00A41E73"/>
    <w:rsid w:val="00A618F2"/>
    <w:rsid w:val="00A61CCE"/>
    <w:rsid w:val="00A92B7C"/>
    <w:rsid w:val="00AA1709"/>
    <w:rsid w:val="00AB013C"/>
    <w:rsid w:val="00AD758B"/>
    <w:rsid w:val="00AF11ED"/>
    <w:rsid w:val="00B01BA0"/>
    <w:rsid w:val="00B51FCB"/>
    <w:rsid w:val="00B74689"/>
    <w:rsid w:val="00B82298"/>
    <w:rsid w:val="00BB7B97"/>
    <w:rsid w:val="00C0069B"/>
    <w:rsid w:val="00C16FEA"/>
    <w:rsid w:val="00C20479"/>
    <w:rsid w:val="00C532E5"/>
    <w:rsid w:val="00C57914"/>
    <w:rsid w:val="00C6008B"/>
    <w:rsid w:val="00C758E3"/>
    <w:rsid w:val="00C928D3"/>
    <w:rsid w:val="00CB534B"/>
    <w:rsid w:val="00CE0073"/>
    <w:rsid w:val="00CE51F2"/>
    <w:rsid w:val="00CE631C"/>
    <w:rsid w:val="00CE703D"/>
    <w:rsid w:val="00CF0192"/>
    <w:rsid w:val="00D026AB"/>
    <w:rsid w:val="00D164FE"/>
    <w:rsid w:val="00D31733"/>
    <w:rsid w:val="00D43330"/>
    <w:rsid w:val="00D84A7F"/>
    <w:rsid w:val="00D92A34"/>
    <w:rsid w:val="00DA51BD"/>
    <w:rsid w:val="00DF2EC4"/>
    <w:rsid w:val="00DF363F"/>
    <w:rsid w:val="00E32EEF"/>
    <w:rsid w:val="00E77817"/>
    <w:rsid w:val="00E944EE"/>
    <w:rsid w:val="00EF6911"/>
    <w:rsid w:val="00F37996"/>
    <w:rsid w:val="00F410E0"/>
    <w:rsid w:val="00F579E9"/>
    <w:rsid w:val="00FA6734"/>
    <w:rsid w:val="00FC5CDF"/>
    <w:rsid w:val="00FD6823"/>
    <w:rsid w:val="00FE3699"/>
    <w:rsid w:val="016E73A8"/>
    <w:rsid w:val="01DE6B70"/>
    <w:rsid w:val="02016232"/>
    <w:rsid w:val="028D51BD"/>
    <w:rsid w:val="02906CCC"/>
    <w:rsid w:val="03D609D8"/>
    <w:rsid w:val="03ED3E80"/>
    <w:rsid w:val="04072F21"/>
    <w:rsid w:val="04266FF5"/>
    <w:rsid w:val="05894214"/>
    <w:rsid w:val="062F084E"/>
    <w:rsid w:val="06C32324"/>
    <w:rsid w:val="070C59FF"/>
    <w:rsid w:val="073C0D51"/>
    <w:rsid w:val="08023E55"/>
    <w:rsid w:val="08C565F2"/>
    <w:rsid w:val="09664C98"/>
    <w:rsid w:val="097D1C20"/>
    <w:rsid w:val="097F42B9"/>
    <w:rsid w:val="09D61CB2"/>
    <w:rsid w:val="0A9A0228"/>
    <w:rsid w:val="0B507786"/>
    <w:rsid w:val="0BF55579"/>
    <w:rsid w:val="0C164A2F"/>
    <w:rsid w:val="0D66668B"/>
    <w:rsid w:val="0DC8414C"/>
    <w:rsid w:val="0DEF2D5E"/>
    <w:rsid w:val="0E616540"/>
    <w:rsid w:val="0EE35C4D"/>
    <w:rsid w:val="0EF775BA"/>
    <w:rsid w:val="0FEE6040"/>
    <w:rsid w:val="10703D88"/>
    <w:rsid w:val="110C2C29"/>
    <w:rsid w:val="11FB259E"/>
    <w:rsid w:val="12281DA5"/>
    <w:rsid w:val="123A3214"/>
    <w:rsid w:val="136544CD"/>
    <w:rsid w:val="13690C80"/>
    <w:rsid w:val="13796109"/>
    <w:rsid w:val="1411188B"/>
    <w:rsid w:val="14AB387C"/>
    <w:rsid w:val="15D00CD9"/>
    <w:rsid w:val="15D67DAD"/>
    <w:rsid w:val="15DD7FEE"/>
    <w:rsid w:val="15ED6A1A"/>
    <w:rsid w:val="18120B9A"/>
    <w:rsid w:val="184738E0"/>
    <w:rsid w:val="18702B64"/>
    <w:rsid w:val="1893797B"/>
    <w:rsid w:val="18EB4CFD"/>
    <w:rsid w:val="19035318"/>
    <w:rsid w:val="19630DF4"/>
    <w:rsid w:val="1A80468D"/>
    <w:rsid w:val="1B2E6483"/>
    <w:rsid w:val="1B324E6A"/>
    <w:rsid w:val="1B7E393D"/>
    <w:rsid w:val="1B84373D"/>
    <w:rsid w:val="1C3228C1"/>
    <w:rsid w:val="1CA829D6"/>
    <w:rsid w:val="1D094ED9"/>
    <w:rsid w:val="1D5C448C"/>
    <w:rsid w:val="1E981D4A"/>
    <w:rsid w:val="1EFC3574"/>
    <w:rsid w:val="1FD401CA"/>
    <w:rsid w:val="20512691"/>
    <w:rsid w:val="219C6F36"/>
    <w:rsid w:val="22001CA7"/>
    <w:rsid w:val="23217DAC"/>
    <w:rsid w:val="233E41F0"/>
    <w:rsid w:val="23540F1C"/>
    <w:rsid w:val="23E30A60"/>
    <w:rsid w:val="23F8119B"/>
    <w:rsid w:val="24967E12"/>
    <w:rsid w:val="24BC37AA"/>
    <w:rsid w:val="25F769C5"/>
    <w:rsid w:val="2658296F"/>
    <w:rsid w:val="26662701"/>
    <w:rsid w:val="267F0FB7"/>
    <w:rsid w:val="26B0428E"/>
    <w:rsid w:val="26D60619"/>
    <w:rsid w:val="26D67C30"/>
    <w:rsid w:val="273B23BD"/>
    <w:rsid w:val="27405291"/>
    <w:rsid w:val="27BC032E"/>
    <w:rsid w:val="2888133C"/>
    <w:rsid w:val="28B63124"/>
    <w:rsid w:val="29210A38"/>
    <w:rsid w:val="2951072C"/>
    <w:rsid w:val="29AD5174"/>
    <w:rsid w:val="29FE6640"/>
    <w:rsid w:val="2A1C4185"/>
    <w:rsid w:val="2AC97A0D"/>
    <w:rsid w:val="2C074F20"/>
    <w:rsid w:val="2C162F55"/>
    <w:rsid w:val="2C3C6E9F"/>
    <w:rsid w:val="2C7627E2"/>
    <w:rsid w:val="2C9812D6"/>
    <w:rsid w:val="2D0954A4"/>
    <w:rsid w:val="2D8D261C"/>
    <w:rsid w:val="2DDB7325"/>
    <w:rsid w:val="2EA33208"/>
    <w:rsid w:val="30F77CED"/>
    <w:rsid w:val="31B61A82"/>
    <w:rsid w:val="31F70B9D"/>
    <w:rsid w:val="32B27CA8"/>
    <w:rsid w:val="32BC60F3"/>
    <w:rsid w:val="32F7027C"/>
    <w:rsid w:val="3326112B"/>
    <w:rsid w:val="334232CB"/>
    <w:rsid w:val="33911B57"/>
    <w:rsid w:val="33AB69E0"/>
    <w:rsid w:val="33BD1A5D"/>
    <w:rsid w:val="343B7C3F"/>
    <w:rsid w:val="348F0A67"/>
    <w:rsid w:val="349537D0"/>
    <w:rsid w:val="34E645D0"/>
    <w:rsid w:val="359D78EF"/>
    <w:rsid w:val="36586AB4"/>
    <w:rsid w:val="36630339"/>
    <w:rsid w:val="36E403EC"/>
    <w:rsid w:val="38907664"/>
    <w:rsid w:val="38DE4586"/>
    <w:rsid w:val="392B2144"/>
    <w:rsid w:val="393442DF"/>
    <w:rsid w:val="3990507E"/>
    <w:rsid w:val="39E27939"/>
    <w:rsid w:val="3AA26377"/>
    <w:rsid w:val="3B235613"/>
    <w:rsid w:val="3BC74370"/>
    <w:rsid w:val="3BEB57F0"/>
    <w:rsid w:val="3C263F3D"/>
    <w:rsid w:val="3CB459C9"/>
    <w:rsid w:val="3CD25B3D"/>
    <w:rsid w:val="3D350E98"/>
    <w:rsid w:val="3E7850AB"/>
    <w:rsid w:val="3ECD75DF"/>
    <w:rsid w:val="3FBA58EB"/>
    <w:rsid w:val="3FED00A7"/>
    <w:rsid w:val="401F311B"/>
    <w:rsid w:val="405C3D02"/>
    <w:rsid w:val="40BE1148"/>
    <w:rsid w:val="422E542C"/>
    <w:rsid w:val="425B2511"/>
    <w:rsid w:val="42A637B4"/>
    <w:rsid w:val="434660D0"/>
    <w:rsid w:val="440073E5"/>
    <w:rsid w:val="4431133A"/>
    <w:rsid w:val="4575004E"/>
    <w:rsid w:val="457B4715"/>
    <w:rsid w:val="45BD7EF6"/>
    <w:rsid w:val="45E63F63"/>
    <w:rsid w:val="469965DF"/>
    <w:rsid w:val="46E17929"/>
    <w:rsid w:val="48605FB4"/>
    <w:rsid w:val="48E83724"/>
    <w:rsid w:val="49FF577F"/>
    <w:rsid w:val="4A164FC6"/>
    <w:rsid w:val="4AC5638E"/>
    <w:rsid w:val="4BC844E4"/>
    <w:rsid w:val="4CF400BB"/>
    <w:rsid w:val="4D40298C"/>
    <w:rsid w:val="4D6E4698"/>
    <w:rsid w:val="4DB24FC1"/>
    <w:rsid w:val="4E8548FC"/>
    <w:rsid w:val="4EC90D3E"/>
    <w:rsid w:val="4EEF295D"/>
    <w:rsid w:val="4F792F65"/>
    <w:rsid w:val="4FE612A7"/>
    <w:rsid w:val="51322546"/>
    <w:rsid w:val="51482C9B"/>
    <w:rsid w:val="522D2330"/>
    <w:rsid w:val="52ED035A"/>
    <w:rsid w:val="52F421A7"/>
    <w:rsid w:val="5322696F"/>
    <w:rsid w:val="5444354A"/>
    <w:rsid w:val="548A000A"/>
    <w:rsid w:val="54957FF7"/>
    <w:rsid w:val="550C1056"/>
    <w:rsid w:val="561F5D04"/>
    <w:rsid w:val="56C20F2D"/>
    <w:rsid w:val="57477B2B"/>
    <w:rsid w:val="574F0046"/>
    <w:rsid w:val="57C86EED"/>
    <w:rsid w:val="57F32752"/>
    <w:rsid w:val="583D5903"/>
    <w:rsid w:val="58F11BFD"/>
    <w:rsid w:val="593E1A2F"/>
    <w:rsid w:val="596D221D"/>
    <w:rsid w:val="598409DC"/>
    <w:rsid w:val="59BC25A2"/>
    <w:rsid w:val="59D37CF1"/>
    <w:rsid w:val="5A0B3E07"/>
    <w:rsid w:val="5A10433E"/>
    <w:rsid w:val="5AA747AA"/>
    <w:rsid w:val="5ADF6442"/>
    <w:rsid w:val="5B1146F6"/>
    <w:rsid w:val="5B1D7FDB"/>
    <w:rsid w:val="5B95287A"/>
    <w:rsid w:val="5C524815"/>
    <w:rsid w:val="5CDA0CDF"/>
    <w:rsid w:val="5D396783"/>
    <w:rsid w:val="5D481133"/>
    <w:rsid w:val="5D4F4FA5"/>
    <w:rsid w:val="5DA1750E"/>
    <w:rsid w:val="5E074C4D"/>
    <w:rsid w:val="5E583446"/>
    <w:rsid w:val="5EB1616D"/>
    <w:rsid w:val="5FA05D36"/>
    <w:rsid w:val="60F765D6"/>
    <w:rsid w:val="61583AE8"/>
    <w:rsid w:val="624A6D8F"/>
    <w:rsid w:val="62A85CDD"/>
    <w:rsid w:val="62CC2A90"/>
    <w:rsid w:val="62E35C5C"/>
    <w:rsid w:val="632A666E"/>
    <w:rsid w:val="6336440C"/>
    <w:rsid w:val="63F341EC"/>
    <w:rsid w:val="643A1B9E"/>
    <w:rsid w:val="64546A26"/>
    <w:rsid w:val="65D24928"/>
    <w:rsid w:val="65E83D26"/>
    <w:rsid w:val="65FC519A"/>
    <w:rsid w:val="660E66F4"/>
    <w:rsid w:val="66386A74"/>
    <w:rsid w:val="66585984"/>
    <w:rsid w:val="66B1224E"/>
    <w:rsid w:val="670D79CE"/>
    <w:rsid w:val="67392F67"/>
    <w:rsid w:val="673B1F5E"/>
    <w:rsid w:val="677F4A59"/>
    <w:rsid w:val="685925FD"/>
    <w:rsid w:val="69CE2E46"/>
    <w:rsid w:val="69E76564"/>
    <w:rsid w:val="69EF1903"/>
    <w:rsid w:val="6A636C96"/>
    <w:rsid w:val="6ABE21AD"/>
    <w:rsid w:val="6B776B5F"/>
    <w:rsid w:val="6B96184C"/>
    <w:rsid w:val="6B9A5005"/>
    <w:rsid w:val="6CED62AE"/>
    <w:rsid w:val="6CF25E26"/>
    <w:rsid w:val="6F6A71BB"/>
    <w:rsid w:val="6F850583"/>
    <w:rsid w:val="6FBC3B21"/>
    <w:rsid w:val="6FF33E1A"/>
    <w:rsid w:val="702F5C21"/>
    <w:rsid w:val="703F0DE2"/>
    <w:rsid w:val="710E6F5D"/>
    <w:rsid w:val="71252D0C"/>
    <w:rsid w:val="71E4774E"/>
    <w:rsid w:val="72BD20D2"/>
    <w:rsid w:val="730A11F0"/>
    <w:rsid w:val="738F320C"/>
    <w:rsid w:val="73952AC6"/>
    <w:rsid w:val="74410A18"/>
    <w:rsid w:val="760667A9"/>
    <w:rsid w:val="76660401"/>
    <w:rsid w:val="76B624F7"/>
    <w:rsid w:val="770C4A8E"/>
    <w:rsid w:val="77684BEC"/>
    <w:rsid w:val="781264F1"/>
    <w:rsid w:val="78B90391"/>
    <w:rsid w:val="791D1490"/>
    <w:rsid w:val="79547B6C"/>
    <w:rsid w:val="795A63AB"/>
    <w:rsid w:val="79EE69A0"/>
    <w:rsid w:val="7A375F45"/>
    <w:rsid w:val="7A8377CB"/>
    <w:rsid w:val="7A851190"/>
    <w:rsid w:val="7AB93CAD"/>
    <w:rsid w:val="7AD51802"/>
    <w:rsid w:val="7B625890"/>
    <w:rsid w:val="7C996C5E"/>
    <w:rsid w:val="7CC80EC9"/>
    <w:rsid w:val="7D3149F1"/>
    <w:rsid w:val="7D920E34"/>
    <w:rsid w:val="7DAE2B75"/>
    <w:rsid w:val="7DDC42F1"/>
    <w:rsid w:val="7DF00C43"/>
    <w:rsid w:val="7E3A378B"/>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表段落2"/>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link w:val="31"/>
    <w:qFormat/>
    <w:uiPriority w:val="0"/>
    <w:rPr>
      <w:sz w:val="18"/>
      <w:szCs w:val="18"/>
    </w:rPr>
  </w:style>
  <w:style w:type="character" w:customStyle="1" w:styleId="217">
    <w:name w:val="页脚 字符"/>
    <w:link w:val="30"/>
    <w:qFormat/>
    <w:uiPriority w:val="0"/>
    <w:rPr>
      <w:sz w:val="18"/>
      <w:szCs w:val="18"/>
    </w:rPr>
  </w:style>
  <w:style w:type="character" w:customStyle="1" w:styleId="218">
    <w:name w:val="标题 1 字符"/>
    <w:link w:val="3"/>
    <w:qFormat/>
    <w:uiPriority w:val="0"/>
    <w:rPr>
      <w:rFonts w:ascii="Times New Roman" w:hAnsi="Times New Roman" w:eastAsia="宋体" w:cs="Times New Roman"/>
      <w:b/>
      <w:bCs/>
      <w:kern w:val="0"/>
      <w:sz w:val="24"/>
      <w:szCs w:val="20"/>
    </w:rPr>
  </w:style>
  <w:style w:type="character" w:customStyle="1" w:styleId="219">
    <w:name w:val="标题 2 字符"/>
    <w:link w:val="4"/>
    <w:qFormat/>
    <w:uiPriority w:val="0"/>
    <w:rPr>
      <w:rFonts w:ascii="Arial" w:hAnsi="Arial" w:eastAsia="宋体" w:cs="Times New Roman"/>
      <w:b/>
      <w:bCs/>
      <w:kern w:val="0"/>
      <w:sz w:val="24"/>
      <w:szCs w:val="32"/>
    </w:rPr>
  </w:style>
  <w:style w:type="character" w:customStyle="1" w:styleId="220">
    <w:name w:val="标题 3 字符"/>
    <w:link w:val="5"/>
    <w:qFormat/>
    <w:uiPriority w:val="0"/>
    <w:rPr>
      <w:rFonts w:ascii="Times New Roman" w:hAnsi="Times New Roman" w:eastAsia="宋体" w:cs="Times New Roman"/>
      <w:b/>
      <w:bCs/>
      <w:kern w:val="0"/>
      <w:sz w:val="32"/>
      <w:szCs w:val="32"/>
    </w:rPr>
  </w:style>
  <w:style w:type="character" w:customStyle="1" w:styleId="221">
    <w:name w:val="标题 4 字符"/>
    <w:link w:val="6"/>
    <w:qFormat/>
    <w:uiPriority w:val="0"/>
    <w:rPr>
      <w:rFonts w:ascii="Arial" w:hAnsi="Arial" w:eastAsia="黑体" w:cs="Times New Roman"/>
      <w:b/>
      <w:bCs/>
      <w:kern w:val="0"/>
      <w:sz w:val="28"/>
      <w:szCs w:val="28"/>
    </w:rPr>
  </w:style>
  <w:style w:type="character" w:customStyle="1" w:styleId="222">
    <w:name w:val="标题 5 字符"/>
    <w:link w:val="7"/>
    <w:qFormat/>
    <w:uiPriority w:val="0"/>
    <w:rPr>
      <w:rFonts w:ascii="Times New Roman" w:hAnsi="Times New Roman" w:eastAsia="宋体" w:cs="Times New Roman"/>
      <w:b/>
      <w:bCs/>
      <w:kern w:val="0"/>
      <w:sz w:val="28"/>
      <w:szCs w:val="28"/>
    </w:rPr>
  </w:style>
  <w:style w:type="character" w:customStyle="1" w:styleId="223">
    <w:name w:val="标题 6 字符"/>
    <w:link w:val="8"/>
    <w:qFormat/>
    <w:uiPriority w:val="0"/>
    <w:rPr>
      <w:rFonts w:ascii="Arial" w:hAnsi="Arial" w:eastAsia="黑体" w:cs="Times New Roman"/>
      <w:b/>
      <w:bCs/>
      <w:kern w:val="0"/>
      <w:sz w:val="24"/>
      <w:szCs w:val="24"/>
    </w:rPr>
  </w:style>
  <w:style w:type="character" w:customStyle="1" w:styleId="224">
    <w:name w:val="标题 7 字符"/>
    <w:link w:val="9"/>
    <w:qFormat/>
    <w:uiPriority w:val="0"/>
    <w:rPr>
      <w:rFonts w:ascii="Times New Roman" w:hAnsi="Times New Roman" w:eastAsia="宋体" w:cs="Times New Roman"/>
      <w:b/>
      <w:bCs/>
      <w:kern w:val="0"/>
      <w:sz w:val="24"/>
      <w:szCs w:val="24"/>
    </w:rPr>
  </w:style>
  <w:style w:type="character" w:customStyle="1" w:styleId="225">
    <w:name w:val="标题 8 字符"/>
    <w:link w:val="10"/>
    <w:qFormat/>
    <w:uiPriority w:val="0"/>
    <w:rPr>
      <w:rFonts w:ascii="Arial" w:hAnsi="Arial" w:eastAsia="黑体" w:cs="Times New Roman"/>
      <w:kern w:val="0"/>
      <w:sz w:val="24"/>
      <w:szCs w:val="24"/>
    </w:rPr>
  </w:style>
  <w:style w:type="character" w:customStyle="1" w:styleId="226">
    <w:name w:val="标题 9 字符"/>
    <w:link w:val="11"/>
    <w:qFormat/>
    <w:uiPriority w:val="0"/>
    <w:rPr>
      <w:rFonts w:ascii="Arial" w:hAnsi="Arial" w:eastAsia="黑体" w:cs="Times New Roman"/>
      <w:kern w:val="0"/>
      <w:sz w:val="20"/>
      <w:szCs w:val="21"/>
    </w:rPr>
  </w:style>
  <w:style w:type="character" w:customStyle="1" w:styleId="227">
    <w:name w:val="正文文本 2 字符"/>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qFormat/>
    <w:uiPriority w:val="0"/>
    <w:rPr>
      <w:rFonts w:ascii="Cambria" w:hAnsi="Cambria" w:eastAsia="宋体" w:cs="Times New Roman"/>
      <w:b/>
      <w:bCs/>
      <w:sz w:val="28"/>
      <w:szCs w:val="28"/>
    </w:rPr>
  </w:style>
  <w:style w:type="character" w:customStyle="1" w:styleId="232">
    <w:name w:val="日期 Char"/>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qFormat/>
    <w:uiPriority w:val="0"/>
    <w:rPr>
      <w:rFonts w:hint="eastAsia" w:ascii="宋体" w:hAnsi="宋体" w:eastAsia="宋体" w:cs="宋体"/>
      <w:color w:val="000000"/>
      <w:sz w:val="18"/>
      <w:szCs w:val="18"/>
      <w:u w:val="none"/>
    </w:rPr>
  </w:style>
  <w:style w:type="character" w:customStyle="1" w:styleId="246">
    <w:name w:val="font01"/>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qFormat/>
    <w:uiPriority w:val="0"/>
    <w:rPr>
      <w:rFonts w:ascii="Times New Roman" w:hAnsi="Times New Roman" w:eastAsia="宋体" w:cs="Times New Roman"/>
      <w:sz w:val="18"/>
      <w:szCs w:val="18"/>
    </w:rPr>
  </w:style>
  <w:style w:type="character" w:customStyle="1" w:styleId="250">
    <w:name w:val="批注框文本 字符"/>
    <w:link w:val="29"/>
    <w:qFormat/>
    <w:locked/>
    <w:uiPriority w:val="0"/>
    <w:rPr>
      <w:rFonts w:ascii="Calibri" w:hAnsi="Calibri" w:eastAsia="宋体" w:cs="黑体"/>
      <w:sz w:val="18"/>
      <w:szCs w:val="18"/>
    </w:rPr>
  </w:style>
  <w:style w:type="character" w:customStyle="1" w:styleId="251">
    <w:name w:val="正文文本缩进 字符"/>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link w:val="43"/>
    <w:qFormat/>
    <w:uiPriority w:val="0"/>
    <w:rPr>
      <w:rFonts w:ascii="Cambria" w:hAnsi="Cambria" w:eastAsia="宋体" w:cs="Times New Roman"/>
      <w:b/>
      <w:sz w:val="32"/>
      <w:szCs w:val="24"/>
    </w:rPr>
  </w:style>
  <w:style w:type="character" w:customStyle="1" w:styleId="255">
    <w:name w:val="正文文本缩进 2 字符"/>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qFormat/>
    <w:uiPriority w:val="0"/>
    <w:rPr>
      <w:rFonts w:ascii="Times New Roman" w:hAnsi="Times New Roman" w:eastAsia="宋体" w:cs="Times New Roman"/>
      <w:b/>
      <w:bCs/>
      <w:szCs w:val="24"/>
    </w:rPr>
  </w:style>
  <w:style w:type="character" w:customStyle="1" w:styleId="263">
    <w:name w:val="批注文字 字符"/>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link w:val="40"/>
    <w:qFormat/>
    <w:uiPriority w:val="0"/>
    <w:rPr>
      <w:rFonts w:ascii="Arial" w:hAnsi="Arial" w:eastAsia="宋体" w:cs="Arial"/>
      <w:kern w:val="0"/>
      <w:sz w:val="24"/>
      <w:szCs w:val="24"/>
    </w:rPr>
  </w:style>
  <w:style w:type="character" w:customStyle="1" w:styleId="268">
    <w:name w:val="称呼 字符"/>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6"/>
    <w:qFormat/>
    <w:uiPriority w:val="0"/>
    <w:rPr>
      <w:rFonts w:ascii="Calibri" w:hAnsi="Calibri" w:eastAsia="宋体" w:cs="黑体"/>
      <w:sz w:val="16"/>
      <w:szCs w:val="16"/>
    </w:rPr>
  </w:style>
  <w:style w:type="character" w:customStyle="1" w:styleId="279">
    <w:name w:val="副标题 字符"/>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字符"/>
    <w:link w:val="14"/>
    <w:qFormat/>
    <w:uiPriority w:val="0"/>
    <w:rPr>
      <w:rFonts w:ascii="Times New Roman" w:hAnsi="Times New Roman" w:eastAsia="宋体" w:cs="Times New Roman"/>
      <w:szCs w:val="24"/>
      <w:shd w:val="clear" w:color="auto" w:fill="000080"/>
    </w:rPr>
  </w:style>
  <w:style w:type="character" w:customStyle="1" w:styleId="282">
    <w:name w:val="标题 1 Char"/>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qFormat/>
    <w:uiPriority w:val="0"/>
    <w:rPr>
      <w:rFonts w:ascii="Cambria" w:hAnsi="Cambria" w:eastAsia="宋体" w:cs="Times New Roman"/>
      <w:b/>
      <w:bCs/>
      <w:sz w:val="32"/>
      <w:szCs w:val="32"/>
    </w:rPr>
  </w:style>
  <w:style w:type="character" w:customStyle="1" w:styleId="286">
    <w:name w:val="纯文本 Char1"/>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qFormat/>
    <w:uiPriority w:val="0"/>
    <w:rPr>
      <w:rFonts w:ascii="Cambria" w:hAnsi="Cambria" w:eastAsia="宋体" w:cs="Times New Roman"/>
      <w:b/>
      <w:bCs/>
      <w:sz w:val="32"/>
      <w:szCs w:val="32"/>
    </w:rPr>
  </w:style>
  <w:style w:type="character" w:customStyle="1" w:styleId="292">
    <w:name w:val="font41"/>
    <w:qFormat/>
    <w:uiPriority w:val="0"/>
    <w:rPr>
      <w:rFonts w:hint="eastAsia" w:ascii="宋体" w:hAnsi="宋体" w:eastAsia="宋体" w:cs="宋体"/>
      <w:color w:val="000000"/>
      <w:sz w:val="22"/>
      <w:szCs w:val="22"/>
      <w:u w:val="single"/>
    </w:rPr>
  </w:style>
  <w:style w:type="character" w:customStyle="1" w:styleId="293">
    <w:name w:val="日期 字符"/>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qFormat/>
    <w:uiPriority w:val="0"/>
    <w:rPr>
      <w:rFonts w:ascii="Cambria" w:hAnsi="Cambria" w:eastAsia="宋体" w:cs="Times New Roman"/>
      <w:sz w:val="24"/>
      <w:szCs w:val="24"/>
    </w:rPr>
  </w:style>
  <w:style w:type="character" w:customStyle="1" w:styleId="302">
    <w:name w:val="正文文本 3 字符"/>
    <w:link w:val="18"/>
    <w:qFormat/>
    <w:uiPriority w:val="0"/>
    <w:rPr>
      <w:rFonts w:ascii="宋体" w:hAnsi="Times New Roman" w:eastAsia="宋体" w:cs="Times New Roman"/>
      <w:color w:val="000000"/>
      <w:kern w:val="0"/>
      <w:sz w:val="24"/>
      <w:szCs w:val="20"/>
    </w:rPr>
  </w:style>
  <w:style w:type="character" w:customStyle="1" w:styleId="303">
    <w:name w:val="font71"/>
    <w:qFormat/>
    <w:uiPriority w:val="0"/>
    <w:rPr>
      <w:rFonts w:hint="eastAsia" w:ascii="宋体" w:hAnsi="宋体" w:eastAsia="宋体" w:cs="宋体"/>
      <w:b/>
      <w:color w:val="000000"/>
      <w:sz w:val="22"/>
      <w:szCs w:val="22"/>
      <w:u w:val="none"/>
    </w:rPr>
  </w:style>
  <w:style w:type="character" w:customStyle="1" w:styleId="304">
    <w:name w:val="font21"/>
    <w:qFormat/>
    <w:uiPriority w:val="0"/>
    <w:rPr>
      <w:rFonts w:hint="eastAsia" w:ascii="宋体" w:hAnsi="宋体" w:eastAsia="宋体" w:cs="宋体"/>
      <w:color w:val="000000"/>
      <w:sz w:val="18"/>
      <w:szCs w:val="18"/>
      <w:u w:val="none"/>
    </w:rPr>
  </w:style>
  <w:style w:type="character" w:customStyle="1" w:styleId="305">
    <w:name w:val="标题 9 Char"/>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semiHidden/>
    <w:qFormat/>
    <w:uiPriority w:val="99"/>
    <w:rPr>
      <w:rFonts w:ascii="Times New Roman" w:hAnsi="Times New Roman" w:eastAsia="宋体" w:cs="Times New Roman"/>
      <w:szCs w:val="24"/>
    </w:rPr>
  </w:style>
  <w:style w:type="character" w:customStyle="1" w:styleId="319">
    <w:name w:val="正文文本缩进 字符1"/>
    <w:semiHidden/>
    <w:qFormat/>
    <w:uiPriority w:val="99"/>
    <w:rPr>
      <w:rFonts w:ascii="Times New Roman" w:hAnsi="Times New Roman" w:eastAsia="宋体" w:cs="Times New Roman"/>
      <w:szCs w:val="24"/>
    </w:rPr>
  </w:style>
  <w:style w:type="character" w:customStyle="1" w:styleId="320">
    <w:name w:val="正文文本 3 字符1"/>
    <w:semiHidden/>
    <w:qFormat/>
    <w:uiPriority w:val="99"/>
    <w:rPr>
      <w:rFonts w:ascii="Times New Roman" w:hAnsi="Times New Roman" w:eastAsia="宋体" w:cs="Times New Roman"/>
      <w:sz w:val="16"/>
      <w:szCs w:val="16"/>
    </w:rPr>
  </w:style>
  <w:style w:type="character" w:customStyle="1" w:styleId="321">
    <w:name w:val="称呼 字符1"/>
    <w:semiHidden/>
    <w:qFormat/>
    <w:uiPriority w:val="99"/>
    <w:rPr>
      <w:rFonts w:ascii="Times New Roman" w:hAnsi="Times New Roman" w:eastAsia="宋体" w:cs="Times New Roman"/>
      <w:szCs w:val="24"/>
    </w:rPr>
  </w:style>
  <w:style w:type="character" w:customStyle="1" w:styleId="322">
    <w:name w:val="批注框文本 字符1"/>
    <w:semiHidden/>
    <w:qFormat/>
    <w:uiPriority w:val="99"/>
    <w:rPr>
      <w:rFonts w:ascii="Times New Roman" w:hAnsi="Times New Roman" w:eastAsia="宋体" w:cs="Times New Roman"/>
      <w:sz w:val="18"/>
      <w:szCs w:val="18"/>
    </w:rPr>
  </w:style>
  <w:style w:type="character" w:customStyle="1" w:styleId="323">
    <w:name w:val="正文文本缩进 3 字符1"/>
    <w:semiHidden/>
    <w:qFormat/>
    <w:uiPriority w:val="99"/>
    <w:rPr>
      <w:rFonts w:ascii="Times New Roman" w:hAnsi="Times New Roman" w:eastAsia="宋体" w:cs="Times New Roman"/>
      <w:sz w:val="16"/>
      <w:szCs w:val="16"/>
    </w:rPr>
  </w:style>
  <w:style w:type="character" w:customStyle="1" w:styleId="324">
    <w:name w:val="文档结构图 字符1"/>
    <w:semiHidden/>
    <w:qFormat/>
    <w:uiPriority w:val="99"/>
    <w:rPr>
      <w:rFonts w:ascii="Microsoft YaHei UI" w:hAnsi="Times New Roman" w:eastAsia="Microsoft YaHei UI" w:cs="Times New Roman"/>
      <w:sz w:val="18"/>
      <w:szCs w:val="18"/>
    </w:rPr>
  </w:style>
  <w:style w:type="character" w:customStyle="1" w:styleId="325">
    <w:name w:val="日期 字符1"/>
    <w:semiHidden/>
    <w:qFormat/>
    <w:uiPriority w:val="99"/>
    <w:rPr>
      <w:rFonts w:ascii="Times New Roman" w:hAnsi="Times New Roman" w:eastAsia="宋体" w:cs="Times New Roman"/>
      <w:szCs w:val="24"/>
    </w:rPr>
  </w:style>
  <w:style w:type="character" w:customStyle="1" w:styleId="326">
    <w:name w:val="正文文本 字符1"/>
    <w:semiHidden/>
    <w:qFormat/>
    <w:uiPriority w:val="99"/>
    <w:rPr>
      <w:rFonts w:ascii="Times New Roman" w:hAnsi="Times New Roman" w:eastAsia="宋体" w:cs="Times New Roman"/>
      <w:szCs w:val="24"/>
    </w:rPr>
  </w:style>
  <w:style w:type="character" w:customStyle="1" w:styleId="327">
    <w:name w:val="批注文字 字符1"/>
    <w:semiHidden/>
    <w:qFormat/>
    <w:uiPriority w:val="99"/>
    <w:rPr>
      <w:rFonts w:ascii="Times New Roman" w:hAnsi="Times New Roman" w:eastAsia="宋体" w:cs="Times New Roman"/>
      <w:szCs w:val="24"/>
    </w:rPr>
  </w:style>
  <w:style w:type="character" w:customStyle="1" w:styleId="328">
    <w:name w:val="HTML 预设格式 字符1"/>
    <w:semiHidden/>
    <w:qFormat/>
    <w:uiPriority w:val="99"/>
    <w:rPr>
      <w:rFonts w:ascii="Courier New" w:hAnsi="Courier New" w:eastAsia="宋体" w:cs="Courier New"/>
      <w:sz w:val="20"/>
      <w:szCs w:val="20"/>
    </w:rPr>
  </w:style>
  <w:style w:type="character" w:customStyle="1" w:styleId="329">
    <w:name w:val="正文文本首行缩进 字符"/>
    <w:link w:val="45"/>
    <w:qFormat/>
    <w:uiPriority w:val="0"/>
    <w:rPr>
      <w:rFonts w:ascii="Times New Roman" w:hAnsi="Times New Roman" w:eastAsia="宋体" w:cs="Times New Roman"/>
      <w:szCs w:val="24"/>
    </w:rPr>
  </w:style>
  <w:style w:type="character" w:customStyle="1" w:styleId="330">
    <w:name w:val="正文文本 2 字符1"/>
    <w:semiHidden/>
    <w:qFormat/>
    <w:uiPriority w:val="99"/>
    <w:rPr>
      <w:rFonts w:ascii="Times New Roman" w:hAnsi="Times New Roman" w:eastAsia="宋体" w:cs="Times New Roman"/>
      <w:szCs w:val="24"/>
    </w:rPr>
  </w:style>
  <w:style w:type="character" w:customStyle="1" w:styleId="331">
    <w:name w:val="副标题 字符1"/>
    <w:qFormat/>
    <w:uiPriority w:val="11"/>
    <w:rPr>
      <w:b/>
      <w:bCs/>
      <w:kern w:val="28"/>
      <w:sz w:val="32"/>
      <w:szCs w:val="32"/>
    </w:rPr>
  </w:style>
  <w:style w:type="character" w:customStyle="1" w:styleId="332">
    <w:name w:val="批注主题 字符1"/>
    <w:semiHidden/>
    <w:qFormat/>
    <w:uiPriority w:val="99"/>
    <w:rPr>
      <w:rFonts w:ascii="Times New Roman" w:hAnsi="Times New Roman" w:eastAsia="宋体" w:cs="Times New Roman"/>
      <w:b/>
      <w:bCs/>
      <w:szCs w:val="24"/>
    </w:rPr>
  </w:style>
  <w:style w:type="character" w:customStyle="1" w:styleId="333">
    <w:name w:val="标题 字符1"/>
    <w:qFormat/>
    <w:uiPriority w:val="10"/>
    <w:rPr>
      <w:rFonts w:ascii="等线 Light" w:hAnsi="等线 Light" w:eastAsia="等线 Light" w:cs="黑体"/>
      <w:b/>
      <w:bCs/>
      <w:sz w:val="32"/>
      <w:szCs w:val="32"/>
    </w:rPr>
  </w:style>
  <w:style w:type="character" w:customStyle="1" w:styleId="334">
    <w:name w:val="纯文本 字符1"/>
    <w:semiHidden/>
    <w:qFormat/>
    <w:uiPriority w:val="99"/>
    <w:rPr>
      <w:rFonts w:ascii="等线" w:hAnsi="Courier New" w:cs="Courier New"/>
      <w:szCs w:val="24"/>
    </w:rPr>
  </w:style>
  <w:style w:type="character" w:customStyle="1" w:styleId="335">
    <w:name w:val="正文缩进 字符"/>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link w:val="177"/>
    <w:qFormat/>
    <w:uiPriority w:val="0"/>
    <w:rPr>
      <w:rFonts w:ascii="Arial" w:hAnsi="Arial" w:cs="宋体"/>
      <w:b/>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semiHidden/>
    <w:qFormat/>
    <w:uiPriority w:val="99"/>
    <w:rPr>
      <w:kern w:val="2"/>
      <w:sz w:val="18"/>
      <w:szCs w:val="18"/>
    </w:rPr>
  </w:style>
  <w:style w:type="character" w:customStyle="1" w:styleId="356">
    <w:name w:val="页眉 字符1"/>
    <w:semiHidden/>
    <w:qFormat/>
    <w:uiPriority w:val="99"/>
    <w:rPr>
      <w:kern w:val="2"/>
      <w:sz w:val="18"/>
      <w:szCs w:val="18"/>
    </w:rPr>
  </w:style>
  <w:style w:type="character" w:customStyle="1" w:styleId="357">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1"/>
    <customShpInfo spid="_x0000_s2057"/>
    <customShpInfo spid="_x0000_s2053"/>
    <customShpInfo spid="_x0000_s2056"/>
    <customShpInfo spid="_x0000_s2054"/>
    <customShpInfo spid="_x0000_s2064"/>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4496</Words>
  <Characters>25629</Characters>
  <Lines>213</Lines>
  <Paragraphs>60</Paragraphs>
  <TotalTime>58</TotalTime>
  <ScaleCrop>false</ScaleCrop>
  <LinksUpToDate>false</LinksUpToDate>
  <CharactersWithSpaces>30065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2018-06-05T08:48:00Z</dcterms:created>
  <dc:creator>李 毅</dc:creator>
  <cp:lastModifiedBy>Administrator</cp:lastModifiedBy>
  <cp:lastPrinted>2019-07-25T06:26:00Z</cp:lastPrinted>
  <dcterms:modified xsi:type="dcterms:W3CDTF">2019-11-05T02:35:47Z</dcterms:modified>
  <dc:title>长沙市轨道交通运营有限公司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