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hAnsi="宋体"/>
          <w:b/>
        </w:rPr>
      </w:pPr>
    </w:p>
    <w:p>
      <w:pPr>
        <w:pStyle w:val="25"/>
        <w:spacing w:line="360" w:lineRule="auto"/>
        <w:ind w:firstLine="1044" w:firstLineChars="200"/>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ind w:firstLine="1044" w:firstLineChars="200"/>
        <w:jc w:val="center"/>
        <w:rPr>
          <w:rFonts w:hAnsi="宋体"/>
          <w:b/>
          <w:sz w:val="52"/>
          <w:szCs w:val="52"/>
        </w:rPr>
      </w:pPr>
      <w:r>
        <w:rPr>
          <w:rFonts w:hint="eastAsia" w:hAnsi="宋体"/>
          <w:b/>
          <w:sz w:val="52"/>
          <w:szCs w:val="52"/>
        </w:rPr>
        <w:t>自主竞争性谈判文件</w:t>
      </w:r>
    </w:p>
    <w:p>
      <w:pPr>
        <w:pStyle w:val="25"/>
        <w:adjustRightInd w:val="0"/>
        <w:snapToGrid w:val="0"/>
        <w:spacing w:before="161"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长沙市轨道交通1号线一期工程运营期线路核心设备（LCC系统、服务器等）维护保养服务项目(2019-2020年度)</w:t>
      </w:r>
    </w:p>
    <w:p>
      <w:pPr>
        <w:pStyle w:val="45"/>
        <w:spacing w:line="360" w:lineRule="auto"/>
        <w:ind w:firstLine="0" w:firstLineChars="0"/>
      </w:pPr>
    </w:p>
    <w:p>
      <w:pPr>
        <w:spacing w:line="360" w:lineRule="auto"/>
        <w:jc w:val="left"/>
        <w:rPr>
          <w:rFonts w:ascii="宋体" w:hAnsi="宋体" w:cs="Courier New"/>
          <w:b/>
          <w:sz w:val="32"/>
          <w:szCs w:val="21"/>
          <w:u w:val="single"/>
        </w:rPr>
      </w:pPr>
      <w:r>
        <w:rPr>
          <w:rFonts w:hint="eastAsia" w:ascii="宋体" w:hAnsi="宋体" w:cs="Courier New"/>
          <w:b/>
          <w:sz w:val="32"/>
          <w:szCs w:val="21"/>
        </w:rPr>
        <w:t>采购单位名称：</w:t>
      </w:r>
      <w:r>
        <w:rPr>
          <w:rFonts w:hint="eastAsia" w:ascii="宋体" w:hAnsi="宋体" w:cs="Courier New"/>
          <w:b/>
          <w:sz w:val="32"/>
          <w:szCs w:val="21"/>
          <w:u w:val="single"/>
        </w:rPr>
        <w:t>长沙市轨道交通一号线建设发展有限公司</w:t>
      </w:r>
    </w:p>
    <w:p>
      <w:pPr>
        <w:pStyle w:val="45"/>
        <w:spacing w:line="360" w:lineRule="auto"/>
        <w:ind w:firstLine="0" w:firstLineChars="0"/>
      </w:pPr>
    </w:p>
    <w:p>
      <w:pPr>
        <w:spacing w:line="360" w:lineRule="auto"/>
        <w:jc w:val="left"/>
        <w:rPr>
          <w:rFonts w:ascii="宋体" w:hAnsi="宋体" w:cs="Courier New"/>
          <w:b/>
          <w:sz w:val="32"/>
          <w:szCs w:val="21"/>
          <w:highlight w:val="none"/>
          <w:u w:val="single"/>
        </w:rPr>
      </w:pPr>
      <w:r>
        <w:rPr>
          <w:rFonts w:hint="eastAsia" w:ascii="宋体" w:hAnsi="宋体" w:cs="Courier New"/>
          <w:b/>
          <w:sz w:val="32"/>
          <w:szCs w:val="21"/>
        </w:rPr>
        <w:t>谈判项目编号：</w:t>
      </w:r>
      <w:r>
        <w:rPr>
          <w:rFonts w:hint="eastAsia" w:ascii="宋体" w:hAnsi="宋体" w:cs="Courier New"/>
          <w:b/>
          <w:sz w:val="32"/>
          <w:szCs w:val="21"/>
          <w:highlight w:val="none"/>
          <w:u w:val="single"/>
        </w:rPr>
        <w:t>长轨运服采【2019】20号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ind w:firstLine="643" w:firstLineChars="200"/>
        <w:jc w:val="center"/>
        <w:rPr>
          <w:rFonts w:hAnsi="宋体"/>
          <w:b/>
          <w:sz w:val="32"/>
        </w:rPr>
      </w:pPr>
      <w:r>
        <w:rPr>
          <w:rFonts w:hint="eastAsia" w:hAnsi="宋体"/>
          <w:b/>
          <w:sz w:val="32"/>
          <w:u w:val="single"/>
        </w:rPr>
        <w:t>二〇一九</w:t>
      </w:r>
      <w:r>
        <w:rPr>
          <w:rFonts w:hint="eastAsia" w:hAnsi="宋体"/>
          <w:b/>
          <w:sz w:val="32"/>
        </w:rPr>
        <w:t>年</w:t>
      </w:r>
      <w:r>
        <w:rPr>
          <w:rFonts w:hint="eastAsia" w:hAnsi="宋体"/>
          <w:b/>
          <w:sz w:val="32"/>
          <w:u w:val="single"/>
        </w:rPr>
        <w:t>十一</w:t>
      </w:r>
      <w:r>
        <w:rPr>
          <w:rFonts w:hint="eastAsia" w:hAnsi="宋体"/>
          <w:b/>
          <w:sz w:val="32"/>
        </w:rPr>
        <w:t>月</w:t>
      </w:r>
    </w:p>
    <w:p>
      <w:pPr>
        <w:pStyle w:val="25"/>
        <w:adjustRightInd w:val="0"/>
        <w:snapToGrid w:val="0"/>
        <w:spacing w:line="360" w:lineRule="auto"/>
        <w:ind w:firstLine="643" w:firstLineChars="200"/>
        <w:jc w:val="center"/>
        <w:rPr>
          <w:rFonts w:hAnsi="宋体"/>
          <w:b/>
          <w:sz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pPr>
        <w:pStyle w:val="32"/>
        <w:tabs>
          <w:tab w:val="right" w:leader="dot" w:pos="9972"/>
        </w:tabs>
        <w:spacing w:line="360" w:lineRule="auto"/>
        <w:ind w:firstLine="420" w:firstLineChars="200"/>
        <w:jc w:val="center"/>
      </w:pPr>
    </w:p>
    <w:p>
      <w:pPr>
        <w:pStyle w:val="32"/>
        <w:tabs>
          <w:tab w:val="right" w:leader="dot" w:pos="9972"/>
        </w:tabs>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"_Toc18373" </w:instrText>
      </w:r>
      <w:r>
        <w:fldChar w:fldCharType="separate"/>
      </w:r>
      <w:r>
        <w:rPr>
          <w:rFonts w:hint="eastAsia" w:ascii="宋体" w:hAnsi="宋体" w:cs="宋体"/>
        </w:rPr>
        <w:t>第一章  谈判邀请公告</w:t>
      </w:r>
      <w:r>
        <w:rPr>
          <w:rFonts w:hint="eastAsia" w:ascii="宋体" w:hAnsi="宋体" w:cs="宋体"/>
        </w:rPr>
        <w:tab/>
      </w:r>
      <w:r>
        <w:rPr>
          <w:rFonts w:hint="eastAsia" w:ascii="宋体" w:hAnsi="宋体" w:cs="宋体"/>
        </w:rPr>
        <w:t>2</w:t>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"_Toc5436"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"_Toc22770" </w:instrText>
      </w:r>
      <w:r>
        <w:fldChar w:fldCharType="separate"/>
      </w:r>
      <w:r>
        <w:rPr>
          <w:rFonts w:hint="eastAsia" w:ascii="宋体" w:hAnsi="宋体" w:cs="宋体"/>
        </w:rPr>
        <w:t>谈判须知前附表</w:t>
      </w:r>
      <w:r>
        <w:rPr>
          <w:rFonts w:hint="eastAsia" w:ascii="宋体" w:hAnsi="宋体" w:cs="宋体"/>
        </w:rPr>
        <w:tab/>
      </w:r>
      <w:r>
        <w:rPr>
          <w:rFonts w:hint="eastAsia" w:ascii="宋体" w:hAnsi="宋体" w:cs="宋体"/>
        </w:rPr>
        <w:t>4</w:t>
      </w:r>
      <w:r>
        <w:rPr>
          <w:rFonts w:hint="eastAsia" w:ascii="宋体" w:hAnsi="宋体" w:cs="宋体"/>
        </w:rPr>
        <w:fldChar w:fldCharType="end"/>
      </w:r>
    </w:p>
    <w:p>
      <w:pPr>
        <w:pStyle w:val="37"/>
        <w:tabs>
          <w:tab w:val="right" w:leader="dot" w:pos="9972"/>
        </w:tabs>
        <w:spacing w:line="360" w:lineRule="auto"/>
        <w:ind w:left="0" w:leftChars="0" w:firstLine="840" w:firstLineChars="400"/>
        <w:rPr>
          <w:rFonts w:ascii="宋体" w:hAnsi="宋体" w:cs="宋体"/>
        </w:rPr>
      </w:pPr>
      <w:r>
        <w:fldChar w:fldCharType="begin"/>
      </w:r>
      <w:r>
        <w:instrText xml:space="preserve"> HYPERLINK \l "_Toc30385" </w:instrText>
      </w:r>
      <w:r>
        <w:fldChar w:fldCharType="separate"/>
      </w:r>
      <w:r>
        <w:rPr>
          <w:rFonts w:hint="eastAsia" w:ascii="宋体" w:hAnsi="宋体" w:cs="宋体"/>
          <w:szCs w:val="30"/>
        </w:rPr>
        <w:t>谈判须知正文</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"_Toc23354" </w:instrText>
      </w:r>
      <w:r>
        <w:fldChar w:fldCharType="separate"/>
      </w:r>
      <w:r>
        <w:rPr>
          <w:rFonts w:hint="eastAsia" w:ascii="宋体" w:hAnsi="宋体" w:cs="宋体"/>
        </w:rPr>
        <w:t>一、说明</w:t>
      </w:r>
      <w:r>
        <w:rPr>
          <w:rFonts w:hint="eastAsia" w:ascii="宋体" w:hAnsi="宋体" w:cs="宋体"/>
        </w:rPr>
        <w:tab/>
      </w:r>
      <w:r>
        <w:rPr>
          <w:rFonts w:hint="eastAsia" w:ascii="宋体" w:hAnsi="宋体" w:cs="宋体"/>
        </w:rPr>
        <w:t>6</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"_Toc19198" </w:instrText>
      </w:r>
      <w:r>
        <w:fldChar w:fldCharType="separate"/>
      </w:r>
      <w:r>
        <w:rPr>
          <w:rFonts w:hint="eastAsia" w:ascii="宋体" w:hAnsi="宋体" w:cs="宋体"/>
        </w:rPr>
        <w:t>二、谈判文件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"_Toc24457" </w:instrText>
      </w:r>
      <w:r>
        <w:fldChar w:fldCharType="separate"/>
      </w:r>
      <w:r>
        <w:rPr>
          <w:rFonts w:hint="eastAsia" w:ascii="宋体" w:hAnsi="宋体" w:cs="宋体"/>
        </w:rPr>
        <w:t>三、响应文件</w:t>
      </w:r>
      <w:r>
        <w:rPr>
          <w:rFonts w:hint="eastAsia" w:ascii="宋体" w:hAnsi="宋体" w:cs="宋体"/>
        </w:rPr>
        <w:tab/>
      </w:r>
      <w:r>
        <w:rPr>
          <w:rFonts w:hint="eastAsia" w:ascii="宋体" w:hAnsi="宋体" w:cs="宋体"/>
        </w:rPr>
        <w:t>7</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"_Toc664" </w:instrText>
      </w:r>
      <w:r>
        <w:fldChar w:fldCharType="separate"/>
      </w:r>
      <w:r>
        <w:rPr>
          <w:rFonts w:hint="eastAsia" w:ascii="宋体" w:hAnsi="宋体" w:cs="宋体"/>
        </w:rPr>
        <w:t>四、响应文件的递交</w:t>
      </w:r>
      <w:r>
        <w:rPr>
          <w:rFonts w:hint="eastAsia" w:ascii="宋体" w:hAnsi="宋体" w:cs="宋体"/>
        </w:rPr>
        <w:tab/>
      </w:r>
      <w:r>
        <w:rPr>
          <w:rFonts w:hint="eastAsia" w:ascii="宋体" w:hAnsi="宋体" w:cs="宋体"/>
        </w:rPr>
        <w:t>9</w:t>
      </w:r>
      <w:r>
        <w:rPr>
          <w:rFonts w:hint="eastAsia" w:ascii="宋体" w:hAnsi="宋体" w:cs="宋体"/>
        </w:rPr>
        <w:fldChar w:fldCharType="end"/>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"_Toc4809" </w:instrText>
      </w:r>
      <w:r>
        <w:fldChar w:fldCharType="separate"/>
      </w:r>
      <w:r>
        <w:rPr>
          <w:rFonts w:hint="eastAsia" w:ascii="宋体" w:hAnsi="宋体" w:cs="宋体"/>
        </w:rPr>
        <w:t>五、响应文件的评审</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"_Toc25543" </w:instrText>
      </w:r>
      <w:r>
        <w:fldChar w:fldCharType="separate"/>
      </w:r>
      <w:r>
        <w:rPr>
          <w:rFonts w:hint="eastAsia" w:ascii="宋体" w:hAnsi="宋体" w:cs="宋体"/>
        </w:rPr>
        <w:t>六、响应文件的澄清、说明及补正</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"_Toc25353" </w:instrText>
      </w:r>
      <w:r>
        <w:fldChar w:fldCharType="separate"/>
      </w:r>
      <w:r>
        <w:rPr>
          <w:rFonts w:hint="eastAsia" w:ascii="宋体" w:hAnsi="宋体" w:cs="宋体"/>
        </w:rPr>
        <w:t>七、中选结果与授予合同</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0</w:t>
      </w:r>
    </w:p>
    <w:p>
      <w:pPr>
        <w:pStyle w:val="24"/>
        <w:tabs>
          <w:tab w:val="right" w:leader="dot" w:pos="9972"/>
        </w:tabs>
        <w:spacing w:line="360" w:lineRule="auto"/>
        <w:ind w:left="0" w:leftChars="0" w:firstLine="840" w:firstLineChars="400"/>
        <w:rPr>
          <w:rFonts w:ascii="宋体" w:hAnsi="宋体" w:cs="宋体"/>
        </w:rPr>
      </w:pPr>
      <w:r>
        <w:fldChar w:fldCharType="begin"/>
      </w:r>
      <w:r>
        <w:instrText xml:space="preserve"> HYPERLINK \l "_Toc27069" </w:instrText>
      </w:r>
      <w:r>
        <w:fldChar w:fldCharType="separate"/>
      </w:r>
      <w:r>
        <w:rPr>
          <w:rFonts w:hint="eastAsia" w:ascii="宋体" w:hAnsi="宋体" w:cs="宋体"/>
        </w:rPr>
        <w:t>八、其他</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"_Toc30375"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_Toc30375 </w:instrText>
      </w:r>
      <w:r>
        <w:rPr>
          <w:rFonts w:hint="eastAsia" w:ascii="宋体" w:hAnsi="宋体" w:cs="宋体"/>
        </w:rPr>
        <w:fldChar w:fldCharType="separate"/>
      </w:r>
      <w:r>
        <w:rPr>
          <w:rFonts w:ascii="宋体" w:hAnsi="宋体" w:cs="宋体"/>
        </w:rPr>
        <w:t>15</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"_Toc8585"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_Toc8585 </w:instrText>
      </w:r>
      <w:r>
        <w:rPr>
          <w:rFonts w:hint="eastAsia" w:ascii="宋体" w:hAnsi="宋体" w:cs="宋体"/>
        </w:rPr>
        <w:fldChar w:fldCharType="separate"/>
      </w:r>
      <w:r>
        <w:rPr>
          <w:rFonts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"_Toc19957"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_Toc19957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420" w:firstLineChars="200"/>
        <w:rPr>
          <w:rFonts w:ascii="宋体" w:hAnsi="宋体" w:cs="宋体"/>
        </w:rPr>
      </w:pPr>
      <w:r>
        <w:fldChar w:fldCharType="begin"/>
      </w:r>
      <w:r>
        <w:instrText xml:space="preserve"> HYPERLINK \l "_Toc27097" </w:instrText>
      </w:r>
      <w:r>
        <w:fldChar w:fldCharType="separate"/>
      </w:r>
      <w:r>
        <w:rPr>
          <w:rFonts w:hint="eastAsia" w:ascii="宋体" w:hAnsi="宋体" w:cs="宋体"/>
          <w:szCs w:val="32"/>
        </w:rPr>
        <w:t>第六章  响应文件组成</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5</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"_Toc27212" </w:instrText>
      </w:r>
      <w:r>
        <w:fldChar w:fldCharType="separate"/>
      </w:r>
      <w:r>
        <w:rPr>
          <w:rFonts w:hint="eastAsia" w:ascii="宋体" w:hAnsi="宋体" w:cs="宋体"/>
        </w:rPr>
        <w:t>一、谈判承诺书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7</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"_Toc31855" </w:instrText>
      </w:r>
      <w:r>
        <w:fldChar w:fldCharType="separate"/>
      </w:r>
      <w:r>
        <w:rPr>
          <w:rFonts w:hint="eastAsia" w:ascii="宋体" w:hAnsi="宋体" w:cs="宋体"/>
        </w:rPr>
        <w:t>二、法定代表人身份证明书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_Toc31855 </w:instrText>
      </w:r>
      <w:r>
        <w:rPr>
          <w:rFonts w:hint="eastAsia" w:ascii="宋体" w:hAnsi="宋体" w:cs="宋体"/>
        </w:rPr>
        <w:fldChar w:fldCharType="separate"/>
      </w:r>
      <w:r>
        <w:rPr>
          <w:rFonts w:ascii="宋体" w:hAnsi="宋体" w:cs="宋体"/>
        </w:rPr>
        <w:t>53</w:t>
      </w:r>
      <w:r>
        <w:rPr>
          <w:rFonts w:hint="eastAsia" w:ascii="宋体" w:hAnsi="宋体" w:cs="宋体"/>
        </w:rPr>
        <w:fldChar w:fldCharType="end"/>
      </w:r>
      <w:r>
        <w:rPr>
          <w:rFonts w:hint="eastAsia" w:ascii="宋体" w:hAnsi="宋体" w:cs="宋体"/>
        </w:rPr>
        <w:fldChar w:fldCharType="end"/>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"_Toc26247" </w:instrText>
      </w:r>
      <w:r>
        <w:fldChar w:fldCharType="separate"/>
      </w:r>
      <w:r>
        <w:rPr>
          <w:rFonts w:hint="eastAsia" w:ascii="宋体" w:hAnsi="宋体" w:cs="宋体"/>
        </w:rPr>
        <w:t>三、授权委托书</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bCs/>
        </w:rPr>
        <w:t>9</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"_Toc30184" </w:instrText>
      </w:r>
      <w:r>
        <w:fldChar w:fldCharType="separate"/>
      </w:r>
      <w:r>
        <w:rPr>
          <w:rFonts w:hint="eastAsia" w:ascii="宋体" w:hAnsi="宋体" w:cs="宋体"/>
        </w:rPr>
        <w:t>四、谈判单位资格证明文件</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0</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"_Toc4407" </w:instrText>
      </w:r>
      <w:r>
        <w:fldChar w:fldCharType="separate"/>
      </w:r>
      <w:r>
        <w:rPr>
          <w:rFonts w:hint="eastAsia" w:ascii="宋体" w:hAnsi="宋体" w:cs="宋体"/>
        </w:rPr>
        <w:t>五、</w:t>
      </w:r>
      <w:r>
        <w:rPr>
          <w:rFonts w:hint="eastAsia" w:ascii="宋体" w:hAnsi="宋体" w:cs="宋体"/>
          <w:bCs/>
        </w:rPr>
        <w:t>服务方案（如有）</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1</w:t>
      </w:r>
    </w:p>
    <w:p>
      <w:pPr>
        <w:pStyle w:val="32"/>
        <w:tabs>
          <w:tab w:val="right" w:leader="dot" w:pos="9972"/>
        </w:tabs>
        <w:spacing w:line="360" w:lineRule="auto"/>
        <w:ind w:firstLine="840" w:firstLineChars="400"/>
        <w:rPr>
          <w:rFonts w:ascii="宋体" w:hAnsi="宋体" w:cs="宋体"/>
        </w:rPr>
      </w:pPr>
      <w:r>
        <w:fldChar w:fldCharType="begin"/>
      </w:r>
      <w:r>
        <w:instrText xml:space="preserve"> HYPERLINK \l "_Toc2978" </w:instrText>
      </w:r>
      <w:r>
        <w:fldChar w:fldCharType="separate"/>
      </w:r>
      <w:r>
        <w:rPr>
          <w:rFonts w:hint="eastAsia" w:ascii="宋体" w:hAnsi="宋体" w:cs="宋体"/>
        </w:rPr>
        <w:t>六、报价一览表</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bCs/>
        </w:rPr>
        <w:t>2</w:t>
      </w:r>
    </w:p>
    <w:p>
      <w:pPr>
        <w:pStyle w:val="32"/>
        <w:tabs>
          <w:tab w:val="right" w:leader="dot" w:pos="9972"/>
        </w:tabs>
        <w:spacing w:line="360" w:lineRule="auto"/>
        <w:ind w:firstLine="840" w:firstLineChars="400"/>
        <w:rPr>
          <w:rFonts w:ascii="宋体" w:hAnsi="宋体" w:cs="宋体"/>
          <w:highlight w:val="yellow"/>
        </w:rPr>
      </w:pPr>
      <w:r>
        <w:rPr>
          <w:highlight w:val="none"/>
        </w:rPr>
        <w:fldChar w:fldCharType="begin"/>
      </w:r>
      <w:r>
        <w:rPr>
          <w:highlight w:val="none"/>
        </w:rPr>
        <w:instrText xml:space="preserve"> HYPERLINK \l "_Toc8265" </w:instrText>
      </w:r>
      <w:r>
        <w:rPr>
          <w:highlight w:val="none"/>
        </w:rPr>
        <w:fldChar w:fldCharType="separate"/>
      </w:r>
      <w:r>
        <w:rPr>
          <w:rFonts w:hint="eastAsia" w:ascii="宋体" w:hAnsi="宋体" w:cs="宋体"/>
          <w:highlight w:val="none"/>
          <w:lang w:val="zh-CN"/>
        </w:rPr>
        <w:t>七</w:t>
      </w:r>
      <w:r>
        <w:rPr>
          <w:rFonts w:hint="eastAsia" w:ascii="宋体" w:hAnsi="宋体" w:cs="宋体"/>
          <w:highlight w:val="none"/>
        </w:rPr>
        <w:t>、其他资料(如有)</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_Toc8265 </w:instrText>
      </w:r>
      <w:r>
        <w:rPr>
          <w:rFonts w:hint="eastAsia" w:ascii="宋体" w:hAnsi="宋体" w:cs="宋体"/>
          <w:highlight w:val="none"/>
        </w:rPr>
        <w:fldChar w:fldCharType="separate"/>
      </w:r>
      <w:r>
        <w:rPr>
          <w:rFonts w:ascii="宋体" w:hAnsi="宋体" w:cs="宋体"/>
          <w:highlight w:val="none"/>
        </w:rPr>
        <w:t>60</w:t>
      </w:r>
      <w:r>
        <w:rPr>
          <w:rFonts w:hint="eastAsia" w:ascii="宋体" w:hAnsi="宋体" w:cs="宋体"/>
          <w:highlight w:val="none"/>
        </w:rPr>
        <w:fldChar w:fldCharType="end"/>
      </w:r>
      <w:r>
        <w:rPr>
          <w:rFonts w:hint="eastAsia" w:ascii="宋体" w:hAnsi="宋体" w:cs="宋体"/>
          <w:highlight w:val="none"/>
        </w:rPr>
        <w:fldChar w:fldCharType="end"/>
      </w:r>
    </w:p>
    <w:p>
      <w:pPr>
        <w:spacing w:line="360" w:lineRule="auto"/>
        <w:ind w:firstLine="420" w:firstLineChars="200"/>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r>
        <w:rPr>
          <w:rFonts w:hint="eastAsia" w:ascii="宋体" w:hAnsi="宋体" w:cs="宋体"/>
          <w:bCs/>
          <w:lang w:val="zh-CN"/>
        </w:rPr>
        <w:fldChar w:fldCharType="end"/>
      </w:r>
    </w:p>
    <w:p>
      <w:pPr>
        <w:pStyle w:val="3"/>
        <w:keepNext w:val="0"/>
        <w:spacing w:line="360" w:lineRule="auto"/>
        <w:ind w:firstLine="643" w:firstLineChars="200"/>
        <w:rPr>
          <w:rFonts w:ascii="宋体" w:hAnsi="宋体" w:cs="宋体"/>
          <w:sz w:val="32"/>
          <w:szCs w:val="32"/>
        </w:rPr>
      </w:pPr>
      <w:bookmarkStart w:id="0" w:name="_Toc18373"/>
      <w:r>
        <w:rPr>
          <w:rFonts w:hint="eastAsia" w:ascii="宋体" w:hAnsi="宋体" w:cs="宋体"/>
          <w:sz w:val="32"/>
          <w:szCs w:val="32"/>
        </w:rPr>
        <w:t>第一章  谈判邀请公告</w:t>
      </w:r>
      <w:bookmarkEnd w:id="0"/>
    </w:p>
    <w:p>
      <w:pPr>
        <w:pStyle w:val="25"/>
        <w:adjustRightInd w:val="0"/>
        <w:snapToGrid w:val="0"/>
        <w:spacing w:line="360" w:lineRule="auto"/>
        <w:ind w:firstLine="420" w:firstLineChars="200"/>
        <w:rPr>
          <w:rFonts w:hAnsi="宋体"/>
          <w:iCs/>
          <w:u w:val="single"/>
        </w:rPr>
      </w:pPr>
    </w:p>
    <w:p>
      <w:pPr>
        <w:spacing w:line="360" w:lineRule="auto"/>
        <w:ind w:firstLine="420" w:firstLineChars="200"/>
        <w:jc w:val="left"/>
        <w:rPr>
          <w:rFonts w:ascii="宋体" w:hAnsi="宋体" w:cs="宋体"/>
          <w:iCs/>
          <w:u w:val="single"/>
        </w:rPr>
      </w:pPr>
      <w:r>
        <w:rPr>
          <w:rFonts w:hint="eastAsia" w:ascii="宋体" w:hAnsi="宋体" w:cs="宋体"/>
          <w:iCs/>
          <w:u w:val="single"/>
        </w:rPr>
        <w:t>湖南创迪工程管理咨询有限公司</w:t>
      </w:r>
      <w:r>
        <w:rPr>
          <w:rFonts w:hint="eastAsia" w:ascii="宋体" w:hAnsi="宋体" w:cs="宋体"/>
        </w:rPr>
        <w:t>受</w:t>
      </w:r>
      <w:r>
        <w:rPr>
          <w:rFonts w:hint="eastAsia" w:ascii="宋体" w:hAnsi="宋体" w:cs="宋体"/>
          <w:iCs/>
          <w:u w:val="single"/>
        </w:rPr>
        <w:t>长沙市轨道交通一号线建设发展有限公司</w:t>
      </w:r>
      <w:r>
        <w:rPr>
          <w:rFonts w:hint="eastAsia" w:ascii="宋体" w:hAnsi="宋体" w:cs="宋体"/>
        </w:rPr>
        <w:t>的委托，</w:t>
      </w:r>
      <w:r>
        <w:rPr>
          <w:rFonts w:hint="eastAsia" w:ascii="宋体" w:hAnsi="宋体" w:cs="宋体"/>
          <w:iCs/>
        </w:rPr>
        <w:t>对</w:t>
      </w:r>
      <w:r>
        <w:rPr>
          <w:rFonts w:hint="eastAsia" w:ascii="宋体" w:hAnsi="宋体" w:cs="宋体"/>
          <w:iCs/>
          <w:u w:val="single"/>
        </w:rPr>
        <w:t>长沙市轨道交通1号线一期工程运营期线路核心设备（LCC系统、服务器等）维护保养服务项目(2019-2020年度)</w:t>
      </w:r>
      <w:r>
        <w:rPr>
          <w:rFonts w:hint="eastAsia" w:ascii="宋体" w:hAnsi="宋体" w:cs="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iCs/>
        </w:rPr>
      </w:pPr>
      <w:r>
        <w:rPr>
          <w:rFonts w:hint="eastAsia" w:hAnsi="宋体" w:cs="宋体"/>
          <w:iCs/>
        </w:rPr>
        <w:t>1.项目名称：</w:t>
      </w:r>
      <w:r>
        <w:rPr>
          <w:rFonts w:hint="eastAsia" w:hAnsi="宋体" w:cs="宋体"/>
          <w:iCs/>
          <w:szCs w:val="24"/>
        </w:rPr>
        <w:t>长沙市轨道交通1号线一期工程运营期线路核心设备（LCC系统、服务器等）维护保养服务项目(2019-2020年度)</w:t>
      </w:r>
    </w:p>
    <w:p>
      <w:pPr>
        <w:pStyle w:val="25"/>
        <w:adjustRightInd w:val="0"/>
        <w:snapToGrid w:val="0"/>
        <w:spacing w:line="360" w:lineRule="auto"/>
        <w:ind w:firstLine="420" w:firstLineChars="200"/>
        <w:rPr>
          <w:rFonts w:hAnsi="宋体" w:cs="宋体"/>
          <w:iCs/>
        </w:rPr>
      </w:pPr>
      <w:r>
        <w:rPr>
          <w:rFonts w:hint="eastAsia" w:hAnsi="宋体" w:cs="宋体"/>
          <w:iCs/>
        </w:rPr>
        <w:t>2.</w:t>
      </w:r>
      <w:r>
        <w:rPr>
          <w:rFonts w:hint="eastAsia" w:hAnsi="宋体" w:cs="宋体"/>
          <w:iCs/>
          <w:color w:val="auto"/>
        </w:rPr>
        <w:t>项目</w:t>
      </w:r>
      <w:r>
        <w:rPr>
          <w:rFonts w:hint="eastAsia" w:hAnsi="宋体" w:cs="宋体"/>
          <w:iCs/>
          <w:color w:val="auto"/>
          <w:lang w:eastAsia="zh-CN"/>
        </w:rPr>
        <w:t>最高投标限价</w:t>
      </w:r>
      <w:r>
        <w:rPr>
          <w:rFonts w:hint="eastAsia" w:hAnsi="宋体" w:cs="宋体"/>
          <w:iCs/>
        </w:rPr>
        <w:t>：</w:t>
      </w:r>
      <w:r>
        <w:rPr>
          <w:rFonts w:hint="eastAsia" w:hAnsi="宋体" w:cs="宋体"/>
        </w:rPr>
        <w:t>361190.08元</w:t>
      </w:r>
    </w:p>
    <w:p>
      <w:pPr>
        <w:spacing w:line="360" w:lineRule="auto"/>
        <w:ind w:firstLine="420" w:firstLineChars="200"/>
        <w:jc w:val="left"/>
        <w:rPr>
          <w:rFonts w:ascii="宋体" w:hAnsi="宋体" w:cs="宋体"/>
          <w:iCs/>
        </w:rPr>
      </w:pPr>
      <w:r>
        <w:rPr>
          <w:rFonts w:hint="eastAsia" w:ascii="宋体" w:hAnsi="宋体" w:cs="宋体"/>
          <w:iCs/>
          <w:szCs w:val="21"/>
        </w:rPr>
        <w:t>3.</w:t>
      </w:r>
      <w:r>
        <w:rPr>
          <w:rFonts w:hint="eastAsia" w:ascii="宋体" w:hAnsi="宋体" w:cs="宋体"/>
          <w:iCs/>
        </w:rPr>
        <w:t>谈判内容：本项目主要为</w:t>
      </w:r>
      <w:r>
        <w:rPr>
          <w:rFonts w:hint="eastAsia" w:ascii="宋体" w:cs="宋体"/>
          <w:kern w:val="0"/>
        </w:rPr>
        <w:t>长沙市轨道交通1号线一期工程自动售检票系统（以下简称“AFC”）线路中心和AFC线网模拟测试平台的1号线中央计算机系统软硬件的维护、维修及技术支持、培训服务等工作</w:t>
      </w:r>
      <w:r>
        <w:rPr>
          <w:rFonts w:hint="eastAsia" w:ascii="宋体" w:hAnsi="宋体" w:cs="宋体"/>
        </w:rPr>
        <w:t>。</w:t>
      </w:r>
      <w:r>
        <w:rPr>
          <w:rFonts w:hint="eastAsia" w:ascii="宋体" w:hAnsi="宋体" w:cs="宋体"/>
          <w:iCs/>
        </w:rPr>
        <w:t>（具体详见用户需求书）</w:t>
      </w:r>
    </w:p>
    <w:p>
      <w:pPr>
        <w:spacing w:line="360" w:lineRule="auto"/>
        <w:ind w:firstLine="420" w:firstLineChars="200"/>
        <w:jc w:val="left"/>
        <w:rPr>
          <w:rFonts w:ascii="宋体" w:hAnsi="宋体" w:cs="宋体"/>
          <w:iCs/>
        </w:rPr>
      </w:pPr>
      <w:r>
        <w:rPr>
          <w:rFonts w:hint="eastAsia" w:ascii="宋体" w:hAnsi="宋体" w:cs="宋体"/>
          <w:iCs/>
        </w:rPr>
        <w:t>4</w:t>
      </w:r>
      <w:r>
        <w:rPr>
          <w:rFonts w:hint="eastAsia" w:ascii="宋体" w:hAnsi="宋体" w:cs="宋体"/>
          <w:iCs/>
          <w:szCs w:val="21"/>
        </w:rPr>
        <w:t>.</w:t>
      </w:r>
      <w:r>
        <w:rPr>
          <w:rFonts w:hint="eastAsia" w:ascii="宋体" w:hAnsi="宋体" w:cs="宋体"/>
          <w:iCs/>
        </w:rPr>
        <w:t>标段划分：共划分1个标段。</w:t>
      </w:r>
    </w:p>
    <w:p>
      <w:pPr>
        <w:spacing w:line="360" w:lineRule="auto"/>
        <w:ind w:firstLine="420" w:firstLineChars="200"/>
        <w:jc w:val="left"/>
        <w:rPr>
          <w:rFonts w:ascii="宋体" w:hAnsi="宋体" w:cs="宋体"/>
          <w:iCs/>
        </w:rPr>
      </w:pPr>
      <w:r>
        <w:rPr>
          <w:rFonts w:hint="eastAsia" w:ascii="宋体" w:hAnsi="宋体" w:cs="宋体"/>
          <w:iCs/>
        </w:rPr>
        <w:t>5</w:t>
      </w:r>
      <w:r>
        <w:rPr>
          <w:rFonts w:hint="eastAsia" w:ascii="宋体" w:hAnsi="宋体" w:cs="宋体"/>
          <w:iCs/>
          <w:szCs w:val="21"/>
        </w:rPr>
        <w:t>.</w:t>
      </w:r>
      <w:r>
        <w:rPr>
          <w:rFonts w:hint="eastAsia" w:ascii="宋体" w:hAnsi="宋体" w:cs="宋体"/>
          <w:iCs/>
        </w:rPr>
        <w:t>服务期限：</w:t>
      </w:r>
      <w:r>
        <w:rPr>
          <w:rFonts w:hint="eastAsia" w:ascii="宋体" w:hAnsi="宋体" w:cs="宋体"/>
        </w:rPr>
        <w:t>本项目服务期限暂定为</w:t>
      </w:r>
      <w:r>
        <w:rPr>
          <w:rFonts w:hint="eastAsia" w:ascii="宋体" w:hAnsi="宋体" w:cs="宋体"/>
          <w:highlight w:val="none"/>
        </w:rPr>
        <w:t>2019年12月1日</w:t>
      </w:r>
      <w:r>
        <w:rPr>
          <w:rFonts w:hint="eastAsia" w:ascii="宋体" w:hAnsi="宋体" w:cs="宋体"/>
        </w:rPr>
        <w:t>至2020年11月30日，总计12个月。（实际服务时间以供应商接到招标人发出的开工令起算，总计12个月）（具体详见用户需求书）</w:t>
      </w:r>
      <w:r>
        <w:rPr>
          <w:rFonts w:hint="eastAsia" w:ascii="宋体" w:hAnsi="宋体" w:cs="宋体"/>
          <w:iCs/>
        </w:rPr>
        <w:t>。</w:t>
      </w:r>
    </w:p>
    <w:p>
      <w:pPr>
        <w:pStyle w:val="25"/>
        <w:adjustRightInd w:val="0"/>
        <w:snapToGrid w:val="0"/>
        <w:spacing w:line="360" w:lineRule="auto"/>
        <w:ind w:firstLine="422" w:firstLineChars="200"/>
        <w:rPr>
          <w:rFonts w:hAnsi="宋体"/>
          <w:b/>
          <w:iCs/>
        </w:rPr>
      </w:pPr>
      <w:r>
        <w:rPr>
          <w:rFonts w:hint="eastAsia" w:hAnsi="宋体"/>
          <w:b/>
          <w:iCs/>
        </w:rPr>
        <w:t>二、资格要求</w:t>
      </w:r>
    </w:p>
    <w:p>
      <w:pPr>
        <w:spacing w:line="360" w:lineRule="auto"/>
        <w:ind w:firstLine="420" w:firstLineChars="200"/>
        <w:rPr>
          <w:rFonts w:ascii="宋体" w:hAnsi="宋体" w:cs="宋体"/>
          <w:iCs/>
        </w:rPr>
      </w:pPr>
      <w:r>
        <w:rPr>
          <w:rFonts w:hint="eastAsia" w:ascii="宋体" w:hAnsi="宋体" w:cs="宋体"/>
          <w:szCs w:val="21"/>
        </w:rPr>
        <w:t>1.</w:t>
      </w:r>
      <w:r>
        <w:rPr>
          <w:rFonts w:hint="eastAsia" w:ascii="宋体" w:hAnsi="宋体" w:cs="宋体"/>
          <w:iCs/>
        </w:rPr>
        <w:t>谈判单位须为具有独立法人资格、自主经营、独立核算的公司。</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iCs/>
        </w:rPr>
        <w:t>谈判单位须具有</w:t>
      </w:r>
      <w:r>
        <w:rPr>
          <w:rFonts w:hint="eastAsia" w:ascii="宋体" w:hAnsi="宋体" w:cs="宋体"/>
        </w:rPr>
        <w:t>ISO9000系列资质认证证书，须提供资质证书原件。</w:t>
      </w:r>
    </w:p>
    <w:p>
      <w:pPr>
        <w:spacing w:line="360" w:lineRule="auto"/>
        <w:ind w:firstLine="420" w:firstLineChars="200"/>
        <w:rPr>
          <w:rFonts w:ascii="宋体" w:hAnsi="宋体" w:cs="宋体"/>
          <w:color w:val="000000"/>
          <w:szCs w:val="21"/>
        </w:rPr>
      </w:pPr>
      <w:r>
        <w:rPr>
          <w:rFonts w:hint="eastAsia" w:ascii="宋体" w:hAnsi="宋体" w:cs="宋体"/>
          <w:szCs w:val="21"/>
        </w:rPr>
        <w:t>3.</w:t>
      </w:r>
      <w:r>
        <w:rPr>
          <w:rFonts w:hint="eastAsia" w:ascii="宋体" w:hAnsi="宋体" w:cs="宋体"/>
          <w:color w:val="000000"/>
          <w:szCs w:val="21"/>
        </w:rPr>
        <w:t>谈判单位在本项目响应文件递交截止之日前36个月内须具有</w:t>
      </w:r>
      <w:r>
        <w:rPr>
          <w:rFonts w:hint="eastAsia" w:ascii="宋体" w:hAnsi="宋体" w:cs="宋体"/>
        </w:rPr>
        <w:t>单项合同金额不少于20万元的轨道交通AFC系统建设或改造工程或AFC系统维保服务相关业绩</w:t>
      </w:r>
      <w:r>
        <w:rPr>
          <w:rFonts w:hint="eastAsia" w:ascii="宋体" w:hAnsi="宋体" w:cs="宋体"/>
          <w:color w:val="000000"/>
          <w:szCs w:val="21"/>
        </w:rPr>
        <w:t>。不接受联合体业绩、港澳台或境外业绩。</w:t>
      </w:r>
    </w:p>
    <w:p>
      <w:pPr>
        <w:spacing w:line="360" w:lineRule="auto"/>
        <w:ind w:firstLine="420" w:firstLineChars="200"/>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rPr>
        <w:t>本项目</w:t>
      </w:r>
      <w:r>
        <w:rPr>
          <w:rFonts w:hint="eastAsia" w:ascii="宋体" w:hAnsi="宋体" w:cs="宋体"/>
          <w:szCs w:val="21"/>
        </w:rPr>
        <w:t>谈判不接受联合体形式参与。</w:t>
      </w:r>
    </w:p>
    <w:p>
      <w:pPr>
        <w:spacing w:line="360" w:lineRule="auto"/>
        <w:ind w:firstLine="420" w:firstLineChars="200"/>
        <w:rPr>
          <w:rFonts w:ascii="宋体" w:hAnsi="宋体" w:cs="Courier New"/>
          <w:iCs/>
          <w:szCs w:val="21"/>
        </w:rPr>
      </w:pPr>
      <w:r>
        <w:rPr>
          <w:rFonts w:hint="eastAsia" w:ascii="宋体" w:hAnsi="宋体" w:cs="宋体"/>
          <w:szCs w:val="21"/>
        </w:rPr>
        <w:t>5.</w:t>
      </w:r>
      <w:r>
        <w:rPr>
          <w:rFonts w:hint="eastAsia" w:ascii="宋体" w:hAnsi="宋体" w:cs="宋体"/>
        </w:rPr>
        <w:t>被长沙市轨道交通集团函告禁止在一定期限内参与轨道公司项目投标的单位按函告内容执行</w:t>
      </w:r>
    </w:p>
    <w:p>
      <w:pPr>
        <w:spacing w:line="360" w:lineRule="auto"/>
        <w:ind w:firstLine="422" w:firstLineChars="200"/>
        <w:rPr>
          <w:rFonts w:hAnsi="宋体"/>
          <w:b/>
          <w:bCs/>
          <w:iCs/>
        </w:rPr>
      </w:pPr>
      <w:r>
        <w:rPr>
          <w:rFonts w:hint="eastAsia" w:ascii="宋体" w:hAnsi="宋体"/>
          <w:b/>
          <w:bCs/>
          <w:szCs w:val="21"/>
        </w:rPr>
        <w:t>三、</w:t>
      </w:r>
      <w:r>
        <w:rPr>
          <w:rFonts w:hint="eastAsia" w:hAnsi="宋体"/>
          <w:b/>
          <w:bCs/>
          <w:iCs/>
        </w:rPr>
        <w:t>评审办法</w:t>
      </w:r>
    </w:p>
    <w:p>
      <w:pPr>
        <w:adjustRightInd w:val="0"/>
        <w:snapToGrid w:val="0"/>
        <w:spacing w:line="360" w:lineRule="auto"/>
        <w:ind w:firstLine="420" w:firstLineChars="200"/>
        <w:rPr>
          <w:rFonts w:ascii="宋体" w:hAnsi="宋体"/>
          <w:szCs w:val="21"/>
        </w:rPr>
      </w:pPr>
      <w:r>
        <w:rPr>
          <w:rFonts w:hint="eastAsia" w:ascii="宋体" w:hAnsi="宋体" w:cs="Courier New"/>
          <w:iCs/>
          <w:szCs w:val="21"/>
        </w:rPr>
        <w:t>本项目评审办法采用经符合性审查合格后的最低价法。</w:t>
      </w:r>
    </w:p>
    <w:p>
      <w:pPr>
        <w:spacing w:line="360" w:lineRule="auto"/>
        <w:ind w:firstLine="422" w:firstLineChars="200"/>
        <w:rPr>
          <w:rFonts w:ascii="宋体" w:hAnsi="宋体"/>
          <w:b/>
          <w:bCs/>
          <w:szCs w:val="21"/>
        </w:rPr>
      </w:pPr>
      <w:r>
        <w:rPr>
          <w:rFonts w:hint="eastAsia" w:ascii="宋体" w:hAnsi="宋体"/>
          <w:b/>
          <w:bCs/>
          <w:color w:val="000000"/>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日至2019年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26</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w:t>
      </w:r>
      <w:r>
        <w:rPr>
          <w:rFonts w:hint="eastAsia" w:hAnsi="宋体"/>
          <w:b/>
          <w:bCs/>
          <w:iCs/>
        </w:rPr>
        <w:t>谈判文件的</w:t>
      </w:r>
      <w:r>
        <w:rPr>
          <w:rFonts w:hint="eastAsia" w:ascii="宋体" w:hAnsi="宋体"/>
          <w:b/>
          <w:bCs/>
          <w:szCs w:val="21"/>
        </w:rPr>
        <w:t>澄清与答疑</w:t>
      </w:r>
    </w:p>
    <w:p>
      <w:pPr>
        <w:spacing w:line="360" w:lineRule="auto"/>
        <w:ind w:firstLine="420" w:firstLineChars="200"/>
        <w:rPr>
          <w:rFonts w:ascii="宋体" w:hAnsi="宋体" w:cs="Courier New"/>
          <w:iCs/>
          <w:szCs w:val="21"/>
        </w:rPr>
      </w:pPr>
      <w:r>
        <w:rPr>
          <w:rFonts w:hint="eastAsia" w:ascii="宋体" w:hAnsi="宋体"/>
          <w:szCs w:val="21"/>
        </w:rPr>
        <w:t>1.</w:t>
      </w:r>
      <w:r>
        <w:rPr>
          <w:rFonts w:hint="eastAsia" w:ascii="宋体" w:hAnsi="宋体" w:cs="Courier New"/>
          <w:iCs/>
          <w:szCs w:val="21"/>
        </w:rPr>
        <w:t>本项目不组织答疑会和现场踏勘。</w:t>
      </w:r>
    </w:p>
    <w:p>
      <w:pPr>
        <w:spacing w:line="360" w:lineRule="auto"/>
        <w:ind w:firstLine="420" w:firstLineChars="200"/>
        <w:rPr>
          <w:rFonts w:ascii="宋体" w:hAnsi="宋体" w:cs="Courier New"/>
          <w:iCs/>
          <w:szCs w:val="21"/>
        </w:rPr>
      </w:pPr>
      <w:r>
        <w:rPr>
          <w:rFonts w:hint="eastAsia" w:ascii="宋体" w:hAnsi="宋体" w:cs="Courier New"/>
          <w:iCs/>
          <w:szCs w:val="21"/>
        </w:rPr>
        <w:t>2.谈判单位若对谈判文件有任何疑问，</w:t>
      </w:r>
      <w:r>
        <w:rPr>
          <w:rFonts w:hint="eastAsia" w:ascii="宋体" w:hAnsi="宋体"/>
          <w:szCs w:val="21"/>
        </w:rPr>
        <w:t>应于2019年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27</w:t>
      </w:r>
      <w:r>
        <w:rPr>
          <w:rFonts w:hint="eastAsia" w:ascii="宋体" w:hAnsi="宋体"/>
          <w:szCs w:val="21"/>
        </w:rPr>
        <w:t>日</w:t>
      </w:r>
      <w:r>
        <w:rPr>
          <w:rFonts w:hint="eastAsia" w:ascii="宋体" w:hAnsi="宋体" w:cs="Courier New"/>
          <w:iCs/>
          <w:szCs w:val="21"/>
        </w:rPr>
        <w:t>17：00时（含）前（节假日除外）以书面形式（经法定代表人签字或盖章，并加盖单位公章）递交至采购代理机构。</w:t>
      </w:r>
    </w:p>
    <w:p>
      <w:pPr>
        <w:spacing w:line="360" w:lineRule="auto"/>
        <w:ind w:firstLine="420" w:firstLineChars="200"/>
        <w:rPr>
          <w:rFonts w:ascii="宋体" w:hAnsi="宋体" w:cs="Courier New"/>
          <w:iCs/>
          <w:szCs w:val="21"/>
        </w:rPr>
      </w:pPr>
      <w:r>
        <w:rPr>
          <w:rFonts w:hint="eastAsia" w:ascii="宋体" w:hAnsi="宋体" w:cs="Courier New"/>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Courier New"/>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hAnsi="宋体"/>
          <w:b/>
          <w:iCs/>
        </w:rPr>
      </w:pPr>
      <w:r>
        <w:rPr>
          <w:rFonts w:hint="eastAsia" w:ascii="宋体" w:hAnsi="宋体" w:cs="宋体"/>
          <w:b/>
          <w:bCs/>
          <w:kern w:val="0"/>
          <w:szCs w:val="21"/>
        </w:rPr>
        <w:t>六</w:t>
      </w:r>
      <w:r>
        <w:rPr>
          <w:rFonts w:hint="eastAsia" w:ascii="宋体" w:hAnsi="宋体" w:cs="宋体"/>
          <w:kern w:val="0"/>
          <w:szCs w:val="21"/>
        </w:rPr>
        <w:t>、</w:t>
      </w:r>
      <w:r>
        <w:rPr>
          <w:rFonts w:hint="eastAsia" w:hAnsi="宋体"/>
          <w:b/>
          <w:iCs/>
        </w:rPr>
        <w:t>响应文件的递交</w:t>
      </w:r>
    </w:p>
    <w:p>
      <w:pPr>
        <w:spacing w:line="360" w:lineRule="auto"/>
        <w:ind w:firstLine="420" w:firstLineChars="200"/>
        <w:rPr>
          <w:rFonts w:ascii="宋体" w:hAnsi="宋体"/>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2019</w:t>
      </w:r>
      <w:r>
        <w:rPr>
          <w:rFonts w:ascii="宋体" w:hAnsi="宋体"/>
          <w:bCs/>
          <w:szCs w:val="21"/>
        </w:rPr>
        <w:t>年</w:t>
      </w:r>
      <w:r>
        <w:rPr>
          <w:rFonts w:hint="eastAsia" w:ascii="宋体" w:hAnsi="宋体"/>
          <w:bCs/>
          <w:szCs w:val="21"/>
          <w:u w:val="single"/>
          <w:lang w:val="en-US" w:eastAsia="zh-CN"/>
        </w:rPr>
        <w:t>12</w:t>
      </w:r>
      <w:r>
        <w:rPr>
          <w:rFonts w:ascii="宋体" w:hAnsi="宋体"/>
          <w:bCs/>
          <w:szCs w:val="21"/>
        </w:rPr>
        <w:t>月</w:t>
      </w:r>
      <w:r>
        <w:rPr>
          <w:rFonts w:hint="eastAsia" w:ascii="宋体" w:hAnsi="宋体"/>
          <w:bCs/>
          <w:szCs w:val="21"/>
          <w:u w:val="single"/>
          <w:lang w:val="en-US" w:eastAsia="zh-CN"/>
        </w:rPr>
        <w:t>3</w:t>
      </w:r>
      <w:r>
        <w:rPr>
          <w:rFonts w:ascii="宋体" w:hAnsi="宋体"/>
          <w:bCs/>
          <w:szCs w:val="21"/>
        </w:rPr>
        <w:t>日</w:t>
      </w:r>
      <w:r>
        <w:rPr>
          <w:rFonts w:hint="eastAsia" w:ascii="宋体" w:hAnsi="宋体"/>
          <w:bCs/>
          <w:szCs w:val="21"/>
          <w:u w:val="single"/>
          <w:lang w:val="en-US" w:eastAsia="zh-CN"/>
        </w:rPr>
        <w:t>14</w:t>
      </w:r>
      <w:r>
        <w:rPr>
          <w:rFonts w:ascii="宋体" w:hAnsi="宋体"/>
          <w:bCs/>
          <w:szCs w:val="21"/>
        </w:rPr>
        <w:t>时</w:t>
      </w:r>
      <w:r>
        <w:rPr>
          <w:rFonts w:hint="eastAsia" w:ascii="宋体" w:hAnsi="宋体"/>
          <w:bCs/>
          <w:szCs w:val="21"/>
          <w:u w:val="single"/>
          <w:lang w:val="en-US" w:eastAsia="zh-CN"/>
        </w:rPr>
        <w:t>30</w:t>
      </w:r>
      <w:r>
        <w:rPr>
          <w:rFonts w:ascii="宋体" w:hAnsi="宋体"/>
          <w:bCs/>
          <w:szCs w:val="21"/>
        </w:rPr>
        <w:t>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逾期送达的</w:t>
      </w:r>
      <w:r>
        <w:rPr>
          <w:rFonts w:hint="eastAsia" w:ascii="宋体" w:hAnsi="宋体"/>
          <w:szCs w:val="21"/>
        </w:rPr>
        <w:t>或者</w:t>
      </w:r>
      <w:r>
        <w:rPr>
          <w:rFonts w:ascii="宋体" w:hAnsi="宋体"/>
          <w:szCs w:val="21"/>
        </w:rPr>
        <w:t>未送达指定地点的或者</w:t>
      </w:r>
      <w:r>
        <w:rPr>
          <w:rFonts w:hint="eastAsia" w:ascii="宋体" w:hAnsi="宋体"/>
          <w:szCs w:val="21"/>
        </w:rPr>
        <w:t>未</w:t>
      </w:r>
      <w:r>
        <w:rPr>
          <w:rFonts w:ascii="宋体" w:hAnsi="宋体"/>
          <w:szCs w:val="21"/>
        </w:rPr>
        <w:t>密封的</w:t>
      </w:r>
      <w:r>
        <w:rPr>
          <w:rFonts w:hint="eastAsia" w:ascii="宋体" w:hAnsi="宋体"/>
          <w:szCs w:val="21"/>
        </w:rPr>
        <w:t>响应</w:t>
      </w:r>
      <w:r>
        <w:rPr>
          <w:rFonts w:ascii="宋体" w:hAnsi="宋体"/>
          <w:szCs w:val="21"/>
        </w:rPr>
        <w:t>文件，</w:t>
      </w:r>
      <w:r>
        <w:rPr>
          <w:rFonts w:hint="eastAsia" w:ascii="宋体" w:hAnsi="宋体"/>
          <w:szCs w:val="21"/>
        </w:rPr>
        <w:t>采购单位或采购代理机构</w:t>
      </w:r>
      <w:r>
        <w:rPr>
          <w:rFonts w:ascii="宋体" w:hAnsi="宋体"/>
          <w:szCs w:val="21"/>
        </w:rPr>
        <w:t>将予以</w:t>
      </w:r>
      <w:r>
        <w:rPr>
          <w:rFonts w:ascii="宋体" w:hAnsi="宋体"/>
          <w:b/>
          <w:bCs/>
          <w:szCs w:val="21"/>
        </w:rPr>
        <w:t>拒收</w:t>
      </w:r>
      <w:r>
        <w:rPr>
          <w:rFonts w:ascii="宋体" w:hAnsi="宋体"/>
          <w:szCs w:val="21"/>
        </w:rPr>
        <w:t>。</w:t>
      </w:r>
    </w:p>
    <w:p>
      <w:pPr>
        <w:spacing w:line="360" w:lineRule="auto"/>
        <w:ind w:firstLine="422" w:firstLineChars="200"/>
        <w:rPr>
          <w:rFonts w:ascii="黑体" w:hAnsi="黑体" w:eastAsia="黑体" w:cs="黑体"/>
          <w:b/>
          <w:sz w:val="24"/>
        </w:rPr>
      </w:pPr>
      <w:r>
        <w:rPr>
          <w:rFonts w:hint="eastAsia" w:ascii="宋体" w:hAnsi="宋体" w:cs="Courier New"/>
          <w:b/>
          <w:iCs/>
          <w:szCs w:val="21"/>
        </w:rPr>
        <w:t>七、采购单位及其委托的采购代理机构的名称、地址和联系方法</w:t>
      </w:r>
    </w:p>
    <w:p>
      <w:pPr>
        <w:adjustRightInd w:val="0"/>
        <w:snapToGrid w:val="0"/>
        <w:spacing w:line="360" w:lineRule="auto"/>
        <w:ind w:firstLine="420" w:firstLineChars="200"/>
        <w:rPr>
          <w:rFonts w:ascii="宋体" w:hAnsi="宋体"/>
          <w:szCs w:val="21"/>
        </w:rPr>
      </w:pPr>
      <w:r>
        <w:rPr>
          <w:rFonts w:hint="eastAsia" w:ascii="宋体" w:hAnsi="宋体"/>
          <w:szCs w:val="21"/>
        </w:rPr>
        <w:t>采购单位：</w:t>
      </w:r>
      <w:r>
        <w:rPr>
          <w:rFonts w:hint="eastAsia" w:ascii="宋体" w:hAnsi="宋体" w:cs="宋体"/>
          <w:iCs/>
        </w:rPr>
        <w:t>长沙市轨道交通一号线建设发展有限公司</w:t>
      </w:r>
    </w:p>
    <w:p>
      <w:pPr>
        <w:adjustRightInd w:val="0"/>
        <w:snapToGrid w:val="0"/>
        <w:spacing w:line="360" w:lineRule="auto"/>
        <w:ind w:firstLine="420" w:firstLineChars="200"/>
        <w:rPr>
          <w:rFonts w:ascii="宋体" w:hAnsi="宋体"/>
          <w:szCs w:val="21"/>
          <w:u w:val="single"/>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kern w:val="0"/>
          <w:szCs w:val="21"/>
          <w:shd w:val="clear" w:color="auto" w:fill="FFFFFF"/>
        </w:rPr>
        <w:t>综合楼9</w:t>
      </w:r>
      <w:r>
        <w:rPr>
          <w:rFonts w:hint="eastAsia" w:ascii="宋体" w:hAnsi="宋体" w:cs="宋体"/>
          <w:szCs w:val="21"/>
        </w:rPr>
        <w:t>楼910室</w:t>
      </w:r>
    </w:p>
    <w:p>
      <w:pPr>
        <w:adjustRightInd w:val="0"/>
        <w:snapToGrid w:val="0"/>
        <w:spacing w:line="360" w:lineRule="auto"/>
        <w:ind w:firstLine="420" w:firstLineChars="200"/>
        <w:rPr>
          <w:rFonts w:ascii="宋体" w:hAnsi="宋体"/>
          <w:bCs/>
          <w:szCs w:val="21"/>
        </w:rPr>
      </w:pPr>
      <w:r>
        <w:rPr>
          <w:rFonts w:hint="eastAsia" w:ascii="宋体" w:hAnsi="宋体"/>
          <w:bCs/>
          <w:szCs w:val="21"/>
        </w:rPr>
        <w:t>联系人：</w:t>
      </w:r>
      <w:r>
        <w:rPr>
          <w:rFonts w:hint="eastAsia" w:ascii="宋体" w:hAnsi="宋体"/>
          <w:szCs w:val="21"/>
        </w:rPr>
        <w:t>沈工</w:t>
      </w:r>
    </w:p>
    <w:p>
      <w:pPr>
        <w:adjustRightInd w:val="0"/>
        <w:snapToGrid w:val="0"/>
        <w:spacing w:line="360" w:lineRule="auto"/>
        <w:ind w:firstLine="420" w:firstLineChars="200"/>
        <w:rPr>
          <w:rFonts w:ascii="宋体" w:hAnsi="宋体"/>
          <w:bCs/>
          <w:szCs w:val="21"/>
        </w:rPr>
      </w:pPr>
      <w:r>
        <w:rPr>
          <w:rFonts w:hint="eastAsia" w:ascii="宋体" w:hAnsi="宋体"/>
          <w:bCs/>
          <w:szCs w:val="21"/>
        </w:rPr>
        <w:t>电  话：</w:t>
      </w:r>
      <w:r>
        <w:rPr>
          <w:rFonts w:hint="eastAsia" w:ascii="宋体" w:hAnsi="宋体"/>
          <w:szCs w:val="21"/>
        </w:rPr>
        <w:t>0731-86852347</w:t>
      </w:r>
    </w:p>
    <w:p>
      <w:pPr>
        <w:adjustRightInd w:val="0"/>
        <w:snapToGrid w:val="0"/>
        <w:spacing w:line="360" w:lineRule="auto"/>
        <w:ind w:firstLine="420" w:firstLineChars="200"/>
        <w:rPr>
          <w:rFonts w:ascii="宋体" w:hAnsi="宋体"/>
          <w:szCs w:val="21"/>
        </w:rPr>
      </w:pPr>
      <w:r>
        <w:rPr>
          <w:rFonts w:hint="eastAsia" w:ascii="宋体" w:hAnsi="宋体"/>
          <w:bCs/>
          <w:szCs w:val="21"/>
        </w:rPr>
        <w:t>监督举报电话：</w:t>
      </w:r>
      <w:r>
        <w:rPr>
          <w:rFonts w:hint="eastAsia" w:ascii="宋体" w:hAnsi="宋体"/>
          <w:szCs w:val="21"/>
        </w:rPr>
        <w:t>0731-86852248</w:t>
      </w:r>
    </w:p>
    <w:p>
      <w:pPr>
        <w:adjustRightInd w:val="0"/>
        <w:snapToGrid w:val="0"/>
        <w:spacing w:line="360" w:lineRule="auto"/>
        <w:ind w:firstLine="420" w:firstLineChars="200"/>
        <w:rPr>
          <w:rFonts w:ascii="宋体" w:hAnsi="宋体"/>
          <w:szCs w:val="21"/>
        </w:rPr>
      </w:pPr>
      <w:r>
        <w:rPr>
          <w:rFonts w:hint="eastAsia" w:ascii="宋体" w:hAnsi="宋体"/>
          <w:szCs w:val="21"/>
        </w:rPr>
        <w:t>联系人：文工</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采购代理机构：</w:t>
      </w:r>
      <w:r>
        <w:rPr>
          <w:rFonts w:hint="eastAsia" w:hAnsi="宋体"/>
          <w:b/>
          <w:bCs/>
        </w:rPr>
        <w:t>湖南创迪工程管理咨询有限公司</w:t>
      </w:r>
    </w:p>
    <w:p>
      <w:pPr>
        <w:adjustRightInd w:val="0"/>
        <w:snapToGrid w:val="0"/>
        <w:spacing w:line="360" w:lineRule="auto"/>
        <w:ind w:firstLine="420" w:firstLineChars="200"/>
        <w:rPr>
          <w:rFonts w:ascii="宋体" w:hAnsi="宋体"/>
          <w:szCs w:val="21"/>
        </w:rPr>
      </w:pPr>
      <w:r>
        <w:rPr>
          <w:rFonts w:hint="eastAsia" w:ascii="宋体" w:hAnsi="宋体"/>
          <w:szCs w:val="21"/>
        </w:rPr>
        <w:t>地  址：</w:t>
      </w:r>
      <w:r>
        <w:rPr>
          <w:rFonts w:hint="eastAsia" w:ascii="宋体" w:hAnsi="宋体" w:cs="宋体"/>
        </w:rPr>
        <w:t>长沙市开福区芙蓉中路一段469号新闻大厦8楼D座</w:t>
      </w:r>
    </w:p>
    <w:p>
      <w:pPr>
        <w:spacing w:line="360" w:lineRule="auto"/>
        <w:ind w:firstLine="420" w:firstLineChars="200"/>
        <w:rPr>
          <w:rFonts w:ascii="宋体" w:hAnsi="宋体"/>
          <w:szCs w:val="21"/>
        </w:rPr>
      </w:pPr>
      <w:r>
        <w:rPr>
          <w:rFonts w:hint="eastAsia" w:ascii="宋体" w:hAnsi="宋体"/>
          <w:szCs w:val="21"/>
        </w:rPr>
        <w:t>联系人：</w:t>
      </w:r>
      <w:r>
        <w:rPr>
          <w:rFonts w:hint="eastAsia" w:hAnsi="宋体"/>
        </w:rPr>
        <w:t>周康 彭伟</w:t>
      </w:r>
    </w:p>
    <w:p>
      <w:pPr>
        <w:spacing w:line="360" w:lineRule="auto"/>
        <w:ind w:firstLine="420" w:firstLineChars="200"/>
        <w:rPr>
          <w:rFonts w:hAnsi="宋体"/>
        </w:rPr>
      </w:pPr>
      <w:r>
        <w:rPr>
          <w:rFonts w:hint="eastAsia" w:hAnsi="宋体"/>
        </w:rPr>
        <w:t>电  话</w:t>
      </w:r>
      <w:r>
        <w:rPr>
          <w:rFonts w:hint="eastAsia" w:ascii="宋体" w:hAnsi="宋体"/>
          <w:szCs w:val="21"/>
        </w:rPr>
        <w:t>：0731</w:t>
      </w:r>
      <w:r>
        <w:rPr>
          <w:rFonts w:ascii="宋体" w:hAnsi="宋体"/>
          <w:szCs w:val="21"/>
        </w:rPr>
        <w:t>-</w:t>
      </w:r>
      <w:r>
        <w:rPr>
          <w:rFonts w:hint="eastAsia" w:ascii="宋体" w:hAnsi="宋体"/>
          <w:szCs w:val="21"/>
        </w:rPr>
        <w:t>84317978</w:t>
      </w:r>
    </w:p>
    <w:p>
      <w:pPr>
        <w:spacing w:line="360" w:lineRule="auto"/>
        <w:ind w:firstLine="420" w:firstLineChars="200"/>
        <w:jc w:val="right"/>
        <w:rPr>
          <w:rFonts w:ascii="宋体" w:hAnsi="宋体"/>
          <w:szCs w:val="21"/>
        </w:rPr>
      </w:pPr>
      <w:r>
        <w:rPr>
          <w:rFonts w:hint="eastAsia" w:ascii="宋体" w:hAnsi="宋体"/>
          <w:szCs w:val="21"/>
        </w:rPr>
        <w:t>2019年</w:t>
      </w:r>
      <w:r>
        <w:rPr>
          <w:rFonts w:hint="eastAsia" w:ascii="宋体" w:hAnsi="宋体"/>
          <w:szCs w:val="21"/>
          <w:u w:val="single"/>
          <w:lang w:val="en-US" w:eastAsia="zh-CN"/>
        </w:rPr>
        <w:t>11</w:t>
      </w:r>
      <w:r>
        <w:rPr>
          <w:rFonts w:hint="eastAsia" w:ascii="宋体" w:hAnsi="宋体"/>
          <w:szCs w:val="21"/>
        </w:rPr>
        <w:t>月</w:t>
      </w:r>
      <w:r>
        <w:rPr>
          <w:rFonts w:hint="eastAsia" w:ascii="宋体" w:hAnsi="宋体"/>
          <w:szCs w:val="21"/>
          <w:u w:val="single"/>
          <w:lang w:val="en-US" w:eastAsia="zh-CN"/>
        </w:rPr>
        <w:t>20</w:t>
      </w:r>
      <w:r>
        <w:rPr>
          <w:rFonts w:hint="eastAsia" w:ascii="宋体" w:hAnsi="宋体"/>
          <w:szCs w:val="21"/>
        </w:rPr>
        <w:t>日</w:t>
      </w:r>
    </w:p>
    <w:p>
      <w:pPr>
        <w:pStyle w:val="3"/>
        <w:keepNext w:val="0"/>
        <w:spacing w:after="240" w:line="360" w:lineRule="auto"/>
        <w:ind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cs="宋体"/>
          <w:bCs w:val="0"/>
          <w:sz w:val="32"/>
          <w:szCs w:val="32"/>
        </w:rPr>
        <w:t>第二章  谈判须知</w:t>
      </w:r>
      <w:bookmarkEnd w:id="1"/>
    </w:p>
    <w:p>
      <w:pPr>
        <w:pStyle w:val="4"/>
        <w:keepNext w:val="0"/>
        <w:keepLines w:val="0"/>
        <w:ind w:firstLine="643" w:firstLineChars="200"/>
        <w:jc w:val="center"/>
        <w:rPr>
          <w:rFonts w:ascii="宋体" w:hAnsi="宋体" w:cs="宋体"/>
          <w:sz w:val="32"/>
        </w:rPr>
      </w:pPr>
      <w:bookmarkStart w:id="2" w:name="_Toc22770"/>
      <w:r>
        <w:rPr>
          <w:rFonts w:hint="eastAsia" w:ascii="宋体" w:hAnsi="宋体" w:cs="宋体"/>
          <w:sz w:val="32"/>
        </w:rPr>
        <w:t>谈判须知前附表</w:t>
      </w:r>
      <w:bookmarkEnd w:id="2"/>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88" w:type="dxa"/>
            <w:vAlign w:val="center"/>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88" w:type="dxa"/>
            <w:vAlign w:val="center"/>
          </w:tcPr>
          <w:p>
            <w:pPr>
              <w:adjustRightInd w:val="0"/>
              <w:snapToGrid w:val="0"/>
              <w:spacing w:line="360" w:lineRule="auto"/>
              <w:rPr>
                <w:rFonts w:hAnsi="宋体" w:cs="宋体"/>
              </w:rPr>
            </w:pPr>
            <w:r>
              <w:rPr>
                <w:rFonts w:hint="eastAsia" w:ascii="宋体" w:hAnsi="宋体" w:cs="宋体"/>
                <w:iCs/>
                <w:szCs w:val="21"/>
              </w:rPr>
              <w:t>长沙市轨道交通1号线一期工程运营期线路核心设备（LCC系统、服务器等）维护保养服务项目(2019-2020年度)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88" w:type="dxa"/>
            <w:vAlign w:val="center"/>
          </w:tcPr>
          <w:p>
            <w:pPr>
              <w:adjustRightInd w:val="0"/>
              <w:snapToGrid w:val="0"/>
              <w:spacing w:line="360" w:lineRule="auto"/>
              <w:rPr>
                <w:rFonts w:ascii="宋体" w:hAnsi="宋体" w:cs="宋体"/>
                <w:iCs/>
                <w:szCs w:val="21"/>
              </w:rPr>
            </w:pPr>
            <w:r>
              <w:rPr>
                <w:rFonts w:hint="eastAsia" w:ascii="宋体" w:hAnsi="宋体" w:cs="宋体"/>
                <w:iCs/>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88" w:type="dxa"/>
            <w:vAlign w:val="center"/>
          </w:tcPr>
          <w:p>
            <w:pPr>
              <w:adjustRightInd w:val="0"/>
              <w:snapToGrid w:val="0"/>
              <w:spacing w:line="360" w:lineRule="auto"/>
              <w:rPr>
                <w:rFonts w:ascii="宋体" w:hAnsi="宋体" w:cs="宋体"/>
                <w:iCs/>
                <w:szCs w:val="21"/>
              </w:rPr>
            </w:pPr>
            <w:r>
              <w:rPr>
                <w:rFonts w:hint="eastAsia" w:hAnsi="宋体"/>
              </w:rPr>
              <w:t>湖南创迪工程管理咨询有限公司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最高投标限价</w:t>
            </w:r>
          </w:p>
        </w:tc>
        <w:tc>
          <w:tcPr>
            <w:tcW w:w="7788" w:type="dxa"/>
            <w:vAlign w:val="center"/>
          </w:tcPr>
          <w:p>
            <w:pPr>
              <w:adjustRightInd w:val="0"/>
              <w:snapToGrid w:val="0"/>
              <w:spacing w:line="360" w:lineRule="auto"/>
              <w:rPr>
                <w:rFonts w:ascii="宋体" w:hAnsi="宋体" w:cs="宋体"/>
                <w:iCs/>
                <w:szCs w:val="21"/>
              </w:rPr>
            </w:pPr>
            <w:r>
              <w:rPr>
                <w:rFonts w:hint="eastAsia" w:ascii="宋体" w:hAnsi="宋体" w:cs="宋体"/>
              </w:rPr>
              <w:t>361190.08</w:t>
            </w:r>
            <w:r>
              <w:rPr>
                <w:rFonts w:hint="eastAsia" w:ascii="宋体" w:hAnsi="宋体" w:cs="宋体"/>
                <w:iCs/>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88" w:type="dxa"/>
            <w:vAlign w:val="center"/>
          </w:tcPr>
          <w:p>
            <w:pPr>
              <w:adjustRightInd w:val="0"/>
              <w:snapToGrid w:val="0"/>
              <w:spacing w:line="360" w:lineRule="auto"/>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资格要求</w:t>
            </w:r>
          </w:p>
        </w:tc>
        <w:tc>
          <w:tcPr>
            <w:tcW w:w="7788" w:type="dxa"/>
            <w:vAlign w:val="center"/>
          </w:tcPr>
          <w:p>
            <w:pPr>
              <w:spacing w:line="360" w:lineRule="auto"/>
              <w:rPr>
                <w:rFonts w:ascii="宋体" w:hAnsi="宋体" w:cs="宋体"/>
                <w:iCs/>
              </w:rPr>
            </w:pPr>
            <w:r>
              <w:rPr>
                <w:rFonts w:hint="eastAsia" w:ascii="宋体" w:hAnsi="宋体" w:cs="宋体"/>
                <w:szCs w:val="21"/>
              </w:rPr>
              <w:t>1.</w:t>
            </w:r>
            <w:r>
              <w:rPr>
                <w:rFonts w:hint="eastAsia" w:ascii="宋体" w:hAnsi="宋体" w:cs="宋体"/>
                <w:iCs/>
              </w:rPr>
              <w:t>谈判单位须为具有独立法人资格、自主经营、独立核算的公司。</w:t>
            </w:r>
          </w:p>
          <w:p>
            <w:pPr>
              <w:spacing w:line="360" w:lineRule="auto"/>
              <w:rPr>
                <w:rFonts w:ascii="宋体" w:hAnsi="宋体" w:cs="宋体"/>
                <w:szCs w:val="21"/>
              </w:rPr>
            </w:pPr>
            <w:r>
              <w:rPr>
                <w:rFonts w:hint="eastAsia" w:ascii="宋体" w:hAnsi="宋体" w:cs="宋体"/>
                <w:szCs w:val="21"/>
              </w:rPr>
              <w:t>2.</w:t>
            </w:r>
            <w:r>
              <w:rPr>
                <w:rFonts w:hint="eastAsia" w:ascii="宋体" w:hAnsi="宋体" w:cs="宋体"/>
                <w:iCs/>
              </w:rPr>
              <w:t>谈判单位须具有</w:t>
            </w:r>
            <w:r>
              <w:rPr>
                <w:rFonts w:hint="eastAsia" w:ascii="宋体" w:hAnsi="宋体" w:cs="宋体"/>
              </w:rPr>
              <w:t>ISO9000系列资质认证证书，须提供资质证书原件。</w:t>
            </w:r>
          </w:p>
          <w:p>
            <w:pPr>
              <w:spacing w:line="360" w:lineRule="auto"/>
              <w:rPr>
                <w:rFonts w:ascii="宋体" w:hAnsi="宋体" w:cs="宋体"/>
                <w:color w:val="000000"/>
                <w:szCs w:val="21"/>
              </w:rPr>
            </w:pPr>
            <w:r>
              <w:rPr>
                <w:rFonts w:hint="eastAsia" w:ascii="宋体" w:hAnsi="宋体" w:cs="宋体"/>
                <w:szCs w:val="21"/>
              </w:rPr>
              <w:t>3.</w:t>
            </w:r>
            <w:r>
              <w:rPr>
                <w:rFonts w:hint="eastAsia" w:ascii="宋体" w:hAnsi="宋体" w:cs="宋体"/>
                <w:color w:val="000000"/>
                <w:szCs w:val="21"/>
              </w:rPr>
              <w:t>谈判单位在本项目响应文件递交截止之日前36个月内须具有</w:t>
            </w:r>
            <w:r>
              <w:rPr>
                <w:rFonts w:hint="eastAsia" w:ascii="宋体" w:hAnsi="宋体" w:cs="宋体"/>
              </w:rPr>
              <w:t>单项合同金额不少于20万元的轨道交通AFC系统建设或改造工程或AFC系统维保服务相关业绩</w:t>
            </w:r>
            <w:r>
              <w:rPr>
                <w:rFonts w:hint="eastAsia" w:ascii="宋体" w:hAnsi="宋体" w:cs="宋体"/>
                <w:color w:val="000000"/>
                <w:szCs w:val="21"/>
              </w:rPr>
              <w:t>。不接受联合体业绩、港澳台或境外业绩。</w:t>
            </w:r>
          </w:p>
          <w:p>
            <w:pPr>
              <w:spacing w:line="360" w:lineRule="auto"/>
              <w:rPr>
                <w:rFonts w:ascii="宋体" w:hAnsi="宋体" w:cs="宋体"/>
                <w:kern w:val="0"/>
                <w:szCs w:val="21"/>
              </w:rPr>
            </w:pPr>
            <w:r>
              <w:rPr>
                <w:rFonts w:hint="eastAsia" w:ascii="宋体" w:hAnsi="宋体" w:cs="宋体"/>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rPr>
                <w:rFonts w:ascii="宋体" w:hAnsi="宋体" w:cs="宋体"/>
                <w:szCs w:val="21"/>
              </w:rPr>
            </w:pPr>
            <w:r>
              <w:rPr>
                <w:rFonts w:hint="eastAsia" w:ascii="宋体" w:hAnsi="宋体" w:cs="宋体"/>
                <w:szCs w:val="21"/>
              </w:rPr>
              <w:t>4.</w:t>
            </w:r>
            <w:r>
              <w:rPr>
                <w:rFonts w:hint="eastAsia" w:ascii="宋体" w:hAnsi="宋体" w:cs="宋体"/>
              </w:rPr>
              <w:t>本项目</w:t>
            </w:r>
            <w:r>
              <w:rPr>
                <w:rFonts w:hint="eastAsia" w:ascii="宋体" w:hAnsi="宋体" w:cs="宋体"/>
                <w:szCs w:val="21"/>
              </w:rPr>
              <w:t>谈判不接受联合体形式参与。</w:t>
            </w:r>
          </w:p>
          <w:p>
            <w:pPr>
              <w:spacing w:line="360" w:lineRule="auto"/>
              <w:rPr>
                <w:rFonts w:ascii="宋体" w:hAnsi="宋体" w:cs="Courier New"/>
                <w:iCs/>
                <w:szCs w:val="21"/>
              </w:rPr>
            </w:pPr>
            <w:r>
              <w:rPr>
                <w:rFonts w:hint="eastAsia" w:ascii="宋体" w:hAnsi="宋体" w:cs="宋体"/>
                <w:szCs w:val="21"/>
              </w:rPr>
              <w:t>5.</w:t>
            </w:r>
            <w:r>
              <w:rPr>
                <w:rFonts w:hint="eastAsia" w:ascii="宋体" w:hAnsi="宋体" w:cs="宋体"/>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88" w:type="dxa"/>
            <w:vAlign w:val="center"/>
          </w:tcPr>
          <w:p>
            <w:pPr>
              <w:pStyle w:val="25"/>
              <w:adjustRightInd w:val="0"/>
              <w:snapToGrid w:val="0"/>
              <w:spacing w:line="360" w:lineRule="auto"/>
              <w:rPr>
                <w:rFonts w:hAnsi="宋体" w:cs="宋体"/>
                <w:color w:val="000000"/>
              </w:rPr>
            </w:pPr>
            <w:r>
              <w:rPr>
                <w:rFonts w:hint="eastAsia" w:hAnsi="宋体" w:cs="宋体"/>
                <w:u w:val="single"/>
              </w:rPr>
              <w:t>2019</w:t>
            </w:r>
            <w:r>
              <w:rPr>
                <w:rFonts w:hint="eastAsia" w:hAnsi="宋体" w:cs="宋体"/>
              </w:rPr>
              <w:t>年</w:t>
            </w:r>
            <w:r>
              <w:rPr>
                <w:rFonts w:hint="eastAsia" w:hAnsi="宋体" w:cs="宋体"/>
                <w:u w:val="single"/>
                <w:lang w:val="en-US" w:eastAsia="zh-CN"/>
              </w:rPr>
              <w:t>11</w:t>
            </w:r>
            <w:r>
              <w:rPr>
                <w:rFonts w:hint="eastAsia" w:hAnsi="宋体" w:cs="宋体"/>
              </w:rPr>
              <w:t>月</w:t>
            </w:r>
            <w:r>
              <w:rPr>
                <w:rFonts w:hint="eastAsia" w:hAnsi="宋体" w:cs="宋体"/>
                <w:u w:val="single"/>
                <w:lang w:val="en-US" w:eastAsia="zh-CN"/>
              </w:rPr>
              <w:t>27</w:t>
            </w:r>
            <w:r>
              <w:rPr>
                <w:rFonts w:hint="eastAsia" w:hAnsi="宋体" w:cs="宋体"/>
              </w:rPr>
              <w:t>日</w:t>
            </w:r>
            <w:r>
              <w:rPr>
                <w:rFonts w:hint="eastAsia" w:hAnsi="宋体" w:cs="宋体"/>
                <w:u w:val="single"/>
                <w:lang w:val="en-US" w:eastAsia="zh-CN"/>
              </w:rPr>
              <w:t>17</w:t>
            </w:r>
            <w:r>
              <w:rPr>
                <w:rFonts w:hint="eastAsia" w:hAnsi="宋体" w:cs="宋体"/>
              </w:rPr>
              <w:t>时</w:t>
            </w:r>
            <w:r>
              <w:rPr>
                <w:rFonts w:hint="eastAsia" w:hAnsi="宋体" w:cs="宋体"/>
                <w:u w:val="single"/>
                <w:lang w:val="en-US" w:eastAsia="zh-CN"/>
              </w:rPr>
              <w:t>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88" w:type="dxa"/>
            <w:vAlign w:val="center"/>
          </w:tcPr>
          <w:p>
            <w:pPr>
              <w:pStyle w:val="25"/>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hAnsi="宋体"/>
              </w:rPr>
              <w:t>长沙市开福区芙蓉中路一段469号新闻大厦8楼D座湖南创迪工程管理咨询有限公司</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u w:val="single"/>
              </w:rPr>
              <w:t>2019</w:t>
            </w:r>
            <w:r>
              <w:rPr>
                <w:rFonts w:hint="eastAsia" w:ascii="宋体" w:hAnsi="宋体" w:cs="宋体"/>
              </w:rPr>
              <w:t>年</w:t>
            </w:r>
            <w:r>
              <w:rPr>
                <w:rFonts w:hint="eastAsia" w:ascii="宋体" w:hAnsi="宋体" w:cs="宋体"/>
                <w:u w:val="single"/>
                <w:lang w:val="en-US" w:eastAsia="zh-CN"/>
              </w:rPr>
              <w:t>12</w:t>
            </w:r>
            <w:r>
              <w:rPr>
                <w:rFonts w:hint="eastAsia" w:ascii="宋体" w:hAnsi="宋体" w:cs="宋体"/>
              </w:rPr>
              <w:t>月</w:t>
            </w:r>
            <w:r>
              <w:rPr>
                <w:rFonts w:hint="eastAsia" w:ascii="宋体" w:hAnsi="宋体" w:cs="宋体"/>
                <w:u w:val="single"/>
                <w:lang w:val="en-US" w:eastAsia="zh-CN"/>
              </w:rPr>
              <w:t>3</w:t>
            </w:r>
            <w:r>
              <w:rPr>
                <w:rFonts w:hint="eastAsia" w:ascii="宋体" w:hAnsi="宋体" w:cs="宋体"/>
              </w:rPr>
              <w:t>日</w:t>
            </w:r>
            <w:r>
              <w:rPr>
                <w:rFonts w:hint="eastAsia" w:ascii="宋体" w:hAnsi="宋体" w:cs="宋体"/>
                <w:u w:val="single"/>
                <w:lang w:val="en-US" w:eastAsia="zh-CN"/>
              </w:rPr>
              <w:t>14</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r>
              <w:rPr>
                <w:rFonts w:hint="eastAsia" w:ascii="宋体" w:hAnsi="宋体" w:cs="Courier New"/>
                <w:i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仿宋_GB2312"/>
                <w:b/>
                <w:szCs w:val="21"/>
              </w:rPr>
            </w:pPr>
            <w:bookmarkStart w:id="185" w:name="_GoBack" w:colFirst="1" w:colLast="1"/>
            <w:r>
              <w:rPr>
                <w:rFonts w:hint="eastAsia" w:ascii="宋体" w:hAnsi="宋体" w:cs="仿宋_GB2312"/>
                <w:b/>
                <w:szCs w:val="21"/>
              </w:rPr>
              <w:t>价格承包内容</w:t>
            </w:r>
          </w:p>
        </w:tc>
        <w:tc>
          <w:tcPr>
            <w:tcW w:w="7788" w:type="dxa"/>
            <w:vAlign w:val="center"/>
          </w:tcPr>
          <w:p>
            <w:pPr>
              <w:keepNext w:val="0"/>
              <w:keepLines w:val="0"/>
              <w:pageBreakBefore w:val="0"/>
              <w:widowControl w:val="0"/>
              <w:kinsoku/>
              <w:wordWrap/>
              <w:overflowPunct/>
              <w:topLinePunct w:val="0"/>
              <w:bidi w:val="0"/>
              <w:adjustRightInd w:val="0"/>
              <w:snapToGrid w:val="0"/>
              <w:spacing w:line="360" w:lineRule="auto"/>
              <w:rPr>
                <w:rFonts w:ascii="宋体" w:hAnsi="宋体" w:cs="宋体"/>
                <w:szCs w:val="21"/>
              </w:rPr>
            </w:pPr>
            <w:r>
              <w:rPr>
                <w:rFonts w:hint="eastAsia" w:ascii="宋体" w:hAnsi="宋体" w:cs="宋体"/>
                <w:szCs w:val="21"/>
              </w:rPr>
              <w:t>本项目采用总价合同方式，合同价格包括在维保过程中所需的管理费、利润、税金等一切费用。在项目实施中出现任何遗漏，均由乙方免</w:t>
            </w:r>
            <w:r>
              <w:rPr>
                <w:rFonts w:hint="eastAsia" w:ascii="宋体" w:hAnsi="宋体" w:cs="宋体"/>
                <w:szCs w:val="21"/>
                <w:highlight w:val="none"/>
              </w:rPr>
              <w:t>费提供，甲方不再支付任何费用。最终合同价格以甲方审定的结算价为准。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88" w:type="dxa"/>
            <w:vAlign w:val="center"/>
          </w:tcPr>
          <w:p>
            <w:pPr>
              <w:keepNext w:val="0"/>
              <w:keepLines w:val="0"/>
              <w:pageBreakBefore w:val="0"/>
              <w:widowControl w:val="0"/>
              <w:kinsoku/>
              <w:wordWrap/>
              <w:overflowPunct/>
              <w:topLinePunct w:val="0"/>
              <w:bidi w:val="0"/>
              <w:spacing w:line="360" w:lineRule="auto"/>
              <w:rPr>
                <w:rFonts w:ascii="宋体" w:hAnsi="宋体" w:cs="宋体"/>
                <w:szCs w:val="21"/>
              </w:rPr>
            </w:pPr>
            <w:r>
              <w:rPr>
                <w:rFonts w:hint="eastAsia" w:ascii="宋体" w:hAnsi="宋体" w:cs="宋体"/>
                <w:szCs w:val="21"/>
              </w:rPr>
              <w:t>1.付款周期为每半年支付一次，甲方对乙方维保工作进行综合考核，乙方按甲方的支付程序办理请款手续并提供增值税专用发票、有效期内的履约担保复印件后28个工作日内，由甲方向乙方支付。</w:t>
            </w:r>
          </w:p>
          <w:p>
            <w:pPr>
              <w:keepNext w:val="0"/>
              <w:keepLines w:val="0"/>
              <w:pageBreakBefore w:val="0"/>
              <w:widowControl w:val="0"/>
              <w:kinsoku/>
              <w:wordWrap/>
              <w:overflowPunct/>
              <w:topLinePunct w:val="0"/>
              <w:bidi w:val="0"/>
              <w:spacing w:line="360" w:lineRule="auto"/>
              <w:rPr>
                <w:rFonts w:ascii="宋体" w:hAnsi="宋体" w:cs="宋体"/>
                <w:szCs w:val="21"/>
              </w:rPr>
            </w:pPr>
            <w:r>
              <w:rPr>
                <w:rFonts w:hint="eastAsia" w:ascii="宋体" w:hAnsi="宋体" w:cs="宋体"/>
                <w:szCs w:val="21"/>
              </w:rPr>
              <w:t>2.每次支付的金额：按签约合同价的70%平均到每个付款周期，甲方依据考核结果向乙方支付上一个付款周期的价款，累计支付不得超过签约合同价的70%。</w:t>
            </w:r>
          </w:p>
          <w:p>
            <w:pPr>
              <w:pStyle w:val="45"/>
              <w:keepNext w:val="0"/>
              <w:keepLines w:val="0"/>
              <w:pageBreakBefore w:val="0"/>
              <w:widowControl w:val="0"/>
              <w:kinsoku/>
              <w:wordWrap/>
              <w:overflowPunct/>
              <w:topLinePunct w:val="0"/>
              <w:bidi w:val="0"/>
              <w:adjustRightInd w:val="0"/>
              <w:snapToGrid w:val="0"/>
              <w:spacing w:after="0" w:line="360" w:lineRule="auto"/>
              <w:ind w:firstLine="0" w:firstLineChars="0"/>
              <w:rPr>
                <w:rFonts w:ascii="宋体" w:hAnsi="宋体" w:cs="宋体"/>
                <w:bCs/>
                <w:szCs w:val="21"/>
              </w:rPr>
            </w:pPr>
            <w:r>
              <w:rPr>
                <w:rFonts w:hint="eastAsia" w:ascii="宋体" w:hAnsi="宋体" w:cs="宋体"/>
                <w:szCs w:val="21"/>
              </w:rPr>
              <w:t>3.乙方按合同规定完成履约且办理了结算手续并提供增值税专用发票后28个工作日内，支付至合同价格的100%。项目结算按长沙市政府或轨道交通集团有限公司相关规定执行。</w:t>
            </w:r>
          </w:p>
        </w:tc>
      </w:tr>
      <w:bookmarkEnd w:id="18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w:t>
            </w:r>
          </w:p>
          <w:p>
            <w:pPr>
              <w:adjustRightInd w:val="0"/>
              <w:snapToGrid w:val="0"/>
              <w:spacing w:line="360" w:lineRule="auto"/>
              <w:jc w:val="center"/>
              <w:rPr>
                <w:rFonts w:ascii="宋体" w:hAnsi="宋体"/>
                <w:b/>
                <w:szCs w:val="21"/>
              </w:rPr>
            </w:pPr>
            <w:r>
              <w:rPr>
                <w:rFonts w:hint="eastAsia" w:ascii="宋体" w:hAnsi="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w:t>
            </w:r>
            <w:r>
              <w:rPr>
                <w:rFonts w:ascii="宋体" w:hAnsi="宋体"/>
                <w:b/>
                <w:szCs w:val="21"/>
              </w:rPr>
              <w:t>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（如有）</w:t>
            </w:r>
          </w:p>
        </w:tc>
      </w:tr>
    </w:tbl>
    <w:p>
      <w:pPr>
        <w:pStyle w:val="4"/>
        <w:keepNext w:val="0"/>
        <w:keepLines w:val="0"/>
        <w:ind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ascii="宋体" w:hAnsi="宋体" w:cs="宋体"/>
          <w:sz w:val="32"/>
        </w:rPr>
      </w:pPr>
      <w:bookmarkStart w:id="3" w:name="_Toc30385"/>
      <w:r>
        <w:rPr>
          <w:rFonts w:hint="eastAsia" w:ascii="宋体" w:hAnsi="宋体" w:cs="宋体"/>
          <w:sz w:val="32"/>
        </w:rPr>
        <w:t>谈判须知正文</w:t>
      </w:r>
      <w:bookmarkEnd w:id="3"/>
    </w:p>
    <w:p>
      <w:pPr>
        <w:pStyle w:val="5"/>
        <w:keepNext w:val="0"/>
        <w:keepLines w:val="0"/>
        <w:spacing w:before="0" w:after="0" w:line="360" w:lineRule="auto"/>
        <w:rPr>
          <w:rFonts w:ascii="宋体" w:hAnsi="宋体" w:cs="宋体"/>
          <w:sz w:val="21"/>
          <w:szCs w:val="21"/>
        </w:rPr>
      </w:pPr>
      <w:bookmarkStart w:id="4" w:name="_Toc23354"/>
      <w:r>
        <w:rPr>
          <w:rFonts w:hint="eastAsia" w:ascii="宋体" w:hAnsi="宋体" w:cs="宋体"/>
          <w:sz w:val="21"/>
          <w:szCs w:val="21"/>
        </w:rPr>
        <w:t>一、说明</w:t>
      </w:r>
      <w:bookmarkEnd w:id="4"/>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szCs w:val="21"/>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215"/>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215"/>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215"/>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215"/>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215"/>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215"/>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5.参与谈判的费用</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rPr>
      </w:pPr>
      <w:r>
        <w:rPr>
          <w:rFonts w:hint="eastAsia" w:hAnsi="宋体"/>
        </w:rPr>
        <w:t>6.2谈判单位代表不是谈判单位法定代表人的：应提供授权委托书</w:t>
      </w:r>
      <w:r>
        <w:rPr>
          <w:rFonts w:hint="eastAsia" w:hAnsi="宋体"/>
          <w:b/>
          <w:bCs/>
        </w:rPr>
        <w:t>（见</w:t>
      </w:r>
      <w:r>
        <w:rPr>
          <w:rFonts w:hint="eastAsia" w:hAnsi="宋体"/>
          <w:b/>
          <w:bCs/>
          <w:iCs/>
        </w:rPr>
        <w:t>第六章</w:t>
      </w:r>
      <w:r>
        <w:rPr>
          <w:rFonts w:hint="eastAsia" w:hAnsi="宋体"/>
          <w:b/>
          <w:bCs/>
        </w:rPr>
        <w:t>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5" w:name="_Toc19198"/>
      <w:r>
        <w:rPr>
          <w:rFonts w:hint="eastAsia" w:ascii="宋体" w:hAnsi="宋体" w:cs="宋体"/>
          <w:sz w:val="21"/>
          <w:szCs w:val="21"/>
        </w:rPr>
        <w:t>二、谈判文件</w:t>
      </w:r>
      <w:bookmarkEnd w:id="5"/>
    </w:p>
    <w:p>
      <w:pPr>
        <w:adjustRightInd w:val="0"/>
        <w:snapToGrid w:val="0"/>
        <w:spacing w:line="360" w:lineRule="auto"/>
        <w:ind w:firstLine="422" w:firstLineChars="200"/>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Ansi="宋体"/>
        </w:rPr>
      </w:pPr>
      <w:r>
        <w:rPr>
          <w:rFonts w:hint="eastAsia" w:hAnsi="宋体"/>
        </w:rPr>
        <w:t>第四章 用户需求书</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6" w:name="_Toc24457"/>
      <w:r>
        <w:rPr>
          <w:rFonts w:hint="eastAsia" w:ascii="宋体" w:hAnsi="宋体" w:cs="宋体"/>
          <w:sz w:val="21"/>
          <w:szCs w:val="21"/>
        </w:rPr>
        <w:t>三、响应文件</w:t>
      </w:r>
      <w:bookmarkEnd w:id="6"/>
    </w:p>
    <w:p>
      <w:pPr>
        <w:adjustRightInd w:val="0"/>
        <w:snapToGrid w:val="0"/>
        <w:spacing w:line="360" w:lineRule="auto"/>
        <w:ind w:firstLine="422" w:firstLineChars="200"/>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bCs/>
          <w:szCs w:val="21"/>
        </w:rPr>
      </w:pPr>
      <w:r>
        <w:rPr>
          <w:rFonts w:hint="eastAsia" w:ascii="宋体" w:hAnsi="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bCs/>
          <w:szCs w:val="21"/>
        </w:rPr>
      </w:pPr>
      <w:r>
        <w:rPr>
          <w:rFonts w:hint="eastAsia" w:ascii="宋体" w:hAnsi="宋体"/>
          <w:bCs/>
          <w:szCs w:val="21"/>
        </w:rPr>
        <w:t>10.2</w:t>
      </w:r>
      <w:r>
        <w:rPr>
          <w:rFonts w:hint="eastAsia" w:ascii="宋体" w:hAnsi="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rPr>
      </w:pPr>
      <w:r>
        <w:rPr>
          <w:rFonts w:hint="eastAsia" w:hAnsi="宋体"/>
          <w:bCs/>
        </w:rPr>
        <w:t>10.3</w:t>
      </w:r>
      <w:r>
        <w:rPr>
          <w:rFonts w:hint="eastAsia" w:hAnsi="宋体"/>
        </w:rPr>
        <w:t>计量单位应使用我国法定计量单位，未列明时应默认为我国法定计量单位。</w:t>
      </w:r>
    </w:p>
    <w:p>
      <w:pPr>
        <w:pStyle w:val="25"/>
        <w:adjustRightInd w:val="0"/>
        <w:snapToGrid w:val="0"/>
        <w:spacing w:line="360" w:lineRule="auto"/>
        <w:ind w:firstLine="420" w:firstLineChars="200"/>
        <w:rPr>
          <w:rFonts w:hAnsi="宋体"/>
        </w:rPr>
      </w:pPr>
      <w:r>
        <w:rPr>
          <w:rFonts w:hint="eastAsia" w:hAnsi="宋体"/>
        </w:rPr>
        <w:t>10.4响应文件应采用书面形式，电报、传真、电子邮件形式的响应文件概不接受。</w:t>
      </w:r>
    </w:p>
    <w:p>
      <w:pPr>
        <w:adjustRightInd w:val="0"/>
        <w:snapToGrid w:val="0"/>
        <w:spacing w:line="360" w:lineRule="auto"/>
        <w:ind w:firstLine="420" w:firstLineChars="200"/>
        <w:rPr>
          <w:rFonts w:ascii="宋体" w:hAnsi="宋体"/>
          <w:szCs w:val="21"/>
        </w:rPr>
      </w:pPr>
      <w:r>
        <w:rPr>
          <w:rFonts w:hint="eastAsia" w:ascii="宋体" w:hAnsi="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szCs w:val="21"/>
        </w:rPr>
      </w:pPr>
      <w:r>
        <w:rPr>
          <w:rFonts w:hint="eastAsia" w:ascii="宋体" w:hAnsi="宋体"/>
        </w:rPr>
        <w:t>11.1</w:t>
      </w:r>
      <w:r>
        <w:rPr>
          <w:rFonts w:hint="eastAsia" w:hAnsi="宋体"/>
        </w:rPr>
        <w:t>响应文件应包括下列内容：</w:t>
      </w:r>
    </w:p>
    <w:p>
      <w:pPr>
        <w:pStyle w:val="25"/>
        <w:adjustRightInd w:val="0"/>
        <w:snapToGrid w:val="0"/>
        <w:spacing w:line="360" w:lineRule="auto"/>
        <w:ind w:firstLine="420" w:firstLineChars="200"/>
        <w:rPr>
          <w:rFonts w:hAnsi="宋体"/>
        </w:rPr>
      </w:pPr>
      <w:r>
        <w:rPr>
          <w:rFonts w:hint="eastAsia" w:hAnsi="宋体"/>
        </w:rPr>
        <w:t>（1）谈判承诺书</w:t>
      </w:r>
    </w:p>
    <w:p>
      <w:pPr>
        <w:pStyle w:val="25"/>
        <w:adjustRightInd w:val="0"/>
        <w:snapToGrid w:val="0"/>
        <w:spacing w:line="360" w:lineRule="auto"/>
        <w:ind w:firstLine="420" w:firstLineChars="200"/>
        <w:rPr>
          <w:rFonts w:hAnsi="宋体"/>
        </w:rPr>
      </w:pPr>
      <w:r>
        <w:rPr>
          <w:rFonts w:hint="eastAsia" w:hAnsi="宋体"/>
        </w:rPr>
        <w:t>（2）法定代表人身份证明书</w:t>
      </w:r>
    </w:p>
    <w:p>
      <w:pPr>
        <w:pStyle w:val="25"/>
        <w:adjustRightInd w:val="0"/>
        <w:snapToGrid w:val="0"/>
        <w:spacing w:line="360" w:lineRule="auto"/>
        <w:ind w:firstLine="420" w:firstLineChars="200"/>
        <w:rPr>
          <w:rFonts w:hAnsi="宋体"/>
        </w:rPr>
      </w:pPr>
      <w:r>
        <w:rPr>
          <w:rFonts w:hint="eastAsia" w:hAnsi="宋体"/>
        </w:rPr>
        <w:t>（3）授权委托书</w:t>
      </w:r>
    </w:p>
    <w:p>
      <w:pPr>
        <w:pStyle w:val="25"/>
        <w:adjustRightInd w:val="0"/>
        <w:snapToGrid w:val="0"/>
        <w:spacing w:line="360" w:lineRule="auto"/>
        <w:ind w:firstLine="420" w:firstLineChars="200"/>
        <w:rPr>
          <w:rFonts w:hAnsi="宋体"/>
        </w:rPr>
      </w:pPr>
      <w:r>
        <w:rPr>
          <w:rFonts w:hint="eastAsia" w:hAnsi="宋体"/>
        </w:rPr>
        <w:t>（4）谈判单位资格条件证明文件</w:t>
      </w:r>
    </w:p>
    <w:p>
      <w:pPr>
        <w:pStyle w:val="25"/>
        <w:adjustRightInd w:val="0"/>
        <w:snapToGrid w:val="0"/>
        <w:spacing w:line="360" w:lineRule="auto"/>
        <w:ind w:firstLine="420" w:firstLineChars="200"/>
        <w:rPr>
          <w:rFonts w:hAnsi="宋体"/>
        </w:rPr>
      </w:pPr>
      <w:r>
        <w:rPr>
          <w:rFonts w:hint="eastAsia" w:hAnsi="宋体"/>
        </w:rPr>
        <w:t>（5）服务方案（如有）</w:t>
      </w:r>
    </w:p>
    <w:p>
      <w:pPr>
        <w:pStyle w:val="25"/>
        <w:adjustRightInd w:val="0"/>
        <w:snapToGrid w:val="0"/>
        <w:spacing w:line="360" w:lineRule="auto"/>
        <w:ind w:firstLine="420" w:firstLineChars="200"/>
        <w:rPr>
          <w:rFonts w:hAnsi="宋体"/>
        </w:rPr>
      </w:pPr>
      <w:r>
        <w:rPr>
          <w:rFonts w:hint="eastAsia" w:hAnsi="宋体"/>
        </w:rPr>
        <w:t>（6）报价一览表</w:t>
      </w:r>
    </w:p>
    <w:p>
      <w:pPr>
        <w:pStyle w:val="25"/>
        <w:adjustRightInd w:val="0"/>
        <w:snapToGrid w:val="0"/>
        <w:spacing w:line="360" w:lineRule="auto"/>
        <w:ind w:firstLine="420" w:firstLineChars="200"/>
        <w:rPr>
          <w:rFonts w:hAnsi="宋体"/>
        </w:rPr>
      </w:pPr>
      <w:r>
        <w:rPr>
          <w:rFonts w:hint="eastAsia" w:hAnsi="宋体"/>
        </w:rPr>
        <w:t>（7）其他资料（如有）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w:t>
      </w:r>
      <w:r>
        <w:rPr>
          <w:rFonts w:hint="eastAsia" w:hAnsi="宋体"/>
          <w:b/>
          <w:bCs/>
          <w:szCs w:val="21"/>
        </w:rPr>
        <w:t>第六章</w:t>
      </w:r>
      <w:r>
        <w:rPr>
          <w:rFonts w:hint="eastAsia" w:ascii="宋体" w:hAnsi="宋体"/>
        </w:rPr>
        <w:t>“响应文件格式”的要求在报价文件中进行报价。</w:t>
      </w:r>
      <w:r>
        <w:rPr>
          <w:rFonts w:hint="eastAsia" w:ascii="宋体" w:hAnsi="宋体"/>
          <w:szCs w:val="21"/>
        </w:rPr>
        <w:t>谈判单位所报的总价及综合单价均不得超过最高投标限价</w:t>
      </w:r>
      <w:r>
        <w:rPr>
          <w:rFonts w:hint="eastAsia" w:ascii="宋体" w:hAnsi="宋体"/>
        </w:rPr>
        <w:t>，</w:t>
      </w:r>
      <w:r>
        <w:rPr>
          <w:rFonts w:hint="eastAsia" w:ascii="宋体" w:hAnsi="宋体"/>
          <w:szCs w:val="21"/>
        </w:rPr>
        <w:t>不超过最高投标限价的报价方为有效报价，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hAnsi="宋体"/>
          <w:szCs w:val="21"/>
        </w:rPr>
        <w:t>谈判单位应充分了解该项目的总体情况以及影响谈判报价的其他要素。</w:t>
      </w:r>
      <w:r>
        <w:rPr>
          <w:rFonts w:hint="eastAsia" w:hAnsi="宋体"/>
          <w:b/>
          <w:szCs w:val="21"/>
        </w:rPr>
        <w:t>最终结算以长沙市轨道交通运营有限公司审核为准。</w:t>
      </w:r>
    </w:p>
    <w:p>
      <w:pPr>
        <w:adjustRightInd w:val="0"/>
        <w:snapToGrid w:val="0"/>
        <w:spacing w:line="360" w:lineRule="auto"/>
        <w:ind w:firstLine="420" w:firstLineChars="200"/>
        <w:rPr>
          <w:rFonts w:ascii="宋体" w:hAnsi="宋体"/>
          <w:szCs w:val="21"/>
        </w:rPr>
      </w:pPr>
      <w:r>
        <w:rPr>
          <w:rFonts w:hint="eastAsia" w:ascii="宋体" w:hAnsi="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hint="eastAsia" w:ascii="宋体" w:hAnsi="宋体"/>
          <w:szCs w:val="21"/>
        </w:rPr>
        <w:t>谈判</w:t>
      </w:r>
      <w:r>
        <w:rPr>
          <w:rFonts w:ascii="宋体" w:hAnsi="宋体"/>
          <w:szCs w:val="21"/>
        </w:rPr>
        <w:t>截止时间前修改</w:t>
      </w:r>
      <w:r>
        <w:rPr>
          <w:rFonts w:hint="eastAsia" w:ascii="宋体" w:hAnsi="宋体"/>
          <w:szCs w:val="21"/>
        </w:rPr>
        <w:t>报价文件</w:t>
      </w:r>
      <w:r>
        <w:rPr>
          <w:rFonts w:ascii="宋体" w:hAnsi="宋体"/>
          <w:szCs w:val="21"/>
        </w:rPr>
        <w:t>中的</w:t>
      </w:r>
      <w:r>
        <w:rPr>
          <w:rFonts w:hint="eastAsia" w:ascii="宋体" w:hAnsi="宋体"/>
          <w:szCs w:val="21"/>
        </w:rPr>
        <w:t>谈判总</w:t>
      </w:r>
      <w:r>
        <w:rPr>
          <w:rFonts w:ascii="宋体" w:hAnsi="宋体"/>
          <w:szCs w:val="21"/>
        </w:rPr>
        <w:t>报价，应同时修改</w:t>
      </w:r>
      <w:r>
        <w:rPr>
          <w:rFonts w:hint="eastAsia" w:ascii="宋体" w:hAnsi="宋体"/>
          <w:szCs w:val="21"/>
        </w:rPr>
        <w:t>报价</w:t>
      </w:r>
      <w:r>
        <w:rPr>
          <w:rFonts w:ascii="宋体" w:hAnsi="宋体"/>
          <w:szCs w:val="21"/>
        </w:rPr>
        <w:t>文件</w:t>
      </w:r>
      <w:r>
        <w:rPr>
          <w:rFonts w:hint="eastAsia" w:ascii="宋体" w:hAnsi="宋体"/>
          <w:szCs w:val="21"/>
        </w:rPr>
        <w:t>《报价一览表》和《分项价格表》</w:t>
      </w:r>
      <w:r>
        <w:rPr>
          <w:rFonts w:ascii="宋体" w:hAnsi="宋体"/>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12.4本项目最高投标限价</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olor w:val="FF0000"/>
          <w:szCs w:val="21"/>
        </w:rPr>
      </w:pPr>
      <w:r>
        <w:rPr>
          <w:rFonts w:hint="eastAsia" w:ascii="宋体" w:hAnsi="宋体"/>
          <w:bCs/>
          <w:szCs w:val="21"/>
        </w:rPr>
        <w:t>12.7最低报价不能作为中选的保证。</w:t>
      </w:r>
    </w:p>
    <w:p>
      <w:pPr>
        <w:adjustRightInd w:val="0"/>
        <w:snapToGrid w:val="0"/>
        <w:spacing w:line="360" w:lineRule="auto"/>
        <w:ind w:firstLine="420" w:firstLineChars="200"/>
        <w:rPr>
          <w:rFonts w:hAnsi="宋体"/>
          <w:highlight w:val="none"/>
        </w:rPr>
      </w:pPr>
      <w:r>
        <w:rPr>
          <w:rFonts w:hint="eastAsia" w:ascii="宋体" w:hAnsi="宋体"/>
          <w:szCs w:val="21"/>
          <w:highlight w:val="none"/>
        </w:rPr>
        <w:t>12.8本项目采用总价方式</w:t>
      </w:r>
      <w:r>
        <w:rPr>
          <w:rFonts w:hint="eastAsia" w:ascii="宋体" w:hAnsi="宋体" w:cs="宋体"/>
          <w:kern w:val="0"/>
          <w:szCs w:val="21"/>
          <w:highlight w:val="none"/>
        </w:rPr>
        <w:t>，</w:t>
      </w:r>
      <w:r>
        <w:rPr>
          <w:rFonts w:hint="eastAsia" w:ascii="宋体" w:hAnsi="宋体" w:cs="仿宋_GB2312"/>
          <w:szCs w:val="21"/>
          <w:highlight w:val="none"/>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215"/>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w:t>
      </w:r>
      <w:r>
        <w:rPr>
          <w:rFonts w:hint="eastAsia" w:hAnsi="宋体"/>
          <w:b/>
          <w:bCs/>
          <w:sz w:val="21"/>
          <w:szCs w:val="21"/>
        </w:rPr>
        <w:t>第六章</w:t>
      </w:r>
      <w:r>
        <w:rPr>
          <w:rFonts w:hAnsi="宋体"/>
          <w:sz w:val="21"/>
          <w:szCs w:val="21"/>
        </w:rPr>
        <w:t>“</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w:t>
      </w:r>
      <w:r>
        <w:rPr>
          <w:rFonts w:hint="eastAsia" w:hAnsi="宋体" w:cs="Times New Roman"/>
          <w:b/>
          <w:bCs/>
        </w:rPr>
        <w:t>第六章</w:t>
      </w:r>
      <w:r>
        <w:rPr>
          <w:rFonts w:hint="eastAsia" w:hAnsi="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Times New Roman"/>
          <w:b/>
          <w:bCs/>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7" w:name="_Toc664"/>
      <w:r>
        <w:rPr>
          <w:rFonts w:hint="eastAsia" w:ascii="宋体" w:hAnsi="宋体" w:cs="宋体"/>
          <w:sz w:val="21"/>
          <w:szCs w:val="21"/>
        </w:rPr>
        <w:t>四、响应文件的递交</w:t>
      </w:r>
      <w:bookmarkEnd w:id="7"/>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宋体" w:hAnsi="宋体"/>
                <w:szCs w:val="21"/>
                <w:u w:val="single"/>
              </w:rPr>
            </w:pPr>
            <w:r>
              <w:rPr>
                <w:rFonts w:hint="eastAsia" w:ascii="宋体" w:hAnsi="宋体"/>
                <w:szCs w:val="21"/>
              </w:rPr>
              <w:t>采购单位：</w:t>
            </w:r>
          </w:p>
          <w:p>
            <w:pPr>
              <w:spacing w:line="360" w:lineRule="auto"/>
              <w:ind w:firstLine="420" w:firstLineChars="200"/>
              <w:rPr>
                <w:rFonts w:ascii="宋体" w:hAnsi="宋体"/>
                <w:szCs w:val="21"/>
                <w:u w:val="single"/>
              </w:rPr>
            </w:pPr>
            <w:r>
              <w:rPr>
                <w:rFonts w:hint="eastAsia" w:ascii="宋体" w:hAnsi="宋体"/>
                <w:szCs w:val="21"/>
              </w:rPr>
              <w:t>项目名称：</w:t>
            </w:r>
          </w:p>
          <w:p>
            <w:pPr>
              <w:spacing w:line="360" w:lineRule="auto"/>
              <w:ind w:firstLine="420" w:firstLineChars="200"/>
              <w:rPr>
                <w:rFonts w:ascii="宋体" w:hAnsi="宋体"/>
                <w:szCs w:val="21"/>
                <w:u w:val="single"/>
              </w:rPr>
            </w:pPr>
            <w:r>
              <w:rPr>
                <w:rFonts w:hint="eastAsia" w:ascii="宋体" w:hAnsi="宋体"/>
                <w:szCs w:val="21"/>
              </w:rPr>
              <w:t>谈判单位：</w:t>
            </w:r>
            <w:r>
              <w:rPr>
                <w:rFonts w:hint="eastAsia" w:ascii="宋体" w:hAnsi="宋体"/>
                <w:szCs w:val="21"/>
                <w:u w:val="single"/>
              </w:rPr>
              <w:t>（填写单位名称并加盖单位公章）</w:t>
            </w:r>
          </w:p>
          <w:p>
            <w:pPr>
              <w:spacing w:line="360" w:lineRule="auto"/>
              <w:ind w:firstLine="1260" w:firstLineChars="600"/>
              <w:rPr>
                <w:rFonts w:ascii="宋体" w:hAnsi="宋体"/>
                <w:szCs w:val="21"/>
              </w:rPr>
            </w:pPr>
            <w:r>
              <w:rPr>
                <w:rFonts w:hint="eastAsia" w:ascii="宋体" w:hAnsi="宋体"/>
                <w:bCs/>
                <w:szCs w:val="21"/>
              </w:rPr>
              <w:t>年     月     日</w:t>
            </w:r>
          </w:p>
        </w:tc>
      </w:tr>
    </w:tbl>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8" w:name="_Toc4809"/>
      <w:r>
        <w:rPr>
          <w:rFonts w:hint="eastAsia" w:ascii="宋体" w:hAnsi="宋体" w:cs="宋体"/>
          <w:sz w:val="21"/>
          <w:szCs w:val="21"/>
        </w:rPr>
        <w:t>五、响应文件的评审</w:t>
      </w:r>
      <w:bookmarkEnd w:id="8"/>
    </w:p>
    <w:p>
      <w:pPr>
        <w:adjustRightInd w:val="0"/>
        <w:snapToGrid w:val="0"/>
        <w:spacing w:line="360" w:lineRule="auto"/>
        <w:ind w:firstLine="420" w:firstLineChars="200"/>
        <w:rPr>
          <w:rFonts w:ascii="黑体" w:hAnsi="宋体" w:eastAsia="黑体"/>
          <w:b/>
          <w:sz w:val="24"/>
        </w:rPr>
      </w:pPr>
      <w:r>
        <w:rPr>
          <w:rFonts w:hint="eastAsia" w:ascii="宋体" w:hAnsi="宋体"/>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9" w:name="_Toc25543"/>
      <w:r>
        <w:rPr>
          <w:rFonts w:hint="eastAsia" w:ascii="宋体" w:hAnsi="宋体" w:cs="宋体"/>
          <w:sz w:val="21"/>
          <w:szCs w:val="21"/>
        </w:rPr>
        <w:t>六、响应文件的澄清、说明及补正</w:t>
      </w:r>
      <w:bookmarkEnd w:id="9"/>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jc w:val="left"/>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10" w:name="_Toc25353"/>
      <w:r>
        <w:rPr>
          <w:rFonts w:hint="eastAsia" w:ascii="宋体" w:hAnsi="宋体" w:cs="宋体"/>
          <w:sz w:val="21"/>
          <w:szCs w:val="21"/>
        </w:rPr>
        <w:t>七、中选结果与授予合同</w:t>
      </w:r>
      <w:bookmarkEnd w:id="10"/>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pPr>
      <w:r>
        <w:rPr>
          <w:rFonts w:hint="eastAsia" w:hAnsi="宋体"/>
          <w:b/>
          <w:bCs/>
        </w:rPr>
        <w:t>22.评审结果异议</w:t>
      </w:r>
      <w:r>
        <w:rPr>
          <w:rFonts w:hAnsi="宋体" w:cs="宋体"/>
          <w:kern w:val="0"/>
          <w:sz w:val="24"/>
          <w:szCs w:val="24"/>
        </w:rPr>
        <w:br w:type="textWrapping"/>
      </w:r>
      <w:r>
        <w:rPr>
          <w:rFonts w:hint="eastAsia" w:hAnsi="宋体"/>
        </w:rPr>
        <w:t>22.1谈判单位对评审结果有异议的，应当在结果公示期间提出。</w:t>
      </w:r>
      <w:r>
        <w:rPr>
          <w:rFonts w:hint="eastAsia" w:hAnsi="宋体"/>
        </w:rPr>
        <w:br w:type="textWrapping"/>
      </w:r>
      <w:r>
        <w:rPr>
          <w:rFonts w:hint="eastAsia" w:hAnsi="宋体"/>
        </w:rPr>
        <w:t>22.2异议的提出与处理按相关规定执行。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215"/>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215"/>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215"/>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11" w:name="page32"/>
      <w:bookmarkEnd w:id="11"/>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12" w:name="_Toc27069"/>
      <w:r>
        <w:rPr>
          <w:rFonts w:hint="eastAsia" w:ascii="宋体" w:hAnsi="宋体" w:cs="宋体"/>
          <w:sz w:val="21"/>
          <w:szCs w:val="21"/>
        </w:rPr>
        <w:t>八、其他</w:t>
      </w:r>
      <w:bookmarkEnd w:id="12"/>
    </w:p>
    <w:p>
      <w:pPr>
        <w:adjustRightInd w:val="0"/>
        <w:snapToGrid w:val="0"/>
        <w:spacing w:line="360" w:lineRule="auto"/>
        <w:ind w:firstLine="420" w:firstLineChars="200"/>
        <w:sectPr>
          <w:pgSz w:w="12240" w:h="15840"/>
          <w:pgMar w:top="1440" w:right="1800" w:bottom="1440" w:left="1800" w:header="720" w:footer="720" w:gutter="0"/>
          <w:cols w:space="720" w:num="1"/>
          <w:titlePg/>
          <w:docGrid w:type="lines" w:linePitch="323" w:charSpace="0"/>
        </w:sect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采购代理服务收费参照汇率表</w:t>
      </w:r>
    </w:p>
    <w:tbl>
      <w:tblPr>
        <w:tblStyle w:val="46"/>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2228" w:type="dxa"/>
            <w:tcBorders>
              <w:top w:val="single" w:color="auto" w:sz="12" w:space="0"/>
              <w:left w:val="single" w:color="auto" w:sz="12" w:space="0"/>
              <w:tl2br w:val="single" w:color="auto" w:sz="4" w:space="0"/>
            </w:tcBorders>
            <w:shd w:val="clear" w:color="auto" w:fill="auto"/>
            <w:vAlign w:val="center"/>
          </w:tcPr>
          <w:p>
            <w:pPr>
              <w:adjustRightInd w:val="0"/>
              <w:snapToGrid w:val="0"/>
              <w:spacing w:line="360" w:lineRule="auto"/>
              <w:jc w:val="right"/>
              <w:rPr>
                <w:rFonts w:ascii="宋体" w:hAnsi="宋体" w:cs="宋体"/>
                <w:bCs/>
                <w:szCs w:val="21"/>
              </w:rPr>
            </w:pPr>
            <w:r>
              <w:rPr>
                <w:rFonts w:hint="eastAsia" w:ascii="宋体" w:hAnsi="宋体" w:cs="宋体"/>
                <w:bCs/>
                <w:szCs w:val="21"/>
              </w:rPr>
              <w:t>汇率</w:t>
            </w:r>
          </w:p>
          <w:p>
            <w:pPr>
              <w:adjustRightInd w:val="0"/>
              <w:snapToGrid w:val="0"/>
              <w:spacing w:line="360" w:lineRule="auto"/>
              <w:rPr>
                <w:rFonts w:ascii="宋体" w:hAnsi="宋体" w:cs="宋体"/>
                <w:bCs/>
                <w:szCs w:val="21"/>
              </w:rPr>
            </w:pPr>
            <w:r>
              <w:rPr>
                <w:rFonts w:hint="eastAsia" w:ascii="宋体" w:hAnsi="宋体" w:cs="宋体"/>
                <w:bCs/>
                <w:szCs w:val="21"/>
              </w:rPr>
              <w:t>中选金额</w:t>
            </w:r>
          </w:p>
        </w:tc>
        <w:tc>
          <w:tcPr>
            <w:tcW w:w="2451"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货物采购</w:t>
            </w:r>
          </w:p>
        </w:tc>
        <w:tc>
          <w:tcPr>
            <w:tcW w:w="2325" w:type="dxa"/>
            <w:tcBorders>
              <w:top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服务采购</w:t>
            </w:r>
          </w:p>
        </w:tc>
        <w:tc>
          <w:tcPr>
            <w:tcW w:w="2367" w:type="dxa"/>
            <w:tcBorders>
              <w:top w:val="single" w:color="auto" w:sz="12" w:space="0"/>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100万元以下</w:t>
            </w:r>
          </w:p>
        </w:tc>
        <w:tc>
          <w:tcPr>
            <w:tcW w:w="2451"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1.5%</w:t>
            </w:r>
          </w:p>
        </w:tc>
        <w:tc>
          <w:tcPr>
            <w:tcW w:w="2325"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1.5%</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100～400万元</w:t>
            </w:r>
          </w:p>
        </w:tc>
        <w:tc>
          <w:tcPr>
            <w:tcW w:w="2451"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1.1%</w:t>
            </w:r>
          </w:p>
        </w:tc>
        <w:tc>
          <w:tcPr>
            <w:tcW w:w="2325" w:type="dxa"/>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0.8%</w:t>
            </w:r>
          </w:p>
        </w:tc>
        <w:tc>
          <w:tcPr>
            <w:tcW w:w="2367" w:type="dxa"/>
            <w:tcBorders>
              <w:right w:val="single" w:color="auto" w:sz="12"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shd w:val="clear" w:color="auto" w:fill="auto"/>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备注</w:t>
            </w:r>
          </w:p>
        </w:tc>
        <w:tc>
          <w:tcPr>
            <w:tcW w:w="7143" w:type="dxa"/>
            <w:gridSpan w:val="3"/>
            <w:tcBorders>
              <w:left w:val="single" w:color="auto" w:sz="4" w:space="0"/>
              <w:bottom w:val="single" w:color="auto" w:sz="12" w:space="0"/>
              <w:right w:val="single" w:color="auto" w:sz="12" w:space="0"/>
            </w:tcBorders>
            <w:shd w:val="clear" w:color="auto" w:fill="auto"/>
            <w:vAlign w:val="center"/>
          </w:tcPr>
          <w:p>
            <w:pPr>
              <w:adjustRightInd w:val="0"/>
              <w:snapToGrid w:val="0"/>
              <w:spacing w:line="360" w:lineRule="auto"/>
              <w:jc w:val="left"/>
              <w:rPr>
                <w:rFonts w:ascii="宋体" w:hAnsi="宋体" w:cs="宋体"/>
                <w:bCs/>
                <w:szCs w:val="21"/>
              </w:rPr>
            </w:pPr>
            <w:r>
              <w:rPr>
                <w:rFonts w:hint="eastAsia" w:ascii="宋体" w:hAnsi="宋体" w:cs="宋体"/>
                <w:bCs/>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jc w:val="left"/>
        <w:rPr>
          <w:rFonts w:ascii="宋体" w:hAnsi="宋体" w:cs="宋体"/>
          <w:bCs/>
          <w:szCs w:val="21"/>
        </w:rPr>
      </w:pPr>
      <w:r>
        <w:rPr>
          <w:rFonts w:hint="eastAsia" w:ascii="宋体" w:hAnsi="宋体" w:cs="宋体"/>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100万元×1.0%＝1万元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（300-100）万元×0.7%＝1.4万元</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合计收费＝1+1.4＝2.4（万元）</w:t>
      </w:r>
    </w:p>
    <w:p>
      <w:pPr>
        <w:adjustRightInd w:val="0"/>
        <w:snapToGrid w:val="0"/>
        <w:spacing w:line="360" w:lineRule="auto"/>
        <w:ind w:firstLine="420" w:firstLineChars="200"/>
        <w:jc w:val="left"/>
        <w:rPr>
          <w:rFonts w:ascii="宋体" w:hAnsi="宋体"/>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宋体" w:hAnsi="宋体"/>
          <w:bCs/>
          <w:szCs w:val="21"/>
        </w:rPr>
        <w:t>本</w:t>
      </w:r>
      <w:r>
        <w:rPr>
          <w:rFonts w:ascii="宋体" w:hAnsi="宋体"/>
          <w:bCs/>
          <w:szCs w:val="21"/>
        </w:rPr>
        <w:t>项目采购代理服务费为</w:t>
      </w:r>
      <w:r>
        <w:rPr>
          <w:rFonts w:hint="eastAsia" w:ascii="宋体" w:hAnsi="宋体"/>
          <w:bCs/>
          <w:szCs w:val="21"/>
        </w:rPr>
        <w:t>2万</w:t>
      </w:r>
      <w:r>
        <w:rPr>
          <w:rFonts w:ascii="宋体" w:hAnsi="宋体"/>
          <w:bCs/>
          <w:szCs w:val="21"/>
        </w:rPr>
        <w:t>元</w:t>
      </w:r>
    </w:p>
    <w:p>
      <w:pPr>
        <w:pStyle w:val="3"/>
        <w:keepNext w:val="0"/>
        <w:spacing w:line="360" w:lineRule="auto"/>
        <w:ind w:firstLine="643" w:firstLineChars="200"/>
        <w:rPr>
          <w:rFonts w:ascii="宋体" w:hAnsi="宋体" w:cs="宋体"/>
          <w:bCs w:val="0"/>
          <w:sz w:val="32"/>
          <w:szCs w:val="32"/>
        </w:rPr>
      </w:pPr>
      <w:bookmarkStart w:id="13" w:name="_Toc30375"/>
      <w:r>
        <w:rPr>
          <w:rFonts w:hint="eastAsia" w:ascii="宋体" w:hAnsi="宋体" w:cs="宋体"/>
          <w:bCs w:val="0"/>
          <w:sz w:val="32"/>
          <w:szCs w:val="32"/>
        </w:rPr>
        <w:t>第三章 评审办法及标准</w:t>
      </w:r>
      <w:bookmarkEnd w:id="13"/>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adjustRightInd w:val="0"/>
        <w:snapToGrid w:val="0"/>
        <w:spacing w:line="360" w:lineRule="auto"/>
        <w:ind w:firstLine="420" w:firstLineChars="200"/>
        <w:rPr>
          <w:rFonts w:ascii="黑体" w:hAnsi="宋体"/>
          <w:b/>
          <w:sz w:val="24"/>
        </w:rPr>
      </w:pPr>
      <w:r>
        <w:rPr>
          <w:rFonts w:hint="eastAsia" w:ascii="宋体" w:hAnsi="宋体"/>
          <w:bCs/>
          <w:szCs w:val="21"/>
        </w:rPr>
        <w:t>3．谈判程序分为：</w:t>
      </w:r>
      <w:r>
        <w:rPr>
          <w:rFonts w:hint="eastAsia" w:ascii="宋体" w:hAnsi="宋体"/>
          <w:b/>
          <w:szCs w:val="21"/>
        </w:rPr>
        <w:t>谈判验证阶段及谈判评审阶段。</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三、谈判验证阶段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谈判验证阶段分为身份验证和唱价。</w:t>
      </w:r>
    </w:p>
    <w:p>
      <w:pPr>
        <w:adjustRightInd w:val="0"/>
        <w:snapToGrid w:val="0"/>
        <w:spacing w:line="360" w:lineRule="auto"/>
        <w:ind w:firstLine="422" w:firstLineChars="200"/>
        <w:rPr>
          <w:rFonts w:ascii="宋体" w:hAnsi="宋体"/>
          <w:b/>
          <w:szCs w:val="21"/>
        </w:rPr>
      </w:pPr>
      <w:r>
        <w:rPr>
          <w:rFonts w:hint="eastAsia" w:ascii="宋体" w:hAnsi="宋体"/>
          <w:b/>
          <w:szCs w:val="21"/>
        </w:rPr>
        <w:t>4.身份验证阶段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szCs w:val="21"/>
        </w:rPr>
      </w:pPr>
      <w:r>
        <w:rPr>
          <w:rFonts w:hint="eastAsia" w:ascii="宋体" w:hAnsi="宋体"/>
          <w:bCs/>
          <w:szCs w:val="21"/>
        </w:rPr>
        <w:t>4.2参与谈判的代表身份经验证不合格的，视为无效响应，</w:t>
      </w:r>
      <w:r>
        <w:rPr>
          <w:rFonts w:hint="eastAsia" w:ascii="宋体" w:hAnsi="宋体"/>
          <w:szCs w:val="21"/>
        </w:rPr>
        <w:t>不得进入下一阶段。</w:t>
      </w:r>
    </w:p>
    <w:p>
      <w:pPr>
        <w:adjustRightInd w:val="0"/>
        <w:snapToGrid w:val="0"/>
        <w:spacing w:line="360" w:lineRule="auto"/>
        <w:ind w:firstLine="422" w:firstLineChars="200"/>
        <w:rPr>
          <w:rFonts w:ascii="宋体" w:hAnsi="宋体"/>
          <w:b/>
          <w:szCs w:val="21"/>
        </w:rPr>
      </w:pPr>
      <w:r>
        <w:rPr>
          <w:rFonts w:hint="eastAsia" w:ascii="宋体" w:hAnsi="宋体"/>
          <w:b/>
          <w:szCs w:val="21"/>
        </w:rPr>
        <w:t>5.唱价阶段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四、谈判审查阶段</w:t>
      </w:r>
    </w:p>
    <w:p>
      <w:pPr>
        <w:adjustRightInd w:val="0"/>
        <w:snapToGrid w:val="0"/>
        <w:spacing w:line="360" w:lineRule="auto"/>
        <w:ind w:firstLine="420" w:firstLineChars="200"/>
        <w:rPr>
          <w:rFonts w:ascii="宋体" w:hAnsi="宋体"/>
          <w:bCs/>
          <w:szCs w:val="21"/>
        </w:rPr>
      </w:pPr>
      <w:r>
        <w:rPr>
          <w:rFonts w:hint="eastAsia" w:ascii="宋体" w:hAnsi="宋体"/>
          <w:bCs/>
          <w:szCs w:val="21"/>
        </w:rPr>
        <w:t>谈判评审阶段分为符合性审查、详细评审及推荐中选单位。</w:t>
      </w:r>
    </w:p>
    <w:p>
      <w:pPr>
        <w:adjustRightInd w:val="0"/>
        <w:snapToGrid w:val="0"/>
        <w:spacing w:line="360" w:lineRule="auto"/>
        <w:ind w:firstLine="422" w:firstLineChars="200"/>
        <w:rPr>
          <w:rFonts w:ascii="宋体" w:hAnsi="宋体"/>
          <w:b/>
          <w:szCs w:val="21"/>
        </w:rPr>
      </w:pPr>
      <w:r>
        <w:rPr>
          <w:rFonts w:hint="eastAsia" w:ascii="宋体" w:hAnsi="宋体"/>
          <w:b/>
          <w:szCs w:val="21"/>
        </w:rPr>
        <w:t>6.符合性审查阶段</w:t>
      </w:r>
    </w:p>
    <w:p>
      <w:pPr>
        <w:adjustRightInd w:val="0"/>
        <w:snapToGrid w:val="0"/>
        <w:spacing w:line="360" w:lineRule="auto"/>
        <w:ind w:firstLine="420" w:firstLineChars="200"/>
        <w:rPr>
          <w:rFonts w:ascii="宋体" w:hAnsi="宋体"/>
          <w:szCs w:val="21"/>
        </w:rPr>
      </w:pPr>
      <w:r>
        <w:rPr>
          <w:rFonts w:hint="eastAsia" w:ascii="宋体" w:hAnsi="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6.1资格的符合性审查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szCs w:val="21"/>
        </w:rPr>
      </w:pPr>
      <w:r>
        <w:rPr>
          <w:rFonts w:hint="eastAsia" w:ascii="宋体" w:hAnsi="宋体"/>
          <w:szCs w:val="21"/>
        </w:rPr>
        <w:t>6.2报价的符合性审查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szCs w:val="21"/>
        </w:rPr>
      </w:pPr>
      <w:r>
        <w:rPr>
          <w:rFonts w:hint="eastAsia" w:ascii="宋体" w:hAnsi="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（5）超过最高投标限价的；</w:t>
      </w:r>
    </w:p>
    <w:p>
      <w:pPr>
        <w:adjustRightInd w:val="0"/>
        <w:snapToGrid w:val="0"/>
        <w:spacing w:line="360" w:lineRule="auto"/>
        <w:ind w:firstLine="420" w:firstLineChars="200"/>
        <w:rPr>
          <w:rFonts w:ascii="黑体" w:hAnsi="宋体" w:eastAsia="黑体"/>
          <w:b/>
          <w:sz w:val="24"/>
        </w:rPr>
      </w:pPr>
      <w:r>
        <w:rPr>
          <w:rFonts w:hint="eastAsia" w:ascii="宋体" w:hAnsi="宋体"/>
          <w:szCs w:val="21"/>
        </w:rPr>
        <w:t xml:space="preserve">（6）递交两份或多份内容不同的报价文件，或在一份报价文件中对同一项目报有两个或多个报价，且未声明哪一个有效的 </w:t>
      </w:r>
    </w:p>
    <w:p>
      <w:pPr>
        <w:adjustRightInd w:val="0"/>
        <w:snapToGrid w:val="0"/>
        <w:spacing w:line="360" w:lineRule="auto"/>
        <w:ind w:firstLine="422" w:firstLineChars="200"/>
        <w:rPr>
          <w:rFonts w:ascii="宋体" w:hAnsi="宋体"/>
          <w:b/>
          <w:bCs/>
          <w:szCs w:val="21"/>
        </w:rPr>
      </w:pPr>
      <w:r>
        <w:rPr>
          <w:rFonts w:hint="eastAsia" w:ascii="宋体" w:hAnsi="宋体"/>
          <w:b/>
          <w:szCs w:val="21"/>
        </w:rPr>
        <w:t>7.</w:t>
      </w:r>
      <w:r>
        <w:rPr>
          <w:rFonts w:hint="eastAsia" w:ascii="宋体" w:hAnsi="宋体"/>
          <w:b/>
          <w:bCs/>
          <w:szCs w:val="21"/>
        </w:rPr>
        <w:t>详细评审阶段</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b/>
          <w:bCs/>
          <w:szCs w:val="21"/>
        </w:rPr>
      </w:pPr>
      <w:r>
        <w:rPr>
          <w:rFonts w:hint="eastAsia" w:ascii="宋体" w:hAnsi="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8.推荐中选单位</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bCs/>
          <w:szCs w:val="21"/>
        </w:rPr>
        <w:t xml:space="preserve">8.1 </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jc w:val="left"/>
        <w:rPr>
          <w:szCs w:val="21"/>
        </w:rPr>
      </w:pPr>
      <w:r>
        <w:rPr>
          <w:rFonts w:hint="eastAsia" w:ascii="宋体" w:hAnsi="宋体" w:cs="宋体"/>
          <w:kern w:val="0"/>
          <w:szCs w:val="21"/>
        </w:rPr>
        <w:t>8.2 全部评审结束后，若出现报价得分相同的情形，则采用现场抽签方式确定中选单位。</w:t>
      </w:r>
    </w:p>
    <w:p>
      <w:pPr>
        <w:adjustRightInd w:val="0"/>
        <w:snapToGrid w:val="0"/>
        <w:spacing w:line="360" w:lineRule="auto"/>
        <w:ind w:firstLine="420" w:firstLineChars="200"/>
        <w:rPr>
          <w:szCs w:val="21"/>
        </w:rPr>
      </w:pPr>
    </w:p>
    <w:p>
      <w:pPr>
        <w:adjustRightInd w:val="0"/>
        <w:snapToGrid w:val="0"/>
        <w:spacing w:before="120" w:beforeLines="50" w:line="360" w:lineRule="auto"/>
        <w:ind w:firstLine="643" w:firstLineChars="200"/>
        <w:rPr>
          <w:rFonts w:ascii="黑体" w:eastAsia="黑体"/>
          <w:b/>
          <w:sz w:val="32"/>
          <w:szCs w:val="32"/>
        </w:rPr>
        <w:sectPr>
          <w:pgSz w:w="11906" w:h="16838"/>
          <w:pgMar w:top="1440" w:right="1797" w:bottom="1440" w:left="1797" w:header="851" w:footer="851" w:gutter="0"/>
          <w:cols w:space="720" w:num="1"/>
          <w:docGrid w:linePitch="312" w:charSpace="0"/>
        </w:sectPr>
      </w:pPr>
    </w:p>
    <w:p>
      <w:pPr>
        <w:adjustRightInd w:val="0"/>
        <w:snapToGrid w:val="0"/>
        <w:spacing w:line="360" w:lineRule="auto"/>
        <w:ind w:firstLine="482" w:firstLineChars="200"/>
        <w:rPr>
          <w:rFonts w:ascii="黑体" w:hAnsi="宋体" w:eastAsia="黑体"/>
          <w:b/>
          <w:sz w:val="24"/>
        </w:rPr>
      </w:pPr>
    </w:p>
    <w:p>
      <w:pPr>
        <w:pStyle w:val="3"/>
        <w:keepNext w:val="0"/>
        <w:numPr>
          <w:ilvl w:val="0"/>
          <w:numId w:val="2"/>
        </w:numPr>
        <w:spacing w:line="360" w:lineRule="auto"/>
        <w:ind w:firstLine="643" w:firstLineChars="200"/>
        <w:rPr>
          <w:rFonts w:ascii="宋体" w:hAnsi="宋体" w:cs="宋体"/>
          <w:bCs w:val="0"/>
          <w:sz w:val="32"/>
          <w:szCs w:val="32"/>
        </w:rPr>
      </w:pPr>
      <w:r>
        <w:rPr>
          <w:rFonts w:hint="eastAsia" w:ascii="宋体" w:hAnsi="宋体" w:cs="宋体"/>
          <w:bCs w:val="0"/>
          <w:sz w:val="32"/>
          <w:szCs w:val="32"/>
        </w:rPr>
        <w:t xml:space="preserve"> </w:t>
      </w:r>
      <w:bookmarkStart w:id="14" w:name="_Toc8585"/>
      <w:r>
        <w:rPr>
          <w:rFonts w:hint="eastAsia" w:ascii="宋体" w:hAnsi="宋体" w:cs="宋体"/>
          <w:bCs w:val="0"/>
          <w:sz w:val="32"/>
          <w:szCs w:val="32"/>
        </w:rPr>
        <w:t>用户需求书</w:t>
      </w:r>
      <w:bookmarkEnd w:id="14"/>
    </w:p>
    <w:p>
      <w:pPr>
        <w:pStyle w:val="32"/>
        <w:tabs>
          <w:tab w:val="right" w:leader="dot" w:pos="8306"/>
        </w:tabs>
        <w:spacing w:line="360" w:lineRule="auto"/>
        <w:ind w:firstLine="422" w:firstLineChars="200"/>
        <w:outlineLvl w:val="0"/>
        <w:rPr>
          <w:rFonts w:ascii="宋体" w:hAnsi="宋体" w:cs="宋体"/>
          <w:b/>
          <w:iCs/>
          <w:szCs w:val="21"/>
        </w:rPr>
      </w:pPr>
      <w:bookmarkStart w:id="15" w:name="_Toc8304543"/>
      <w:r>
        <w:rPr>
          <w:rFonts w:hint="eastAsia" w:ascii="宋体" w:hAnsi="宋体" w:cs="宋体"/>
          <w:b/>
          <w:iCs/>
          <w:szCs w:val="21"/>
        </w:rPr>
        <w:t>一、</w:t>
      </w:r>
      <w:r>
        <w:fldChar w:fldCharType="begin"/>
      </w:r>
      <w:r>
        <w:instrText xml:space="preserve"> HYPERLINK \l "_Toc28139" </w:instrText>
      </w:r>
      <w:r>
        <w:fldChar w:fldCharType="separate"/>
      </w:r>
      <w:r>
        <w:rPr>
          <w:rFonts w:hint="eastAsia" w:ascii="宋体" w:hAnsi="宋体" w:cs="宋体"/>
          <w:b/>
          <w:iCs/>
          <w:szCs w:val="21"/>
        </w:rPr>
        <w:t>项目概况及招标</w:t>
      </w:r>
      <w:bookmarkStart w:id="16" w:name="_Hlt5291495"/>
      <w:r>
        <w:rPr>
          <w:rFonts w:hint="eastAsia" w:ascii="宋体" w:hAnsi="宋体" w:cs="宋体"/>
          <w:b/>
          <w:iCs/>
          <w:szCs w:val="21"/>
        </w:rPr>
        <w:t>范</w:t>
      </w:r>
      <w:bookmarkEnd w:id="16"/>
      <w:r>
        <w:rPr>
          <w:rFonts w:hint="eastAsia" w:ascii="宋体" w:hAnsi="宋体" w:cs="宋体"/>
          <w:b/>
          <w:iCs/>
          <w:szCs w:val="21"/>
        </w:rPr>
        <w:t>围</w:t>
      </w:r>
      <w:bookmarkEnd w:id="15"/>
      <w:r>
        <w:rPr>
          <w:rFonts w:hint="eastAsia" w:ascii="宋体" w:hAnsi="宋体" w:cs="宋体"/>
          <w:b/>
          <w:iCs/>
          <w:szCs w:val="21"/>
        </w:rPr>
        <w:fldChar w:fldCharType="end"/>
      </w:r>
    </w:p>
    <w:p>
      <w:pPr>
        <w:adjustRightInd w:val="0"/>
        <w:spacing w:line="360" w:lineRule="auto"/>
        <w:ind w:left="420" w:leftChars="200"/>
        <w:rPr>
          <w:rFonts w:ascii="宋体" w:hAnsi="宋体" w:cs="宋体"/>
          <w:szCs w:val="21"/>
        </w:rPr>
      </w:pPr>
      <w:r>
        <w:rPr>
          <w:rFonts w:hint="eastAsia" w:ascii="宋体" w:hAnsi="宋体" w:cs="宋体"/>
          <w:szCs w:val="21"/>
        </w:rPr>
        <w:t>（一）项目概况</w:t>
      </w:r>
    </w:p>
    <w:p>
      <w:pPr>
        <w:spacing w:line="360" w:lineRule="auto"/>
        <w:ind w:firstLine="420" w:firstLineChars="200"/>
        <w:rPr>
          <w:rFonts w:ascii="宋体" w:hAnsi="宋体" w:cs="宋体"/>
          <w:szCs w:val="21"/>
        </w:rPr>
      </w:pPr>
      <w:r>
        <w:rPr>
          <w:rFonts w:hint="eastAsia" w:ascii="宋体" w:hAnsi="宋体" w:cs="宋体"/>
          <w:szCs w:val="21"/>
        </w:rPr>
        <w:t>本项目地点在长沙市轨道交通集团有限公司裙楼（以下简称“OCC裙楼”），包括长沙市轨道交通1号线一期工程自动售检票系统（以下简称“AFC”）线路中心和AFC线网模拟测试平台的1号线中央计算机系统软硬件的维护、维修及应急抢修等工作。</w:t>
      </w:r>
    </w:p>
    <w:p>
      <w:pPr>
        <w:adjustRightInd w:val="0"/>
        <w:spacing w:line="360" w:lineRule="auto"/>
        <w:ind w:left="420" w:leftChars="200"/>
        <w:rPr>
          <w:rFonts w:ascii="宋体" w:hAnsi="宋体" w:cs="宋体"/>
          <w:szCs w:val="21"/>
        </w:rPr>
      </w:pPr>
      <w:r>
        <w:rPr>
          <w:rFonts w:hint="eastAsia" w:ascii="宋体" w:hAnsi="宋体" w:cs="宋体"/>
          <w:szCs w:val="21"/>
        </w:rPr>
        <w:t>（二）招标范围</w:t>
      </w:r>
    </w:p>
    <w:p>
      <w:pPr>
        <w:spacing w:line="360" w:lineRule="auto"/>
        <w:ind w:firstLine="420" w:firstLineChars="200"/>
        <w:rPr>
          <w:rFonts w:ascii="宋体" w:hAnsi="宋体" w:cs="宋体"/>
          <w:szCs w:val="21"/>
        </w:rPr>
      </w:pPr>
      <w:r>
        <w:rPr>
          <w:rFonts w:hint="eastAsia" w:ascii="宋体" w:hAnsi="宋体" w:cs="宋体"/>
          <w:szCs w:val="21"/>
        </w:rPr>
        <w:t>本维护保养项目（以下简称“项目”）是对涉及到的软硬件定期预防性维护、故障维修、应急抢修及</w:t>
      </w:r>
      <w:bookmarkStart w:id="17" w:name="_Hlk16086807"/>
      <w:r>
        <w:rPr>
          <w:rFonts w:hint="eastAsia" w:ascii="宋体" w:hAnsi="宋体" w:cs="宋体"/>
          <w:szCs w:val="21"/>
        </w:rPr>
        <w:t>技术支持、培训服务</w:t>
      </w:r>
      <w:bookmarkEnd w:id="17"/>
      <w:r>
        <w:rPr>
          <w:rFonts w:hint="eastAsia" w:ascii="宋体" w:hAnsi="宋体" w:cs="宋体"/>
          <w:szCs w:val="21"/>
        </w:rPr>
        <w:t>等工作，具体项目及数量详见附件1，包括但不限于附件1内容。</w:t>
      </w:r>
    </w:p>
    <w:p>
      <w:pPr>
        <w:pStyle w:val="32"/>
        <w:tabs>
          <w:tab w:val="right" w:leader="dot" w:pos="8306"/>
        </w:tabs>
        <w:spacing w:line="360" w:lineRule="auto"/>
        <w:ind w:firstLine="420" w:firstLineChars="200"/>
        <w:outlineLvl w:val="0"/>
        <w:rPr>
          <w:rFonts w:ascii="宋体" w:hAnsi="宋体" w:cs="宋体"/>
          <w:b/>
          <w:bCs/>
          <w:iCs/>
          <w:szCs w:val="21"/>
        </w:rPr>
      </w:pPr>
      <w:r>
        <w:fldChar w:fldCharType="begin"/>
      </w:r>
      <w:r>
        <w:instrText xml:space="preserve"> HYPERLINK \l "_Toc11191" </w:instrText>
      </w:r>
      <w:r>
        <w:fldChar w:fldCharType="separate"/>
      </w:r>
      <w:bookmarkStart w:id="18" w:name="_Toc8304544"/>
      <w:bookmarkStart w:id="19" w:name="_Toc5614278"/>
      <w:r>
        <w:rPr>
          <w:rFonts w:hint="eastAsia" w:ascii="宋体" w:hAnsi="宋体" w:cs="宋体"/>
          <w:b/>
          <w:bCs/>
          <w:iCs/>
          <w:szCs w:val="21"/>
        </w:rPr>
        <w:t>二、项目计划</w:t>
      </w:r>
      <w:bookmarkEnd w:id="18"/>
      <w:bookmarkEnd w:id="19"/>
      <w:r>
        <w:rPr>
          <w:rFonts w:hint="eastAsia" w:ascii="宋体" w:hAnsi="宋体" w:cs="宋体"/>
          <w:b/>
          <w:bCs/>
          <w:iCs/>
          <w:szCs w:val="21"/>
        </w:rPr>
        <w:fldChar w:fldCharType="end"/>
      </w:r>
    </w:p>
    <w:p>
      <w:pPr>
        <w:adjustRightInd w:val="0"/>
        <w:spacing w:line="360" w:lineRule="auto"/>
        <w:ind w:left="420" w:leftChars="200"/>
        <w:rPr>
          <w:rFonts w:ascii="宋体" w:hAnsi="宋体" w:cs="宋体"/>
          <w:szCs w:val="21"/>
        </w:rPr>
      </w:pPr>
      <w:r>
        <w:rPr>
          <w:rFonts w:hint="eastAsia" w:ascii="宋体" w:hAnsi="宋体" w:cs="宋体"/>
          <w:szCs w:val="21"/>
        </w:rPr>
        <w:t>（一）服务期限</w:t>
      </w:r>
    </w:p>
    <w:p>
      <w:pPr>
        <w:spacing w:line="360" w:lineRule="auto"/>
        <w:ind w:firstLine="420" w:firstLineChars="200"/>
        <w:rPr>
          <w:rFonts w:ascii="宋体" w:hAnsi="宋体" w:cs="宋体"/>
          <w:szCs w:val="21"/>
        </w:rPr>
      </w:pPr>
      <w:r>
        <w:rPr>
          <w:rFonts w:hint="eastAsia" w:ascii="宋体" w:hAnsi="宋体" w:cs="宋体"/>
          <w:szCs w:val="21"/>
        </w:rPr>
        <w:t>本项目服务期限暂定为2019年12月1日至2020年11月30日，总计12个月（实际服务时间以供应商接到招标人发出的开工令起算）。</w:t>
      </w:r>
    </w:p>
    <w:p>
      <w:pPr>
        <w:pStyle w:val="32"/>
        <w:tabs>
          <w:tab w:val="right" w:leader="dot" w:pos="8306"/>
        </w:tabs>
        <w:spacing w:line="360" w:lineRule="auto"/>
        <w:ind w:firstLine="420" w:firstLineChars="200"/>
        <w:outlineLvl w:val="0"/>
        <w:rPr>
          <w:rFonts w:ascii="宋体" w:hAnsi="宋体" w:cs="宋体"/>
          <w:iCs/>
          <w:szCs w:val="21"/>
        </w:rPr>
      </w:pPr>
      <w:bookmarkStart w:id="20" w:name="_Toc8304545"/>
      <w:bookmarkStart w:id="21" w:name="_Toc5614279"/>
      <w:r>
        <w:rPr>
          <w:rFonts w:hint="eastAsia" w:ascii="宋体" w:hAnsi="宋体" w:cs="宋体"/>
          <w:iCs/>
          <w:szCs w:val="21"/>
        </w:rPr>
        <w:t>三、相关技术标准及规范</w:t>
      </w:r>
      <w:bookmarkEnd w:id="20"/>
      <w:bookmarkEnd w:id="21"/>
    </w:p>
    <w:p>
      <w:pPr>
        <w:spacing w:line="360" w:lineRule="auto"/>
        <w:ind w:left="420" w:leftChars="200"/>
        <w:rPr>
          <w:rFonts w:ascii="宋体" w:hAnsi="宋体" w:cs="宋体"/>
          <w:szCs w:val="21"/>
        </w:rPr>
      </w:pPr>
      <w:r>
        <w:rPr>
          <w:rFonts w:hint="eastAsia" w:ascii="宋体" w:hAnsi="宋体" w:cs="宋体"/>
          <w:szCs w:val="21"/>
        </w:rPr>
        <w:t>（一）标准及规范</w:t>
      </w:r>
    </w:p>
    <w:p>
      <w:pPr>
        <w:spacing w:line="360" w:lineRule="auto"/>
        <w:ind w:firstLine="420" w:firstLineChars="200"/>
        <w:rPr>
          <w:rFonts w:ascii="宋体" w:hAnsi="宋体" w:cs="宋体"/>
          <w:szCs w:val="21"/>
        </w:rPr>
      </w:pPr>
      <w:r>
        <w:rPr>
          <w:rFonts w:hint="eastAsia" w:ascii="宋体" w:hAnsi="宋体" w:cs="宋体"/>
          <w:szCs w:val="21"/>
        </w:rPr>
        <w:t>投标人应遵照符合国家与行业相关规范及招标人的相关作业技术标准和规范执行，技术标准版本如有更新，应遵照新版本执行</w:t>
      </w:r>
      <w:bookmarkStart w:id="22" w:name="_Hlk5606179"/>
      <w:r>
        <w:rPr>
          <w:rFonts w:hint="eastAsia" w:ascii="宋体" w:hAnsi="宋体" w:cs="宋体"/>
          <w:szCs w:val="21"/>
        </w:rPr>
        <w:t>（详见表一）</w:t>
      </w:r>
      <w:bookmarkEnd w:id="22"/>
      <w:r>
        <w:rPr>
          <w:rFonts w:hint="eastAsia" w:ascii="宋体" w:hAnsi="宋体" w:cs="宋体"/>
          <w:szCs w:val="21"/>
        </w:rPr>
        <w:t>。</w:t>
      </w:r>
    </w:p>
    <w:tbl>
      <w:tblPr>
        <w:tblStyle w:val="46"/>
        <w:tblW w:w="8580" w:type="dxa"/>
        <w:tblInd w:w="0" w:type="dxa"/>
        <w:tblLayout w:type="fixed"/>
        <w:tblCellMar>
          <w:top w:w="15" w:type="dxa"/>
          <w:left w:w="15" w:type="dxa"/>
          <w:bottom w:w="15" w:type="dxa"/>
          <w:right w:w="15" w:type="dxa"/>
        </w:tblCellMar>
      </w:tblPr>
      <w:tblGrid>
        <w:gridCol w:w="1079"/>
        <w:gridCol w:w="2251"/>
        <w:gridCol w:w="5250"/>
      </w:tblGrid>
      <w:tr>
        <w:tblPrEx>
          <w:tblCellMar>
            <w:top w:w="15" w:type="dxa"/>
            <w:left w:w="15" w:type="dxa"/>
            <w:bottom w:w="15" w:type="dxa"/>
            <w:right w:w="15" w:type="dxa"/>
          </w:tblCellMar>
        </w:tblPrEx>
        <w:trPr>
          <w:trHeight w:val="284" w:hRule="atLeast"/>
        </w:trPr>
        <w:tc>
          <w:tcPr>
            <w:tcW w:w="858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表一 标准汇总表</w:t>
            </w:r>
          </w:p>
        </w:tc>
      </w:tr>
      <w:tr>
        <w:tblPrEx>
          <w:tblCellMar>
            <w:top w:w="15" w:type="dxa"/>
            <w:left w:w="15" w:type="dxa"/>
            <w:bottom w:w="15" w:type="dxa"/>
            <w:right w:w="15" w:type="dxa"/>
          </w:tblCellMar>
        </w:tblPrEx>
        <w:trPr>
          <w:trHeight w:val="284" w:hRule="atLeast"/>
        </w:trPr>
        <w:tc>
          <w:tcPr>
            <w:tcW w:w="107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225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标准代号</w:t>
            </w:r>
          </w:p>
        </w:tc>
        <w:tc>
          <w:tcPr>
            <w:tcW w:w="525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标准名称</w:t>
            </w:r>
          </w:p>
        </w:tc>
      </w:tr>
      <w:tr>
        <w:tblPrEx>
          <w:tblCellMar>
            <w:top w:w="15" w:type="dxa"/>
            <w:left w:w="15" w:type="dxa"/>
            <w:bottom w:w="15" w:type="dxa"/>
            <w:right w:w="15" w:type="dxa"/>
          </w:tblCellMar>
        </w:tblPrEx>
        <w:trPr>
          <w:trHeight w:val="284" w:hRule="atLeast"/>
        </w:trPr>
        <w:tc>
          <w:tcPr>
            <w:tcW w:w="1079"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251" w:type="dxa"/>
            <w:tcBorders>
              <w:top w:val="single" w:color="auto"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szCs w:val="21"/>
              </w:rPr>
            </w:pPr>
            <w:r>
              <w:rPr>
                <w:rFonts w:hint="eastAsia" w:ascii="宋体" w:hAnsi="宋体" w:cs="宋体"/>
                <w:color w:val="000000"/>
                <w:kern w:val="0"/>
                <w:szCs w:val="21"/>
                <w:lang w:bidi="ar"/>
              </w:rPr>
              <w:t>（GB 50157－2013）</w:t>
            </w:r>
          </w:p>
        </w:tc>
        <w:tc>
          <w:tcPr>
            <w:tcW w:w="5250" w:type="dxa"/>
            <w:tcBorders>
              <w:top w:val="single" w:color="auto"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szCs w:val="21"/>
              </w:rPr>
            </w:pPr>
            <w:r>
              <w:rPr>
                <w:rFonts w:hint="eastAsia" w:ascii="宋体" w:hAnsi="宋体" w:cs="宋体"/>
                <w:color w:val="000000"/>
                <w:kern w:val="0"/>
                <w:szCs w:val="21"/>
                <w:lang w:bidi="ar"/>
              </w:rPr>
              <w:t>《地铁设计规范》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（GB/T 30012-2013）</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《城市轨道交通运营管理规范》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 50490-2009）</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《城市轨道交通技术规范》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（GB/T 20907-2007）</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《城市轨道交通自动售检票系统技术条件》</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 4943.1-2011 ）</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《信息技术设备 安全 第1部分：通用要求》</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（GB/T 12505-1990）</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《计算机软件配置管理计划规范》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（GB/T 50831-2012）</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《城市规划基础资料搜集规范》</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8</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（CGY/G-105-140-A/0）</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《运营公司承包商安全管理办法》</w:t>
            </w:r>
          </w:p>
        </w:tc>
      </w:tr>
      <w:tr>
        <w:tblPrEx>
          <w:tblCellMar>
            <w:top w:w="15" w:type="dxa"/>
            <w:left w:w="15" w:type="dxa"/>
            <w:bottom w:w="15" w:type="dxa"/>
            <w:right w:w="15" w:type="dxa"/>
          </w:tblCellMar>
        </w:tblPrEx>
        <w:trPr>
          <w:trHeight w:val="284"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9</w:t>
            </w:r>
          </w:p>
        </w:tc>
        <w:tc>
          <w:tcPr>
            <w:tcW w:w="2251"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kern w:val="0"/>
                <w:szCs w:val="21"/>
                <w:lang w:bidi="ar"/>
              </w:rPr>
            </w:pPr>
            <w:r>
              <w:rPr>
                <w:rFonts w:hint="eastAsia" w:ascii="宋体" w:hAnsi="宋体" w:cs="宋体"/>
                <w:color w:val="000000"/>
                <w:kern w:val="0"/>
                <w:szCs w:val="21"/>
                <w:lang w:bidi="ar"/>
              </w:rPr>
              <w:t>（CGY/J-201-001-A/2）</w:t>
            </w:r>
          </w:p>
        </w:tc>
        <w:tc>
          <w:tcPr>
            <w:tcW w:w="5250"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《运营公司突发事件综合应急预案》</w:t>
            </w:r>
          </w:p>
        </w:tc>
      </w:tr>
    </w:tbl>
    <w:p>
      <w:pPr>
        <w:pStyle w:val="32"/>
        <w:tabs>
          <w:tab w:val="right" w:leader="dot" w:pos="8306"/>
        </w:tabs>
        <w:spacing w:line="360" w:lineRule="auto"/>
        <w:ind w:firstLine="422" w:firstLineChars="200"/>
        <w:outlineLvl w:val="0"/>
        <w:rPr>
          <w:rFonts w:ascii="宋体" w:hAnsi="宋体" w:cs="宋体"/>
          <w:b/>
          <w:bCs/>
          <w:iCs/>
          <w:szCs w:val="21"/>
        </w:rPr>
      </w:pPr>
      <w:bookmarkStart w:id="23" w:name="_Toc8304546"/>
      <w:bookmarkStart w:id="24" w:name="_Toc5614280"/>
      <w:r>
        <w:rPr>
          <w:rFonts w:hint="eastAsia" w:ascii="宋体" w:hAnsi="宋体" w:cs="宋体"/>
          <w:b/>
          <w:bCs/>
          <w:iCs/>
          <w:szCs w:val="21"/>
        </w:rPr>
        <w:t>四、项目管控要求</w:t>
      </w:r>
      <w:bookmarkEnd w:id="23"/>
      <w:bookmarkEnd w:id="24"/>
    </w:p>
    <w:p>
      <w:pPr>
        <w:pStyle w:val="76"/>
        <w:tabs>
          <w:tab w:val="left" w:pos="120"/>
        </w:tabs>
        <w:adjustRightInd w:val="0"/>
        <w:spacing w:line="360" w:lineRule="auto"/>
        <w:ind w:firstLine="420" w:firstLineChars="200"/>
        <w:textAlignment w:val="baseline"/>
        <w:outlineLvl w:val="1"/>
      </w:pPr>
      <w:bookmarkStart w:id="25" w:name="_Toc5614281"/>
      <w:bookmarkStart w:id="26" w:name="_Toc8304547"/>
      <w:r>
        <w:rPr>
          <w:rFonts w:hint="eastAsia"/>
        </w:rPr>
        <w:t>（一）人员配备要求</w:t>
      </w:r>
      <w:bookmarkEnd w:id="25"/>
      <w:bookmarkEnd w:id="26"/>
    </w:p>
    <w:p>
      <w:pPr>
        <w:pStyle w:val="76"/>
        <w:tabs>
          <w:tab w:val="left" w:pos="142"/>
        </w:tabs>
        <w:adjustRightInd w:val="0"/>
        <w:spacing w:line="360" w:lineRule="auto"/>
        <w:ind w:firstLine="420" w:firstLineChars="200"/>
        <w:jc w:val="left"/>
        <w:textAlignment w:val="baseline"/>
      </w:pPr>
      <w:r>
        <w:rPr>
          <w:rFonts w:hint="eastAsia"/>
        </w:rPr>
        <w:t>1.投标人须根据招标人的设备具体情况和系统运行的重要性，成立技术服务小组为招标人提供维护保养服务。</w:t>
      </w:r>
    </w:p>
    <w:p>
      <w:pPr>
        <w:pStyle w:val="76"/>
        <w:tabs>
          <w:tab w:val="left" w:pos="120"/>
          <w:tab w:val="left" w:pos="426"/>
        </w:tabs>
        <w:adjustRightInd w:val="0"/>
        <w:spacing w:line="360" w:lineRule="auto"/>
        <w:ind w:firstLine="420" w:firstLineChars="200"/>
        <w:jc w:val="left"/>
        <w:textAlignment w:val="baseline"/>
      </w:pPr>
      <w:r>
        <w:rPr>
          <w:rFonts w:hint="eastAsia"/>
        </w:rPr>
        <w:t>2.要求该技术服务小组由1名技术总监，3名维护工程师组成。维护工程师须熟悉掌握硬件、软件、数据库、网络等专业知识，负责故障处理、应急抢修、设备巡检、性能评估、技术支持等工作。</w:t>
      </w:r>
    </w:p>
    <w:p>
      <w:pPr>
        <w:pStyle w:val="76"/>
        <w:tabs>
          <w:tab w:val="left" w:pos="120"/>
          <w:tab w:val="left" w:pos="426"/>
        </w:tabs>
        <w:adjustRightInd w:val="0"/>
        <w:spacing w:line="360" w:lineRule="auto"/>
        <w:ind w:firstLine="420" w:firstLineChars="200"/>
        <w:jc w:val="left"/>
        <w:textAlignment w:val="baseline"/>
      </w:pPr>
      <w:r>
        <w:rPr>
          <w:rFonts w:hint="eastAsia"/>
        </w:rPr>
        <w:t>3.该小组应确保每天有不少于1名工程师驻场工作（包含工作日、节假日），驻场地点为OCC裙楼二楼。单日驻场时间不少于8小时。驻场工程师可进行轮换，专职为招标人提供快捷的本地化服务。</w:t>
      </w:r>
    </w:p>
    <w:p>
      <w:pPr>
        <w:pStyle w:val="76"/>
        <w:tabs>
          <w:tab w:val="left" w:pos="120"/>
          <w:tab w:val="left" w:pos="426"/>
        </w:tabs>
        <w:adjustRightInd w:val="0"/>
        <w:spacing w:line="360" w:lineRule="auto"/>
        <w:ind w:firstLine="420" w:firstLineChars="200"/>
        <w:jc w:val="left"/>
        <w:textAlignment w:val="baseline"/>
      </w:pPr>
      <w:r>
        <w:rPr>
          <w:rFonts w:hint="eastAsia"/>
        </w:rPr>
        <w:t>4.投标人须提供7*24小时故障维修服务。同时投标人须设立24小时技术支持热线，提供技术咨询。</w:t>
      </w:r>
    </w:p>
    <w:p>
      <w:pPr>
        <w:pStyle w:val="76"/>
        <w:tabs>
          <w:tab w:val="left" w:pos="120"/>
        </w:tabs>
        <w:adjustRightInd w:val="0"/>
        <w:spacing w:line="360" w:lineRule="auto"/>
        <w:ind w:firstLine="420" w:firstLineChars="200"/>
        <w:textAlignment w:val="baseline"/>
        <w:outlineLvl w:val="1"/>
      </w:pPr>
      <w:bookmarkStart w:id="27" w:name="_Toc5614282"/>
      <w:bookmarkStart w:id="28" w:name="_Toc8304548"/>
      <w:r>
        <w:rPr>
          <w:rFonts w:hint="eastAsia"/>
        </w:rPr>
        <w:t>（二）设备配备要求</w:t>
      </w:r>
      <w:bookmarkEnd w:id="27"/>
      <w:bookmarkEnd w:id="28"/>
    </w:p>
    <w:p>
      <w:pPr>
        <w:pStyle w:val="76"/>
        <w:tabs>
          <w:tab w:val="left" w:pos="120"/>
        </w:tabs>
        <w:spacing w:line="360" w:lineRule="auto"/>
        <w:ind w:firstLine="420" w:firstLineChars="200"/>
      </w:pPr>
      <w:r>
        <w:rPr>
          <w:rFonts w:hint="eastAsia"/>
        </w:rPr>
        <w:t>1.投标人在故障维修过程中产生的费用由投标人全部承担，维修所需的备机备件均须在1个工作日内到达现场，设备的部分主要易损耗件（详见附件2）须在1小时内到场，由于设备硬件故障而进行的备件更换必须为全新原厂产品，如涉及到的备机备件已停产，替代的备机备件必须为同品牌或同系列的升级产品，且其兼容性、参数和性能不得低于原产品。</w:t>
      </w:r>
    </w:p>
    <w:p>
      <w:pPr>
        <w:pStyle w:val="76"/>
        <w:tabs>
          <w:tab w:val="left" w:pos="120"/>
        </w:tabs>
        <w:spacing w:line="360" w:lineRule="auto"/>
        <w:ind w:firstLine="420" w:firstLineChars="200"/>
      </w:pPr>
      <w:r>
        <w:rPr>
          <w:rFonts w:hint="eastAsia"/>
        </w:rPr>
        <w:t>2.设备维护保养、故障维修相关工器具由投标人自行准备。</w:t>
      </w:r>
    </w:p>
    <w:p>
      <w:pPr>
        <w:pStyle w:val="76"/>
        <w:tabs>
          <w:tab w:val="left" w:pos="120"/>
        </w:tabs>
        <w:adjustRightInd w:val="0"/>
        <w:spacing w:line="360" w:lineRule="auto"/>
        <w:ind w:firstLine="420" w:firstLineChars="200"/>
        <w:textAlignment w:val="baseline"/>
        <w:outlineLvl w:val="1"/>
      </w:pPr>
      <w:bookmarkStart w:id="29" w:name="_Toc5614283"/>
      <w:bookmarkStart w:id="30" w:name="_Toc8304549"/>
      <w:r>
        <w:rPr>
          <w:rFonts w:hint="eastAsia"/>
        </w:rPr>
        <w:t>（三）安全管理规定</w:t>
      </w:r>
      <w:bookmarkEnd w:id="29"/>
      <w:bookmarkEnd w:id="30"/>
    </w:p>
    <w:p>
      <w:pPr>
        <w:spacing w:line="360" w:lineRule="auto"/>
        <w:ind w:firstLine="420" w:firstLineChars="200"/>
        <w:rPr>
          <w:rFonts w:ascii="宋体" w:hAnsi="宋体" w:cs="宋体"/>
          <w:szCs w:val="21"/>
        </w:rPr>
      </w:pPr>
      <w:r>
        <w:rPr>
          <w:rFonts w:hint="eastAsia" w:ascii="宋体" w:hAnsi="宋体" w:cs="宋体"/>
          <w:szCs w:val="21"/>
        </w:rPr>
        <w:t>1.投标人需严格按照《运营公司承包商安全管理办法》执行。</w:t>
      </w:r>
    </w:p>
    <w:p>
      <w:pPr>
        <w:pStyle w:val="76"/>
        <w:tabs>
          <w:tab w:val="left" w:pos="426"/>
        </w:tabs>
        <w:adjustRightInd w:val="0"/>
        <w:spacing w:line="360" w:lineRule="auto"/>
        <w:ind w:firstLine="420" w:firstLineChars="200"/>
        <w:textAlignment w:val="baseline"/>
      </w:pPr>
      <w:r>
        <w:rPr>
          <w:rFonts w:hint="eastAsia"/>
        </w:rPr>
        <w:t>2.投标人按照国家、行业相关规定及招标人企业标准提供维护保养服务。安全第一、预防保养为主、故障检修为辅，通过维修保养达到出现故障及时维修并彻底排除故障，减少停机检修时间，保证系统设备高效运行。</w:t>
      </w:r>
    </w:p>
    <w:p>
      <w:pPr>
        <w:pStyle w:val="76"/>
        <w:tabs>
          <w:tab w:val="left" w:pos="426"/>
        </w:tabs>
        <w:adjustRightInd w:val="0"/>
        <w:spacing w:line="360" w:lineRule="auto"/>
        <w:ind w:firstLine="420" w:firstLineChars="200"/>
        <w:textAlignment w:val="baseline"/>
      </w:pPr>
      <w:r>
        <w:rPr>
          <w:rFonts w:hint="eastAsia"/>
        </w:rPr>
        <w:t>3.投标人对该项目进行安全管理时必须有明确的安全目标和安全指标，安全生产考核按合同约定及招标人管理制度执行。</w:t>
      </w:r>
    </w:p>
    <w:p>
      <w:pPr>
        <w:pStyle w:val="76"/>
        <w:tabs>
          <w:tab w:val="left" w:pos="426"/>
        </w:tabs>
        <w:adjustRightInd w:val="0"/>
        <w:spacing w:line="360" w:lineRule="auto"/>
        <w:ind w:firstLine="420" w:firstLineChars="200"/>
        <w:textAlignment w:val="baseline"/>
      </w:pPr>
      <w:r>
        <w:rPr>
          <w:rFonts w:hint="eastAsia"/>
        </w:rPr>
        <w:t>4.投标人进行维护保养作业时，在招标人提供实施服务条件的前提下，应严格遵守招标人有关规章制度，同时系统设备的维修、保养由招标人参与实施，并交由招标人确认质量合格。</w:t>
      </w:r>
    </w:p>
    <w:p>
      <w:pPr>
        <w:pStyle w:val="76"/>
        <w:tabs>
          <w:tab w:val="left" w:pos="426"/>
        </w:tabs>
        <w:adjustRightInd w:val="0"/>
        <w:spacing w:line="360" w:lineRule="auto"/>
        <w:ind w:firstLine="420" w:firstLineChars="200"/>
        <w:textAlignment w:val="baseline"/>
      </w:pPr>
      <w:r>
        <w:rPr>
          <w:rFonts w:hint="eastAsia"/>
        </w:rPr>
        <w:t>5.未经招标人同意，投标人不得私自更改设备的运行程序、运行方式和运行参数。</w:t>
      </w:r>
    </w:p>
    <w:p>
      <w:pPr>
        <w:pStyle w:val="76"/>
        <w:tabs>
          <w:tab w:val="left" w:pos="426"/>
        </w:tabs>
        <w:adjustRightInd w:val="0"/>
        <w:spacing w:line="360" w:lineRule="auto"/>
        <w:ind w:firstLine="420" w:firstLineChars="200"/>
        <w:textAlignment w:val="baseline"/>
      </w:pPr>
      <w:r>
        <w:rPr>
          <w:rFonts w:hint="eastAsia"/>
        </w:rPr>
        <w:t>6.投标人在维护保养作业过程中，应对设备运行环境进行检查，如发现有影响设备正常运行的环境隐患时，通知招标人进行改善。</w:t>
      </w:r>
    </w:p>
    <w:p>
      <w:pPr>
        <w:pStyle w:val="76"/>
        <w:tabs>
          <w:tab w:val="left" w:pos="426"/>
        </w:tabs>
        <w:adjustRightInd w:val="0"/>
        <w:spacing w:line="360" w:lineRule="auto"/>
        <w:ind w:firstLine="420" w:firstLineChars="200"/>
        <w:jc w:val="left"/>
        <w:textAlignment w:val="baseline"/>
      </w:pPr>
      <w:r>
        <w:rPr>
          <w:rFonts w:hint="eastAsia"/>
        </w:rPr>
        <w:t>7.投标人应采取预防性维护保养工作，及时排除设备故障隐患，因不及时处理故障隐患造成招标人不能正常使用，因此对招标人造成的损失，由投标人承担，并纳入考核。</w:t>
      </w:r>
    </w:p>
    <w:p>
      <w:pPr>
        <w:pStyle w:val="76"/>
        <w:tabs>
          <w:tab w:val="left" w:pos="426"/>
        </w:tabs>
        <w:adjustRightInd w:val="0"/>
        <w:spacing w:line="360" w:lineRule="auto"/>
        <w:ind w:firstLine="420" w:firstLineChars="200"/>
        <w:jc w:val="left"/>
        <w:textAlignment w:val="baseline"/>
      </w:pPr>
      <w:r>
        <w:rPr>
          <w:rFonts w:hint="eastAsia"/>
        </w:rPr>
        <w:t>8.投标人进行维护保养作业时，需对作业区域设置安全防护措施，在作业过程中由于投标人违规操作或没有进行有效的安全防护造成的事故，由投标人承担全部责任，并纳入考核。</w:t>
      </w:r>
    </w:p>
    <w:p>
      <w:pPr>
        <w:pStyle w:val="32"/>
        <w:tabs>
          <w:tab w:val="right" w:leader="dot" w:pos="8306"/>
        </w:tabs>
        <w:spacing w:line="360" w:lineRule="auto"/>
        <w:ind w:firstLine="422" w:firstLineChars="200"/>
        <w:outlineLvl w:val="0"/>
        <w:rPr>
          <w:rFonts w:ascii="宋体" w:hAnsi="宋体" w:cs="宋体"/>
          <w:b/>
          <w:bCs/>
          <w:iCs/>
          <w:szCs w:val="21"/>
        </w:rPr>
      </w:pPr>
      <w:bookmarkStart w:id="31" w:name="_Toc8304550"/>
      <w:bookmarkStart w:id="32" w:name="_Toc5614284"/>
      <w:r>
        <w:rPr>
          <w:rFonts w:hint="eastAsia" w:ascii="宋体" w:hAnsi="宋体" w:cs="宋体"/>
          <w:b/>
          <w:bCs/>
          <w:iCs/>
          <w:szCs w:val="21"/>
        </w:rPr>
        <w:t>五、项</w:t>
      </w:r>
      <w:bookmarkStart w:id="33" w:name="_Hlt2066523"/>
      <w:bookmarkStart w:id="34" w:name="_Hlt2066522"/>
      <w:r>
        <w:rPr>
          <w:rFonts w:hint="eastAsia" w:ascii="宋体" w:hAnsi="宋体" w:cs="宋体"/>
          <w:b/>
          <w:bCs/>
          <w:iCs/>
          <w:szCs w:val="21"/>
        </w:rPr>
        <w:t>目</w:t>
      </w:r>
      <w:bookmarkEnd w:id="33"/>
      <w:bookmarkEnd w:id="34"/>
      <w:r>
        <w:rPr>
          <w:rFonts w:hint="eastAsia" w:ascii="宋体" w:hAnsi="宋体" w:cs="宋体"/>
          <w:b/>
          <w:bCs/>
          <w:iCs/>
          <w:szCs w:val="21"/>
        </w:rPr>
        <w:t>实施要求</w:t>
      </w:r>
      <w:bookmarkEnd w:id="31"/>
      <w:bookmarkEnd w:id="32"/>
    </w:p>
    <w:p>
      <w:pPr>
        <w:pStyle w:val="76"/>
        <w:tabs>
          <w:tab w:val="left" w:pos="120"/>
        </w:tabs>
        <w:adjustRightInd w:val="0"/>
        <w:spacing w:line="360" w:lineRule="auto"/>
        <w:ind w:firstLine="420" w:firstLineChars="200"/>
        <w:textAlignment w:val="baseline"/>
        <w:outlineLvl w:val="1"/>
      </w:pPr>
      <w:bookmarkStart w:id="35" w:name="_Toc5614286"/>
      <w:bookmarkStart w:id="36" w:name="_Toc8304551"/>
      <w:r>
        <w:rPr>
          <w:rFonts w:hint="eastAsia"/>
        </w:rPr>
        <w:t>（一）工作时间和范围</w:t>
      </w:r>
      <w:bookmarkEnd w:id="35"/>
      <w:bookmarkEnd w:id="36"/>
    </w:p>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1.故障维修：设备发生故障，投标人应按照招标人规章文本要求的时间内到达现场，进行故障处理，故障维护结束后，投标人须提供相应报告。</w:t>
      </w:r>
    </w:p>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2.应急抢修：当招标人线路中央计算机系统发生紧急故障时，投标人负责在规定时间内响应和解决(详见表二)，并在故障处理后1个工作日内提供相应的故障处理报告，应急抢修响应范围及响应要求以招标人最新的规章文本为准。</w:t>
      </w:r>
    </w:p>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3.投标人须在合同执行前向招标人提交设备应急故障维修、抢修方案，包括但不限于表二中各类应急故障。</w:t>
      </w:r>
    </w:p>
    <w:tbl>
      <w:tblPr>
        <w:tblStyle w:val="46"/>
        <w:tblW w:w="9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9"/>
        <w:gridCol w:w="2577"/>
        <w:gridCol w:w="1146"/>
        <w:gridCol w:w="1159"/>
        <w:gridCol w:w="1173"/>
        <w:gridCol w:w="1104"/>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9993" w:type="dxa"/>
            <w:gridSpan w:val="7"/>
            <w:vAlign w:val="center"/>
          </w:tcPr>
          <w:p>
            <w:pPr>
              <w:adjustRightInd w:val="0"/>
              <w:jc w:val="center"/>
              <w:textAlignment w:val="baseline"/>
              <w:rPr>
                <w:rFonts w:ascii="宋体" w:hAnsi="宋体" w:cs="宋体"/>
                <w:b/>
                <w:kern w:val="0"/>
                <w:szCs w:val="21"/>
              </w:rPr>
            </w:pPr>
            <w:r>
              <w:rPr>
                <w:rFonts w:hint="eastAsia" w:ascii="宋体" w:hAnsi="宋体" w:cs="宋体"/>
                <w:b/>
                <w:kern w:val="0"/>
                <w:szCs w:val="21"/>
              </w:rPr>
              <w:t>表二 应急抢修响应范围及要求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89" w:type="dxa"/>
            <w:vAlign w:val="center"/>
          </w:tcPr>
          <w:p>
            <w:pPr>
              <w:adjustRightInd w:val="0"/>
              <w:textAlignment w:val="baseline"/>
              <w:rPr>
                <w:rFonts w:ascii="宋体" w:hAnsi="宋体" w:cs="宋体"/>
                <w:b/>
                <w:kern w:val="0"/>
                <w:szCs w:val="21"/>
              </w:rPr>
            </w:pPr>
            <w:r>
              <w:rPr>
                <w:rFonts w:hint="eastAsia" w:ascii="宋体" w:hAnsi="宋体" w:cs="宋体"/>
                <w:b/>
                <w:kern w:val="0"/>
                <w:szCs w:val="21"/>
              </w:rPr>
              <w:t>故障分类</w:t>
            </w:r>
          </w:p>
        </w:tc>
        <w:tc>
          <w:tcPr>
            <w:tcW w:w="2577" w:type="dxa"/>
            <w:vAlign w:val="center"/>
          </w:tcPr>
          <w:p>
            <w:pPr>
              <w:adjustRightInd w:val="0"/>
              <w:jc w:val="center"/>
              <w:textAlignment w:val="baseline"/>
              <w:rPr>
                <w:rFonts w:ascii="宋体" w:hAnsi="宋体" w:cs="宋体"/>
                <w:b/>
                <w:kern w:val="0"/>
                <w:szCs w:val="21"/>
              </w:rPr>
            </w:pPr>
            <w:r>
              <w:rPr>
                <w:rFonts w:hint="eastAsia" w:ascii="宋体" w:hAnsi="宋体" w:cs="宋体"/>
                <w:b/>
                <w:kern w:val="0"/>
                <w:szCs w:val="21"/>
              </w:rPr>
              <w:t>故障说明</w:t>
            </w:r>
          </w:p>
        </w:tc>
        <w:tc>
          <w:tcPr>
            <w:tcW w:w="1146" w:type="dxa"/>
            <w:vAlign w:val="center"/>
          </w:tcPr>
          <w:p>
            <w:pPr>
              <w:adjustRightInd w:val="0"/>
              <w:textAlignment w:val="baseline"/>
              <w:rPr>
                <w:rFonts w:ascii="宋体" w:hAnsi="宋体" w:cs="宋体"/>
                <w:b/>
                <w:kern w:val="0"/>
                <w:szCs w:val="21"/>
              </w:rPr>
            </w:pPr>
            <w:r>
              <w:rPr>
                <w:rFonts w:hint="eastAsia" w:ascii="宋体" w:hAnsi="宋体" w:cs="宋体"/>
                <w:b/>
                <w:kern w:val="0"/>
                <w:szCs w:val="21"/>
              </w:rPr>
              <w:t>运营期间</w:t>
            </w:r>
            <w:r>
              <w:rPr>
                <w:rFonts w:hint="eastAsia" w:ascii="宋体" w:hAnsi="宋体" w:cs="宋体"/>
                <w:b/>
                <w:szCs w:val="21"/>
              </w:rPr>
              <w:t>（含运营前1h）</w:t>
            </w:r>
            <w:r>
              <w:rPr>
                <w:rFonts w:hint="eastAsia" w:ascii="宋体" w:hAnsi="宋体" w:cs="宋体"/>
                <w:b/>
                <w:kern w:val="0"/>
                <w:szCs w:val="21"/>
              </w:rPr>
              <w:t>响应时间</w:t>
            </w:r>
          </w:p>
        </w:tc>
        <w:tc>
          <w:tcPr>
            <w:tcW w:w="1159" w:type="dxa"/>
            <w:vAlign w:val="center"/>
          </w:tcPr>
          <w:p>
            <w:pPr>
              <w:adjustRightInd w:val="0"/>
              <w:textAlignment w:val="baseline"/>
              <w:rPr>
                <w:rFonts w:ascii="宋体" w:hAnsi="宋体" w:cs="宋体"/>
                <w:b/>
                <w:kern w:val="0"/>
                <w:szCs w:val="21"/>
              </w:rPr>
            </w:pPr>
            <w:r>
              <w:rPr>
                <w:rFonts w:hint="eastAsia" w:ascii="宋体" w:hAnsi="宋体" w:cs="宋体"/>
                <w:b/>
                <w:kern w:val="0"/>
                <w:szCs w:val="21"/>
              </w:rPr>
              <w:t>非运营期间响应时间</w:t>
            </w:r>
          </w:p>
        </w:tc>
        <w:tc>
          <w:tcPr>
            <w:tcW w:w="1173" w:type="dxa"/>
            <w:vAlign w:val="center"/>
          </w:tcPr>
          <w:p>
            <w:pPr>
              <w:adjustRightInd w:val="0"/>
              <w:textAlignment w:val="baseline"/>
              <w:rPr>
                <w:rFonts w:ascii="宋体" w:hAnsi="宋体" w:cs="宋体"/>
                <w:b/>
                <w:kern w:val="0"/>
                <w:szCs w:val="21"/>
              </w:rPr>
            </w:pPr>
            <w:r>
              <w:rPr>
                <w:rFonts w:hint="eastAsia" w:ascii="宋体" w:hAnsi="宋体" w:cs="宋体"/>
                <w:b/>
                <w:kern w:val="0"/>
                <w:szCs w:val="21"/>
              </w:rPr>
              <w:t>临时性修复时间</w:t>
            </w:r>
          </w:p>
        </w:tc>
        <w:tc>
          <w:tcPr>
            <w:tcW w:w="1104" w:type="dxa"/>
            <w:vAlign w:val="center"/>
          </w:tcPr>
          <w:p>
            <w:pPr>
              <w:adjustRightInd w:val="0"/>
              <w:textAlignment w:val="baseline"/>
              <w:rPr>
                <w:rFonts w:ascii="宋体" w:hAnsi="宋体" w:cs="宋体"/>
                <w:b/>
                <w:kern w:val="0"/>
                <w:szCs w:val="21"/>
              </w:rPr>
            </w:pPr>
            <w:r>
              <w:rPr>
                <w:rFonts w:hint="eastAsia" w:ascii="宋体" w:hAnsi="宋体" w:cs="宋体"/>
                <w:b/>
                <w:kern w:val="0"/>
                <w:szCs w:val="21"/>
              </w:rPr>
              <w:t>完全修复时间</w:t>
            </w:r>
          </w:p>
        </w:tc>
        <w:tc>
          <w:tcPr>
            <w:tcW w:w="1745" w:type="dxa"/>
            <w:vAlign w:val="center"/>
          </w:tcPr>
          <w:p>
            <w:pPr>
              <w:adjustRightInd w:val="0"/>
              <w:jc w:val="center"/>
              <w:textAlignment w:val="baseline"/>
              <w:rPr>
                <w:rFonts w:ascii="宋体" w:hAnsi="宋体" w:cs="宋体"/>
                <w:b/>
                <w:kern w:val="0"/>
                <w:szCs w:val="21"/>
              </w:rPr>
            </w:pPr>
            <w:r>
              <w:rPr>
                <w:rFonts w:hint="eastAsia" w:ascii="宋体" w:hAnsi="宋体" w:cs="宋体"/>
                <w:b/>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1089" w:type="dxa"/>
            <w:vAlign w:val="center"/>
          </w:tcPr>
          <w:p>
            <w:pPr>
              <w:adjustRightInd w:val="0"/>
              <w:jc w:val="left"/>
              <w:textAlignment w:val="baseline"/>
              <w:rPr>
                <w:rFonts w:ascii="宋体" w:hAnsi="宋体" w:cs="宋体"/>
                <w:kern w:val="0"/>
                <w:szCs w:val="21"/>
              </w:rPr>
            </w:pPr>
            <w:r>
              <w:rPr>
                <w:rFonts w:hint="eastAsia" w:ascii="宋体" w:hAnsi="宋体" w:cs="宋体"/>
                <w:kern w:val="0"/>
                <w:szCs w:val="21"/>
              </w:rPr>
              <w:t>与ACC间的通讯故障</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当1号线线路中心计算机与清分中心发生通讯故障或相关数据、参数在20分钟内未上传、接收</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textAlignment w:val="baseline"/>
              <w:rPr>
                <w:rFonts w:ascii="宋体" w:hAnsi="宋体" w:cs="宋体"/>
                <w:kern w:val="0"/>
                <w:szCs w:val="21"/>
              </w:rPr>
            </w:pPr>
            <w:r>
              <w:rPr>
                <w:rFonts w:hint="eastAsia" w:ascii="宋体" w:hAnsi="宋体" w:cs="宋体"/>
                <w:kern w:val="0"/>
                <w:szCs w:val="21"/>
              </w:rPr>
              <w:t>应与招标人协同处理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089"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发生重大事故</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发生火灾、爆炸等消防事故，影响1号线线路中心设备运行</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textAlignment w:val="baseline"/>
              <w:rPr>
                <w:rFonts w:ascii="宋体" w:hAnsi="宋体" w:cs="宋体"/>
                <w:kern w:val="0"/>
                <w:szCs w:val="21"/>
              </w:rPr>
            </w:pPr>
            <w:r>
              <w:rPr>
                <w:rFonts w:hint="eastAsia" w:ascii="宋体" w:hAnsi="宋体" w:cs="宋体"/>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1089"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发生自然灾害</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发生台风、暴雨、水淹、地震、高温、冰冻等自然灾害，影响1号线线路中心设备运行</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textAlignment w:val="baseline"/>
              <w:rPr>
                <w:rFonts w:ascii="宋体" w:hAnsi="宋体" w:cs="宋体"/>
                <w:kern w:val="0"/>
                <w:szCs w:val="21"/>
              </w:rPr>
            </w:pPr>
            <w:r>
              <w:rPr>
                <w:rFonts w:hint="eastAsia" w:ascii="宋体" w:hAnsi="宋体" w:cs="宋体"/>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jc w:val="center"/>
        </w:trPr>
        <w:tc>
          <w:tcPr>
            <w:tcW w:w="1089"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发生突发事件</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发生恐怖袭击（如爆炸、毒气、纵火）等突发事件，影响1号线线路中心设备运行</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textAlignment w:val="baseline"/>
              <w:rPr>
                <w:rFonts w:ascii="宋体" w:hAnsi="宋体" w:cs="宋体"/>
                <w:kern w:val="0"/>
                <w:szCs w:val="21"/>
              </w:rPr>
            </w:pPr>
            <w:r>
              <w:rPr>
                <w:rFonts w:hint="eastAsia" w:ascii="宋体" w:hAnsi="宋体" w:cs="宋体"/>
                <w:kern w:val="0"/>
                <w:szCs w:val="21"/>
              </w:rPr>
              <w:t>维护保养人员在保证自身安全的前提下有协助工作人员抢险救灾的义务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089" w:type="dxa"/>
            <w:vAlign w:val="center"/>
          </w:tcPr>
          <w:p>
            <w:pPr>
              <w:adjustRightInd w:val="0"/>
              <w:textAlignment w:val="baseline"/>
              <w:rPr>
                <w:rFonts w:ascii="宋体" w:hAnsi="宋体" w:cs="宋体"/>
                <w:kern w:val="0"/>
                <w:szCs w:val="21"/>
              </w:rPr>
            </w:pPr>
            <w:r>
              <w:rPr>
                <w:rFonts w:hint="eastAsia" w:ascii="宋体" w:hAnsi="宋体" w:cs="宋体"/>
                <w:kern w:val="0"/>
                <w:szCs w:val="21"/>
              </w:rPr>
              <w:t>1号线线路中心系统服务器</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主服务器、通信服务器、报表服务器等服务器发生硬件故障、软件系统故障或报警等异常</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089" w:type="dxa"/>
            <w:vMerge w:val="restart"/>
            <w:vAlign w:val="center"/>
          </w:tcPr>
          <w:p>
            <w:pPr>
              <w:adjustRightInd w:val="0"/>
              <w:textAlignment w:val="baseline"/>
              <w:rPr>
                <w:rFonts w:ascii="宋体" w:hAnsi="宋体" w:cs="宋体"/>
                <w:kern w:val="0"/>
                <w:szCs w:val="21"/>
              </w:rPr>
            </w:pPr>
            <w:r>
              <w:rPr>
                <w:rFonts w:hint="eastAsia" w:ascii="宋体" w:hAnsi="宋体" w:cs="宋体"/>
                <w:kern w:val="0"/>
                <w:szCs w:val="21"/>
              </w:rPr>
              <w:t>1号线线路中心系统服务器周边设备</w:t>
            </w: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磁盘阵列、防火墙、入侵检测设备发生硬件故障或报警等异常</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1089" w:type="dxa"/>
            <w:vMerge w:val="continue"/>
            <w:vAlign w:val="center"/>
          </w:tcPr>
          <w:p>
            <w:pPr>
              <w:adjustRightInd w:val="0"/>
              <w:jc w:val="center"/>
              <w:textAlignment w:val="baseline"/>
              <w:rPr>
                <w:rFonts w:ascii="宋体" w:hAnsi="宋体" w:cs="宋体"/>
                <w:kern w:val="0"/>
                <w:szCs w:val="21"/>
              </w:rPr>
            </w:pPr>
          </w:p>
        </w:tc>
        <w:tc>
          <w:tcPr>
            <w:tcW w:w="2577" w:type="dxa"/>
            <w:vAlign w:val="center"/>
          </w:tcPr>
          <w:p>
            <w:pPr>
              <w:adjustRightInd w:val="0"/>
              <w:textAlignment w:val="baseline"/>
              <w:rPr>
                <w:rFonts w:ascii="宋体" w:hAnsi="宋体" w:cs="宋体"/>
                <w:kern w:val="0"/>
                <w:szCs w:val="21"/>
              </w:rPr>
            </w:pPr>
            <w:r>
              <w:rPr>
                <w:rFonts w:hint="eastAsia" w:ascii="宋体" w:hAnsi="宋体" w:cs="宋体"/>
                <w:kern w:val="0"/>
                <w:szCs w:val="21"/>
              </w:rPr>
              <w:t>磁带库不能正常备份</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≤120分钟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1089" w:type="dxa"/>
            <w:vAlign w:val="center"/>
          </w:tcPr>
          <w:p>
            <w:pPr>
              <w:adjustRightInd w:val="0"/>
              <w:textAlignment w:val="baseline"/>
              <w:rPr>
                <w:rFonts w:ascii="宋体" w:hAnsi="宋体" w:cs="宋体"/>
                <w:kern w:val="0"/>
                <w:szCs w:val="21"/>
              </w:rPr>
            </w:pPr>
            <w:r>
              <w:rPr>
                <w:rFonts w:hint="eastAsia" w:ascii="宋体" w:hAnsi="宋体" w:cs="宋体"/>
                <w:kern w:val="0"/>
                <w:szCs w:val="21"/>
              </w:rPr>
              <w:t>网络设备</w:t>
            </w:r>
          </w:p>
        </w:tc>
        <w:tc>
          <w:tcPr>
            <w:tcW w:w="2577" w:type="dxa"/>
            <w:vAlign w:val="center"/>
          </w:tcPr>
          <w:p>
            <w:pPr>
              <w:adjustRightInd w:val="0"/>
              <w:textAlignment w:val="baseline"/>
              <w:rPr>
                <w:rFonts w:ascii="宋体" w:hAnsi="宋体" w:cs="宋体"/>
                <w:kern w:val="0"/>
                <w:szCs w:val="21"/>
              </w:rPr>
            </w:pPr>
            <w:r>
              <w:rPr>
                <w:rFonts w:hint="eastAsia" w:ascii="宋体" w:hAnsi="宋体" w:cs="宋体"/>
                <w:szCs w:val="21"/>
              </w:rPr>
              <w:t>光纤交换机、三层交换机等网络设备系统故障或因其造成网络通信故障</w:t>
            </w:r>
          </w:p>
        </w:tc>
        <w:tc>
          <w:tcPr>
            <w:tcW w:w="1146" w:type="dxa"/>
            <w:vAlign w:val="center"/>
          </w:tcPr>
          <w:p>
            <w:pPr>
              <w:adjustRightInd w:val="0"/>
              <w:textAlignment w:val="baseline"/>
              <w:rPr>
                <w:rFonts w:ascii="宋体" w:hAnsi="宋体" w:cs="宋体"/>
                <w:kern w:val="0"/>
                <w:szCs w:val="21"/>
              </w:rPr>
            </w:pPr>
            <w:r>
              <w:rPr>
                <w:rFonts w:hint="eastAsia" w:ascii="宋体" w:hAnsi="宋体" w:cs="宋体"/>
                <w:kern w:val="0"/>
                <w:szCs w:val="21"/>
              </w:rPr>
              <w:t>≤20分钟</w:t>
            </w:r>
          </w:p>
        </w:tc>
        <w:tc>
          <w:tcPr>
            <w:tcW w:w="1159" w:type="dxa"/>
            <w:vAlign w:val="center"/>
          </w:tcPr>
          <w:p>
            <w:pPr>
              <w:adjustRightInd w:val="0"/>
              <w:textAlignment w:val="baseline"/>
              <w:rPr>
                <w:rFonts w:ascii="宋体" w:hAnsi="宋体" w:cs="宋体"/>
                <w:kern w:val="0"/>
                <w:szCs w:val="21"/>
              </w:rPr>
            </w:pPr>
            <w:r>
              <w:rPr>
                <w:rFonts w:hint="eastAsia" w:ascii="宋体" w:hAnsi="宋体" w:cs="宋体"/>
                <w:kern w:val="0"/>
                <w:szCs w:val="21"/>
              </w:rPr>
              <w:t>≤60分钟</w:t>
            </w:r>
          </w:p>
        </w:tc>
        <w:tc>
          <w:tcPr>
            <w:tcW w:w="1173" w:type="dxa"/>
            <w:vAlign w:val="center"/>
          </w:tcPr>
          <w:p>
            <w:pPr>
              <w:adjustRightInd w:val="0"/>
              <w:textAlignment w:val="baseline"/>
              <w:rPr>
                <w:rFonts w:ascii="宋体" w:hAnsi="宋体" w:cs="宋体"/>
                <w:kern w:val="0"/>
                <w:szCs w:val="21"/>
              </w:rPr>
            </w:pPr>
            <w:r>
              <w:rPr>
                <w:rFonts w:hint="eastAsia" w:ascii="宋体" w:hAnsi="宋体" w:cs="宋体"/>
                <w:kern w:val="0"/>
                <w:szCs w:val="21"/>
              </w:rPr>
              <w:t>≤90分钟</w:t>
            </w:r>
          </w:p>
        </w:tc>
        <w:tc>
          <w:tcPr>
            <w:tcW w:w="1104" w:type="dxa"/>
            <w:vAlign w:val="center"/>
          </w:tcPr>
          <w:p>
            <w:pPr>
              <w:adjustRightInd w:val="0"/>
              <w:textAlignment w:val="baseline"/>
              <w:rPr>
                <w:rFonts w:ascii="宋体" w:hAnsi="宋体" w:cs="宋体"/>
                <w:kern w:val="0"/>
                <w:szCs w:val="21"/>
              </w:rPr>
            </w:pPr>
            <w:r>
              <w:rPr>
                <w:rFonts w:hint="eastAsia" w:ascii="宋体" w:hAnsi="宋体" w:cs="宋体"/>
                <w:kern w:val="0"/>
                <w:szCs w:val="21"/>
              </w:rPr>
              <w:t>≤24小时</w:t>
            </w:r>
          </w:p>
        </w:tc>
        <w:tc>
          <w:tcPr>
            <w:tcW w:w="1745" w:type="dxa"/>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w:t>
            </w:r>
          </w:p>
        </w:tc>
      </w:tr>
    </w:tbl>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4.定期预防性维护：根据设备、部件的运行状况或规定的周期，对设备或部件进行预防性检修，克服潜在的故障，延长使用寿命。主要包含相关设备的月维护、季维护、半年维护、</w:t>
      </w:r>
      <w:bookmarkStart w:id="37" w:name="_Hlk11919670"/>
      <w:r>
        <w:rPr>
          <w:rFonts w:hint="eastAsia" w:ascii="宋体" w:hAnsi="宋体" w:cs="宋体"/>
          <w:kern w:val="0"/>
          <w:szCs w:val="21"/>
        </w:rPr>
        <w:t>专项维护、节前维护</w:t>
      </w:r>
      <w:bookmarkEnd w:id="37"/>
      <w:r>
        <w:rPr>
          <w:rFonts w:hint="eastAsia" w:ascii="宋体" w:hAnsi="宋体" w:cs="宋体"/>
          <w:kern w:val="0"/>
          <w:szCs w:val="21"/>
        </w:rPr>
        <w:t>。</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（1）月维护：根据设备检修规程规定的周期，按月对相应设备或部件进行预防性检修，克服潜在的故障，延长使用寿命。</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（2）季维护：根据设备检修规程规定的周期，按季度对相应设备或部件进行预防性检修，克服潜在的故障，延长使用寿命。</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（3）半年维护：根据设备检修规程规定的周期，按半年对相应设备或部件进行预防性检修，克服潜在的故障，延长使用寿命。</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（4）专项维护：根据部分模块的特点及特定要求对其按非固定周期进行的不同级别的检修维护，需要专项检修的模块根据实际运用情况确定。</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5）节前维护：根据法定节假日或重大活动前开展的专项预防性检修，保障节假日期间、重大活动期间设备系统安全运行。同时投标人提供节假日及与招标人生产业务相关的重要时段的现场值班服务，以保证招标人系统设备的稳定运行。</w:t>
      </w:r>
    </w:p>
    <w:p>
      <w:pPr>
        <w:pStyle w:val="76"/>
        <w:tabs>
          <w:tab w:val="left" w:pos="120"/>
        </w:tabs>
        <w:adjustRightInd w:val="0"/>
        <w:spacing w:line="360" w:lineRule="auto"/>
        <w:ind w:firstLine="420" w:firstLineChars="200"/>
        <w:textAlignment w:val="baseline"/>
        <w:outlineLvl w:val="1"/>
      </w:pPr>
      <w:bookmarkStart w:id="38" w:name="_Toc5614287"/>
      <w:bookmarkStart w:id="39" w:name="_Toc8304552"/>
      <w:r>
        <w:rPr>
          <w:rFonts w:hint="eastAsia"/>
        </w:rPr>
        <w:t>（二）服务标准、流程及操作要求</w:t>
      </w:r>
      <w:bookmarkEnd w:id="38"/>
      <w:bookmarkEnd w:id="39"/>
    </w:p>
    <w:p>
      <w:pPr>
        <w:autoSpaceDE w:val="0"/>
        <w:autoSpaceDN w:val="0"/>
        <w:adjustRightInd w:val="0"/>
        <w:snapToGrid w:val="0"/>
        <w:spacing w:line="360" w:lineRule="auto"/>
        <w:ind w:firstLine="420" w:firstLineChars="200"/>
        <w:jc w:val="left"/>
        <w:textAlignment w:val="baseline"/>
        <w:rPr>
          <w:rFonts w:ascii="宋体" w:hAnsi="宋体" w:cs="宋体"/>
          <w:color w:val="000000"/>
          <w:kern w:val="0"/>
          <w:szCs w:val="21"/>
        </w:rPr>
      </w:pPr>
      <w:r>
        <w:rPr>
          <w:rFonts w:hint="eastAsia" w:ascii="宋体" w:hAnsi="宋体" w:cs="宋体"/>
          <w:kern w:val="0"/>
          <w:szCs w:val="21"/>
        </w:rPr>
        <w:t>1.投标人应按照标准及规范（详见表一）提供服务</w:t>
      </w:r>
      <w:r>
        <w:rPr>
          <w:rFonts w:hint="eastAsia" w:ascii="宋体" w:hAnsi="宋体" w:cs="宋体"/>
          <w:color w:val="000000"/>
          <w:kern w:val="0"/>
          <w:szCs w:val="21"/>
        </w:rPr>
        <w:t>，维护维修内容包含招标人线路中央计算机系统已经使用的设备及新增加第三方外购软件、设备、专项服务，并包含相关的软件、参数及补丁更新，如因投标人技术水平不足，未达到维护、维修要求，投标人须自费找行业专家购买专业服务解决</w:t>
      </w:r>
      <w:bookmarkStart w:id="40" w:name="_Hlk5606156"/>
      <w:r>
        <w:rPr>
          <w:rFonts w:hint="eastAsia" w:ascii="宋体" w:hAnsi="宋体" w:cs="宋体"/>
          <w:kern w:val="0"/>
          <w:szCs w:val="21"/>
        </w:rPr>
        <w:t>（详见表三）</w:t>
      </w:r>
      <w:bookmarkEnd w:id="40"/>
      <w:r>
        <w:rPr>
          <w:rFonts w:hint="eastAsia" w:ascii="宋体" w:hAnsi="宋体" w:cs="宋体"/>
          <w:kern w:val="0"/>
          <w:szCs w:val="21"/>
        </w:rPr>
        <w:t>，包括但不限于表三内容</w:t>
      </w:r>
      <w:r>
        <w:rPr>
          <w:rFonts w:hint="eastAsia" w:ascii="宋体" w:hAnsi="宋体" w:cs="宋体"/>
          <w:color w:val="000000"/>
          <w:kern w:val="0"/>
          <w:szCs w:val="21"/>
        </w:rPr>
        <w:t>。</w:t>
      </w:r>
    </w:p>
    <w:tbl>
      <w:tblPr>
        <w:tblStyle w:val="46"/>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7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7" w:type="dxa"/>
            <w:gridSpan w:val="2"/>
            <w:tcBorders>
              <w:bottom w:val="single" w:color="auto" w:sz="4" w:space="0"/>
            </w:tcBorders>
            <w:vAlign w:val="center"/>
          </w:tcPr>
          <w:p>
            <w:pPr>
              <w:adjustRightInd w:val="0"/>
              <w:snapToGrid w:val="0"/>
              <w:jc w:val="center"/>
              <w:textAlignment w:val="baseline"/>
              <w:rPr>
                <w:rFonts w:ascii="宋体" w:hAnsi="宋体" w:cs="宋体"/>
                <w:b/>
                <w:kern w:val="0"/>
                <w:szCs w:val="21"/>
              </w:rPr>
            </w:pPr>
            <w:r>
              <w:rPr>
                <w:rFonts w:hint="eastAsia" w:ascii="宋体" w:hAnsi="宋体" w:cs="宋体"/>
                <w:b/>
                <w:kern w:val="0"/>
                <w:szCs w:val="21"/>
              </w:rPr>
              <w:t>表三 故障处理，操作系统维护，补丁升级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tcBorders>
              <w:top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小型机、服务器、存储设备、网络设备、安全加密设备</w:t>
            </w:r>
          </w:p>
        </w:tc>
        <w:tc>
          <w:tcPr>
            <w:tcW w:w="7005" w:type="dxa"/>
            <w:tcBorders>
              <w:bottom w:val="single" w:color="auto" w:sz="4" w:space="0"/>
            </w:tcBorders>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故障排除服务：7*24小时现场故障处理服务，响应时间为20分钟。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tcBorders>
              <w:top w:val="single" w:color="auto" w:sz="4" w:space="0"/>
              <w:bottom w:val="single" w:color="auto" w:sz="4" w:space="0"/>
            </w:tcBorders>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维修备件更换。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tcBorders>
              <w:top w:val="single" w:color="auto" w:sz="4" w:space="0"/>
              <w:bottom w:val="single" w:color="auto" w:sz="4" w:space="0"/>
            </w:tcBorders>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补丁服务：消除软件漏洞给系统带来的安全隐患，并对安装补丁所引起的系统连锁反应进行合理的平衡。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tcBorders>
              <w:top w:val="single" w:color="auto" w:sz="4" w:space="0"/>
              <w:bottom w:val="single" w:color="auto" w:sz="4" w:space="0"/>
            </w:tcBorders>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升级服务：对系统进行软件或硬件的升级，以改进、完善现有系统或消除现有系统的漏洞。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tcBorders>
              <w:top w:val="single" w:color="auto" w:sz="4" w:space="0"/>
            </w:tcBorders>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系统优化：对IBM主机服务系统，包括主机、存储设备、操作系统、提供优化服务。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restart"/>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7*24电话支持服务</w:t>
            </w:r>
          </w:p>
        </w:tc>
        <w:tc>
          <w:tcPr>
            <w:tcW w:w="7005" w:type="dxa"/>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7*24小时现场服务与远程技术支持，以满足业务需要。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技术专家直接同招标人对话，帮助解决招标人提出的疑难问题。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根据问题的严重程度，将优先解决招标人认为是关键而紧急的任务。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2" w:type="dxa"/>
            <w:vMerge w:val="continue"/>
            <w:vAlign w:val="center"/>
          </w:tcPr>
          <w:p>
            <w:pPr>
              <w:adjustRightInd w:val="0"/>
              <w:snapToGrid w:val="0"/>
              <w:jc w:val="center"/>
              <w:textAlignment w:val="baseline"/>
              <w:rPr>
                <w:rFonts w:ascii="宋体" w:hAnsi="宋体" w:cs="宋体"/>
                <w:kern w:val="0"/>
                <w:szCs w:val="21"/>
              </w:rPr>
            </w:pPr>
          </w:p>
        </w:tc>
        <w:tc>
          <w:tcPr>
            <w:tcW w:w="7005" w:type="dxa"/>
            <w:vAlign w:val="center"/>
          </w:tcPr>
          <w:p>
            <w:pPr>
              <w:adjustRightInd w:val="0"/>
              <w:snapToGrid w:val="0"/>
              <w:jc w:val="left"/>
              <w:textAlignment w:val="baseline"/>
              <w:rPr>
                <w:rFonts w:ascii="宋体" w:hAnsi="宋体" w:cs="宋体"/>
                <w:kern w:val="0"/>
                <w:szCs w:val="21"/>
              </w:rPr>
            </w:pPr>
            <w:r>
              <w:rPr>
                <w:rFonts w:hint="eastAsia" w:ascii="宋体" w:hAnsi="宋体" w:cs="宋体"/>
                <w:kern w:val="0"/>
                <w:szCs w:val="21"/>
              </w:rPr>
              <w:t>对招标人提出的一般性问题进行技术咨询、指导。</w:t>
            </w:r>
          </w:p>
        </w:tc>
      </w:tr>
    </w:tbl>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2.投标人须提供生产及测试环境下操作系统、数据库备份及恢复工作实施方案。</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3.投标人须免费提供第三方软件在本系统上安装的技术协助工作。根据招标人工作安排，投标人须无条件配合相关对口业务、单位部门完成相关施工配合（含线路中央计算机系统与车站计算机系统及相关接口系统的软件升级、参数下发、施工整改等作业内容），配合所需的各项费用由投标人承担。</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4.投标人须提供系统切换、软件升级及设备存储扩容等项目的配合工作。</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5.投标人须对招标人系统运行做出评估并提供合理化建议及解决方案。</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6.投标人须提供移机技术服务。</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7.投标人须配合管理所管辖系统设备的安保、卫生、防火、防汛、防盗等工作。</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8.投标人进行维护保养作业的时间段，应遵守招标人对于施工检修管理规定，设备维护保养原则上须在运营日结束后开展。</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9.投标人须根据招标人安排及要求制定相应的设备维护、故障管控、人员培训、安全管理等方案（包括但不限于以下内容）：</w:t>
      </w:r>
    </w:p>
    <w:p>
      <w:pPr>
        <w:spacing w:line="360" w:lineRule="auto"/>
        <w:ind w:firstLine="420" w:firstLineChars="200"/>
        <w:rPr>
          <w:rFonts w:ascii="宋体" w:hAnsi="宋体" w:cs="宋体"/>
          <w:szCs w:val="21"/>
        </w:rPr>
      </w:pPr>
      <w:r>
        <w:rPr>
          <w:rFonts w:hint="eastAsia" w:ascii="宋体" w:hAnsi="宋体" w:cs="宋体"/>
          <w:szCs w:val="21"/>
        </w:rPr>
        <w:t>（1）各类设备维护计划及方案；</w:t>
      </w:r>
    </w:p>
    <w:p>
      <w:pPr>
        <w:spacing w:line="360" w:lineRule="auto"/>
        <w:ind w:firstLine="420" w:firstLineChars="200"/>
        <w:rPr>
          <w:rFonts w:ascii="宋体" w:hAnsi="宋体" w:cs="宋体"/>
          <w:szCs w:val="21"/>
        </w:rPr>
      </w:pPr>
      <w:r>
        <w:rPr>
          <w:rFonts w:hint="eastAsia" w:ascii="宋体" w:hAnsi="宋体" w:cs="宋体"/>
          <w:szCs w:val="21"/>
        </w:rPr>
        <w:t>（2）故障处置方案，包括故障的紧急抢修方案、应急演练等；</w:t>
      </w:r>
    </w:p>
    <w:p>
      <w:pPr>
        <w:spacing w:line="360" w:lineRule="auto"/>
        <w:ind w:firstLine="420" w:firstLineChars="200"/>
        <w:rPr>
          <w:rFonts w:ascii="宋体" w:hAnsi="宋体" w:cs="宋体"/>
          <w:szCs w:val="21"/>
        </w:rPr>
      </w:pPr>
      <w:r>
        <w:rPr>
          <w:rFonts w:hint="eastAsia" w:ascii="宋体" w:hAnsi="宋体" w:cs="宋体"/>
          <w:szCs w:val="21"/>
        </w:rPr>
        <w:t>（3）系统性能调整计划及方案；</w:t>
      </w:r>
    </w:p>
    <w:p>
      <w:pPr>
        <w:spacing w:line="360" w:lineRule="auto"/>
        <w:ind w:firstLine="420" w:firstLineChars="200"/>
        <w:rPr>
          <w:rFonts w:ascii="宋体" w:hAnsi="宋体" w:cs="宋体"/>
          <w:szCs w:val="21"/>
        </w:rPr>
      </w:pPr>
      <w:r>
        <w:rPr>
          <w:rFonts w:hint="eastAsia" w:ascii="宋体" w:hAnsi="宋体" w:cs="宋体"/>
          <w:szCs w:val="21"/>
        </w:rPr>
        <w:t>（4）维护保养期间内的故障统计、汇报、故障分析等工作；</w:t>
      </w:r>
    </w:p>
    <w:p>
      <w:pPr>
        <w:spacing w:line="360" w:lineRule="auto"/>
        <w:ind w:firstLine="420" w:firstLineChars="200"/>
        <w:rPr>
          <w:rFonts w:ascii="宋体" w:hAnsi="宋体" w:cs="宋体"/>
          <w:szCs w:val="21"/>
        </w:rPr>
      </w:pPr>
      <w:bookmarkStart w:id="41" w:name="_Hlk7952915"/>
      <w:r>
        <w:rPr>
          <w:rFonts w:hint="eastAsia" w:ascii="宋体" w:hAnsi="宋体" w:cs="宋体"/>
          <w:szCs w:val="21"/>
        </w:rPr>
        <w:t>（5）定期组织进行技术交流与反馈</w:t>
      </w:r>
      <w:bookmarkEnd w:id="41"/>
      <w:r>
        <w:rPr>
          <w:rFonts w:hint="eastAsia" w:ascii="宋体" w:hAnsi="宋体" w:cs="宋体"/>
          <w:szCs w:val="21"/>
        </w:rPr>
        <w:t>，</w:t>
      </w:r>
      <w:bookmarkStart w:id="42" w:name="_Hlk7952888"/>
      <w:r>
        <w:rPr>
          <w:rFonts w:hint="eastAsia" w:ascii="宋体" w:hAnsi="宋体" w:cs="宋体"/>
          <w:szCs w:val="21"/>
        </w:rPr>
        <w:t>并定期提供设备维护总结报告</w:t>
      </w:r>
      <w:bookmarkEnd w:id="42"/>
      <w:r>
        <w:rPr>
          <w:rFonts w:hint="eastAsia" w:ascii="宋体" w:hAnsi="宋体" w:cs="宋体"/>
          <w:szCs w:val="21"/>
        </w:rPr>
        <w:t>；</w:t>
      </w:r>
    </w:p>
    <w:p>
      <w:pPr>
        <w:autoSpaceDE w:val="0"/>
        <w:autoSpaceDN w:val="0"/>
        <w:adjustRightInd w:val="0"/>
        <w:snapToGrid w:val="0"/>
        <w:spacing w:line="360" w:lineRule="auto"/>
        <w:ind w:firstLine="420" w:firstLineChars="200"/>
        <w:jc w:val="left"/>
        <w:textAlignment w:val="baseline"/>
        <w:rPr>
          <w:rFonts w:ascii="宋体" w:hAnsi="宋体" w:cs="宋体"/>
          <w:szCs w:val="21"/>
        </w:rPr>
      </w:pPr>
      <w:r>
        <w:rPr>
          <w:rFonts w:hint="eastAsia" w:ascii="宋体" w:hAnsi="宋体" w:cs="宋体"/>
          <w:szCs w:val="21"/>
        </w:rPr>
        <w:t>10.投标人应及时做好维护保养技术和现场准备工作，需要投标人提供的风险保障措施（包括但不限于以下内容）：</w:t>
      </w:r>
    </w:p>
    <w:p>
      <w:pPr>
        <w:pStyle w:val="76"/>
        <w:tabs>
          <w:tab w:val="left" w:pos="120"/>
        </w:tabs>
        <w:adjustRightInd w:val="0"/>
        <w:spacing w:line="360" w:lineRule="auto"/>
        <w:ind w:firstLine="420" w:firstLineChars="200"/>
        <w:jc w:val="left"/>
        <w:textAlignment w:val="baseline"/>
      </w:pPr>
      <w:r>
        <w:rPr>
          <w:rFonts w:hint="eastAsia"/>
        </w:rPr>
        <w:t>（1）质量管理保证措施</w:t>
      </w:r>
    </w:p>
    <w:p>
      <w:pPr>
        <w:pStyle w:val="76"/>
        <w:tabs>
          <w:tab w:val="left" w:pos="120"/>
        </w:tabs>
        <w:adjustRightInd w:val="0"/>
        <w:spacing w:line="360" w:lineRule="auto"/>
        <w:ind w:firstLine="420" w:firstLineChars="200"/>
        <w:jc w:val="left"/>
        <w:textAlignment w:val="baseline"/>
      </w:pPr>
      <w:r>
        <w:rPr>
          <w:rFonts w:hint="eastAsia"/>
        </w:rPr>
        <w:t>（2）系统安全建议</w:t>
      </w:r>
    </w:p>
    <w:p>
      <w:pPr>
        <w:pStyle w:val="76"/>
        <w:tabs>
          <w:tab w:val="left" w:pos="120"/>
        </w:tabs>
        <w:adjustRightInd w:val="0"/>
        <w:spacing w:line="360" w:lineRule="auto"/>
        <w:ind w:firstLine="420" w:firstLineChars="200"/>
        <w:jc w:val="left"/>
        <w:textAlignment w:val="baseline"/>
      </w:pPr>
      <w:r>
        <w:rPr>
          <w:rFonts w:hint="eastAsia"/>
        </w:rPr>
        <w:t>（3）系统运行相关产品的建议</w:t>
      </w:r>
    </w:p>
    <w:p>
      <w:pPr>
        <w:pStyle w:val="76"/>
        <w:tabs>
          <w:tab w:val="left" w:pos="120"/>
        </w:tabs>
        <w:adjustRightInd w:val="0"/>
        <w:spacing w:line="360" w:lineRule="auto"/>
        <w:ind w:firstLine="420" w:firstLineChars="200"/>
        <w:jc w:val="left"/>
        <w:textAlignment w:val="baseline"/>
      </w:pPr>
      <w:r>
        <w:rPr>
          <w:rFonts w:hint="eastAsia"/>
        </w:rPr>
        <w:t>（4）应急方案</w:t>
      </w:r>
    </w:p>
    <w:p>
      <w:pPr>
        <w:autoSpaceDE w:val="0"/>
        <w:autoSpaceDN w:val="0"/>
        <w:adjustRightInd w:val="0"/>
        <w:snapToGrid w:val="0"/>
        <w:spacing w:line="360" w:lineRule="auto"/>
        <w:ind w:firstLine="420" w:firstLineChars="200"/>
        <w:jc w:val="left"/>
        <w:textAlignment w:val="baseline"/>
        <w:rPr>
          <w:rFonts w:ascii="宋体" w:hAnsi="宋体" w:cs="宋体"/>
          <w:szCs w:val="21"/>
        </w:rPr>
      </w:pPr>
      <w:r>
        <w:rPr>
          <w:rFonts w:hint="eastAsia" w:ascii="宋体" w:hAnsi="宋体" w:cs="宋体"/>
          <w:szCs w:val="21"/>
        </w:rPr>
        <w:t>11.作业技术准备应做好下列工作：</w:t>
      </w:r>
    </w:p>
    <w:p>
      <w:pPr>
        <w:pStyle w:val="76"/>
        <w:tabs>
          <w:tab w:val="left" w:pos="142"/>
        </w:tabs>
        <w:adjustRightInd w:val="0"/>
        <w:spacing w:line="360" w:lineRule="auto"/>
        <w:ind w:firstLine="420" w:firstLineChars="200"/>
        <w:jc w:val="left"/>
        <w:textAlignment w:val="baseline"/>
      </w:pPr>
      <w:r>
        <w:rPr>
          <w:rFonts w:hint="eastAsia"/>
        </w:rPr>
        <w:t>（2）编制</w:t>
      </w:r>
      <w:bookmarkStart w:id="43" w:name="_Hlk16585788"/>
      <w:r>
        <w:rPr>
          <w:rFonts w:hint="eastAsia"/>
        </w:rPr>
        <w:t>维护保养</w:t>
      </w:r>
      <w:bookmarkEnd w:id="43"/>
      <w:r>
        <w:rPr>
          <w:rFonts w:hint="eastAsia"/>
        </w:rPr>
        <w:t>组织方案，并交与招标人审核。</w:t>
      </w:r>
    </w:p>
    <w:p>
      <w:pPr>
        <w:pStyle w:val="76"/>
        <w:tabs>
          <w:tab w:val="left" w:pos="120"/>
        </w:tabs>
        <w:adjustRightInd w:val="0"/>
        <w:spacing w:line="360" w:lineRule="auto"/>
        <w:ind w:firstLine="420" w:firstLineChars="200"/>
        <w:jc w:val="left"/>
        <w:textAlignment w:val="baseline"/>
      </w:pPr>
      <w:r>
        <w:rPr>
          <w:rFonts w:hint="eastAsia"/>
        </w:rPr>
        <w:t>（2）做好技术交底和培训。</w:t>
      </w:r>
    </w:p>
    <w:p>
      <w:pPr>
        <w:pStyle w:val="76"/>
        <w:tabs>
          <w:tab w:val="left" w:pos="120"/>
        </w:tabs>
        <w:adjustRightInd w:val="0"/>
        <w:spacing w:line="360" w:lineRule="auto"/>
        <w:ind w:firstLine="420" w:firstLineChars="200"/>
        <w:jc w:val="left"/>
        <w:textAlignment w:val="baseline"/>
      </w:pPr>
      <w:r>
        <w:rPr>
          <w:rFonts w:hint="eastAsia"/>
        </w:rPr>
        <w:t>11.根据标准要求及招标人提供的相关资料，制定维护标准及测试记录表格，并交与招标人审核。</w:t>
      </w:r>
    </w:p>
    <w:p>
      <w:pPr>
        <w:autoSpaceDE w:val="0"/>
        <w:autoSpaceDN w:val="0"/>
        <w:adjustRightInd w:val="0"/>
        <w:snapToGrid w:val="0"/>
        <w:spacing w:line="360" w:lineRule="auto"/>
        <w:ind w:firstLine="420" w:firstLineChars="200"/>
        <w:jc w:val="left"/>
        <w:textAlignment w:val="baseline"/>
        <w:rPr>
          <w:rFonts w:ascii="宋体" w:hAnsi="宋体" w:cs="宋体"/>
          <w:szCs w:val="21"/>
        </w:rPr>
      </w:pPr>
      <w:r>
        <w:rPr>
          <w:rFonts w:hint="eastAsia" w:ascii="宋体" w:hAnsi="宋体" w:cs="宋体"/>
          <w:szCs w:val="21"/>
        </w:rPr>
        <w:t>12.开工准备应做好下列工作：</w:t>
      </w:r>
    </w:p>
    <w:p>
      <w:pPr>
        <w:pStyle w:val="76"/>
        <w:tabs>
          <w:tab w:val="left" w:pos="142"/>
        </w:tabs>
        <w:adjustRightInd w:val="0"/>
        <w:spacing w:line="360" w:lineRule="auto"/>
        <w:ind w:firstLine="420" w:firstLineChars="200"/>
        <w:jc w:val="left"/>
        <w:textAlignment w:val="baseline"/>
      </w:pPr>
      <w:bookmarkStart w:id="44" w:name="_Hlk16171426"/>
      <w:r>
        <w:rPr>
          <w:rFonts w:hint="eastAsia"/>
        </w:rPr>
        <w:t>（1）投标人</w:t>
      </w:r>
      <w:bookmarkEnd w:id="44"/>
      <w:r>
        <w:rPr>
          <w:rFonts w:hint="eastAsia"/>
        </w:rPr>
        <w:t>编制作业计划，安排好作业程序，协调好各工序的配合工作。</w:t>
      </w:r>
    </w:p>
    <w:p>
      <w:pPr>
        <w:pStyle w:val="76"/>
        <w:tabs>
          <w:tab w:val="left" w:pos="120"/>
        </w:tabs>
        <w:adjustRightInd w:val="0"/>
        <w:spacing w:line="360" w:lineRule="auto"/>
        <w:ind w:firstLine="420" w:firstLineChars="200"/>
        <w:jc w:val="left"/>
        <w:textAlignment w:val="baseline"/>
      </w:pPr>
      <w:r>
        <w:rPr>
          <w:rFonts w:hint="eastAsia"/>
        </w:rPr>
        <w:t>（2）投标人组建相应的专业技术服务团队，并组织进场前的安全培训。</w:t>
      </w:r>
    </w:p>
    <w:p>
      <w:pPr>
        <w:pStyle w:val="76"/>
        <w:tabs>
          <w:tab w:val="left" w:pos="120"/>
        </w:tabs>
        <w:adjustRightInd w:val="0"/>
        <w:spacing w:line="360" w:lineRule="auto"/>
        <w:ind w:firstLine="420" w:firstLineChars="200"/>
        <w:jc w:val="left"/>
        <w:textAlignment w:val="baseline"/>
      </w:pPr>
      <w:r>
        <w:rPr>
          <w:rFonts w:hint="eastAsia"/>
        </w:rPr>
        <w:t>（3）编制材料、工器具和设备易损耗件的供应计划并做好供应。</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13.投标人须按招标人下发的年度设备检修计划要求完成维护保养计划，检修标准不低于正式进场阶段（详见表五）检修修程及检修内容的要求。</w:t>
      </w:r>
    </w:p>
    <w:p>
      <w:pPr>
        <w:autoSpaceDE w:val="0"/>
        <w:autoSpaceDN w:val="0"/>
        <w:adjustRightInd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14.工作量清单</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招标人提供的工作量清单列出的工作项目及其相应的工作量（包括但不限于），仅供投标人作参考，投标人应谨慎使用本文件提供的工作量清单，采用本文件提供的工作量清单进行报价，其所产生的一切风险由投标人自行承担。投标人须根据自身对本文件和对项目的研究和了解，对工作量清单中工作量进行完善，并按规定填入工作量清单中。</w:t>
      </w:r>
    </w:p>
    <w:p>
      <w:pPr>
        <w:autoSpaceDE w:val="0"/>
        <w:autoSpaceDN w:val="0"/>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（1）提前进场阶段（详见表四）</w:t>
      </w:r>
    </w:p>
    <w:tbl>
      <w:tblPr>
        <w:tblStyle w:val="4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20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0" w:type="dxa"/>
            <w:gridSpan w:val="3"/>
            <w:vAlign w:val="center"/>
          </w:tcPr>
          <w:p>
            <w:pPr>
              <w:autoSpaceDE w:val="0"/>
              <w:autoSpaceDN w:val="0"/>
              <w:adjustRightInd w:val="0"/>
              <w:snapToGrid w:val="0"/>
              <w:jc w:val="center"/>
              <w:rPr>
                <w:rFonts w:ascii="宋体" w:hAnsi="宋体" w:cs="宋体"/>
                <w:b/>
                <w:bCs/>
                <w:kern w:val="0"/>
                <w:szCs w:val="21"/>
              </w:rPr>
            </w:pPr>
            <w:bookmarkStart w:id="45" w:name="_Hlk8201553"/>
            <w:r>
              <w:rPr>
                <w:rFonts w:hint="eastAsia" w:ascii="宋体" w:hAnsi="宋体" w:cs="宋体"/>
                <w:b/>
                <w:bCs/>
                <w:kern w:val="0"/>
                <w:szCs w:val="21"/>
              </w:rPr>
              <w:t>表四 提前进场阶段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rPr>
                <w:rFonts w:ascii="宋体" w:hAnsi="宋体" w:cs="宋体"/>
                <w:b/>
                <w:bCs/>
                <w:kern w:val="0"/>
                <w:szCs w:val="21"/>
              </w:rPr>
            </w:pPr>
            <w:r>
              <w:rPr>
                <w:rFonts w:hint="eastAsia" w:ascii="宋体" w:hAnsi="宋体" w:cs="宋体"/>
                <w:b/>
                <w:bCs/>
                <w:kern w:val="0"/>
                <w:szCs w:val="21"/>
              </w:rPr>
              <w:t>序号</w:t>
            </w:r>
          </w:p>
        </w:tc>
        <w:tc>
          <w:tcPr>
            <w:tcW w:w="7207" w:type="dxa"/>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工作量</w:t>
            </w:r>
          </w:p>
        </w:tc>
        <w:tc>
          <w:tcPr>
            <w:tcW w:w="1527" w:type="dxa"/>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w:t>
            </w:r>
          </w:p>
        </w:tc>
        <w:tc>
          <w:tcPr>
            <w:tcW w:w="7207"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参加招标人组织的相关规章制度学习并考试合格。</w:t>
            </w:r>
          </w:p>
        </w:tc>
        <w:tc>
          <w:tcPr>
            <w:tcW w:w="1527" w:type="dxa"/>
            <w:vMerge w:val="restart"/>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招标人将结合培训情况定期安排评估考试，提前进场人员需服从招标人安排。第一阶段进场人员作息制度须与招标人相同。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2</w:t>
            </w:r>
          </w:p>
        </w:tc>
        <w:tc>
          <w:tcPr>
            <w:tcW w:w="7207"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参加招标人组织的专业理论、实操培训并考试合格。</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3</w:t>
            </w:r>
          </w:p>
        </w:tc>
        <w:tc>
          <w:tcPr>
            <w:tcW w:w="7207"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参加招标人组织的应急预案培训并考试合格。</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4</w:t>
            </w:r>
          </w:p>
        </w:tc>
        <w:tc>
          <w:tcPr>
            <w:tcW w:w="7207"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熟练掌握招标人配备的工具、仪器、仪表的使用方法。</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5</w:t>
            </w:r>
          </w:p>
        </w:tc>
        <w:tc>
          <w:tcPr>
            <w:tcW w:w="7207" w:type="dxa"/>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熟悉本项目涉及的设备及其检修、试验方法，参与制定相关技术文本。</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6</w:t>
            </w:r>
          </w:p>
        </w:tc>
        <w:tc>
          <w:tcPr>
            <w:tcW w:w="72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组织内部业务培训、考试，接受招标人安排的其它培训。</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7</w:t>
            </w:r>
          </w:p>
        </w:tc>
        <w:tc>
          <w:tcPr>
            <w:tcW w:w="72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维护保养人员进入工班进行正常化运作。</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8</w:t>
            </w:r>
          </w:p>
        </w:tc>
        <w:tc>
          <w:tcPr>
            <w:tcW w:w="72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参与招标人组织的相关应急演练。</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9</w:t>
            </w:r>
          </w:p>
        </w:tc>
        <w:tc>
          <w:tcPr>
            <w:tcW w:w="72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完成项目部组建，建立健全相关管理制度、台账,完成项目内部三级安全教育。</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10</w:t>
            </w:r>
          </w:p>
        </w:tc>
        <w:tc>
          <w:tcPr>
            <w:tcW w:w="72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配合新线试运营前的工程介入等运营筹备工作。</w:t>
            </w:r>
          </w:p>
        </w:tc>
        <w:tc>
          <w:tcPr>
            <w:tcW w:w="1527" w:type="dxa"/>
            <w:vMerge w:val="continue"/>
          </w:tcPr>
          <w:p>
            <w:pPr>
              <w:autoSpaceDE w:val="0"/>
              <w:autoSpaceDN w:val="0"/>
              <w:adjustRightInd w:val="0"/>
              <w:snapToGrid w:val="0"/>
              <w:spacing w:line="360" w:lineRule="auto"/>
              <w:ind w:firstLine="420" w:firstLineChars="200"/>
              <w:jc w:val="left"/>
              <w:rPr>
                <w:rFonts w:ascii="宋体" w:hAnsi="宋体" w:cs="宋体"/>
                <w:kern w:val="0"/>
                <w:szCs w:val="21"/>
              </w:rPr>
            </w:pPr>
          </w:p>
        </w:tc>
      </w:tr>
      <w:bookmarkEnd w:id="45"/>
    </w:tbl>
    <w:p>
      <w:pPr>
        <w:autoSpaceDE w:val="0"/>
        <w:autoSpaceDN w:val="0"/>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（2）正式进场阶段</w:t>
      </w:r>
      <w:bookmarkStart w:id="46" w:name="_Hlk5607733"/>
      <w:r>
        <w:rPr>
          <w:rFonts w:hint="eastAsia" w:ascii="宋体" w:hAnsi="宋体" w:cs="宋体"/>
          <w:kern w:val="0"/>
          <w:szCs w:val="21"/>
        </w:rPr>
        <w:t>（详见表五）</w:t>
      </w:r>
      <w:bookmarkEnd w:id="46"/>
      <w:bookmarkStart w:id="47" w:name="_Hlk16153664"/>
    </w:p>
    <w:p>
      <w:pPr>
        <w:autoSpaceDE w:val="0"/>
        <w:autoSpaceDN w:val="0"/>
        <w:adjustRightIn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正式进场阶段，正式进场后主要维护保养工作量清单如下</w:t>
      </w:r>
      <w:bookmarkEnd w:id="47"/>
      <w:r>
        <w:rPr>
          <w:rFonts w:hint="eastAsia" w:ascii="宋体" w:hAnsi="宋体" w:cs="宋体"/>
          <w:kern w:val="0"/>
          <w:szCs w:val="21"/>
        </w:rPr>
        <w:t>（实际工作内容及工作量以招标人检修规程及相关规定为准）：</w:t>
      </w:r>
    </w:p>
    <w:tbl>
      <w:tblPr>
        <w:tblStyle w:val="46"/>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7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1" w:type="dxa"/>
            <w:gridSpan w:val="3"/>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表五 修程及要求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Align w:val="center"/>
          </w:tcPr>
          <w:p>
            <w:pPr>
              <w:autoSpaceDE w:val="0"/>
              <w:autoSpaceDN w:val="0"/>
              <w:adjustRightInd w:val="0"/>
              <w:snapToGrid w:val="0"/>
              <w:rPr>
                <w:rFonts w:ascii="宋体" w:hAnsi="宋体" w:cs="宋体"/>
                <w:b/>
                <w:bCs/>
                <w:kern w:val="0"/>
                <w:szCs w:val="21"/>
              </w:rPr>
            </w:pPr>
            <w:r>
              <w:rPr>
                <w:rFonts w:hint="eastAsia" w:ascii="宋体" w:hAnsi="宋体" w:cs="宋体"/>
                <w:b/>
                <w:bCs/>
                <w:kern w:val="0"/>
                <w:szCs w:val="21"/>
              </w:rPr>
              <w:t>修程（周期）</w:t>
            </w:r>
          </w:p>
        </w:tc>
        <w:tc>
          <w:tcPr>
            <w:tcW w:w="1276" w:type="dxa"/>
            <w:vAlign w:val="center"/>
          </w:tcPr>
          <w:p>
            <w:pPr>
              <w:autoSpaceDE w:val="0"/>
              <w:autoSpaceDN w:val="0"/>
              <w:adjustRightInd w:val="0"/>
              <w:snapToGrid w:val="0"/>
              <w:rPr>
                <w:rFonts w:ascii="宋体" w:hAnsi="宋体" w:cs="宋体"/>
                <w:b/>
                <w:bCs/>
                <w:kern w:val="0"/>
                <w:szCs w:val="21"/>
              </w:rPr>
            </w:pPr>
            <w:r>
              <w:rPr>
                <w:rFonts w:hint="eastAsia" w:ascii="宋体" w:hAnsi="宋体" w:cs="宋体"/>
                <w:b/>
                <w:bCs/>
                <w:kern w:val="0"/>
                <w:szCs w:val="21"/>
              </w:rPr>
              <w:t>设备名称</w:t>
            </w:r>
          </w:p>
        </w:tc>
        <w:tc>
          <w:tcPr>
            <w:tcW w:w="7145" w:type="dxa"/>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设备维护技术要求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月检</w:t>
            </w: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小型机、应用服务器</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每月1次；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清洁设备面板和外壳，应无灰尘、污垢；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采集系统主机基础性能数据，与上月基础值做对比，编制系统性能分析报告。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280" w:type="dxa"/>
            <w:vMerge w:val="continue"/>
            <w:vAlign w:val="center"/>
          </w:tcPr>
          <w:p>
            <w:pPr>
              <w:autoSpaceDE w:val="0"/>
              <w:autoSpaceDN w:val="0"/>
              <w:adjustRightInd w:val="0"/>
              <w:snapToGrid w:val="0"/>
              <w:jc w:val="center"/>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磁盘阵列、磁带库</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每月1次；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清洁磁盘阵列面板和外壳，应无灰尘、污垢；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清洁磁带库的面板和外壳无灰尘、污垢。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center"/>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网络设备</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每月1次；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清洁核心交换机、存储交换机、防火墙、入侵检测设备的面板和外壳，应无灰尘、污垢；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采集核心交换机、存储交换机、防火墙、入侵检测设备主要端口流量、CPU、内存等基础性能数据，与上月基础值做对比，编制系统月度性能分析报告。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tcPr>
          <w:p>
            <w:pPr>
              <w:autoSpaceDE w:val="0"/>
              <w:autoSpaceDN w:val="0"/>
              <w:adjustRightInd w:val="0"/>
              <w:snapToGrid w:val="0"/>
              <w:jc w:val="center"/>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质量控制记录填写</w:t>
            </w:r>
          </w:p>
        </w:tc>
        <w:tc>
          <w:tcPr>
            <w:tcW w:w="7145" w:type="dxa"/>
            <w:vAlign w:val="center"/>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完成月检后，将检修情况如实填写月检相关记录表。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季检</w:t>
            </w: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小型机、应用服务器</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每季度1次；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清洁服务器内部灰层，散热片和散热风扇无积垢；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清洁滤尘网，保持散热孔通畅；</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系统镜像盘制作（若有更新或改造应及时制作镜像）；</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主备机切换功能验证（如有主备冗余）；</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检查服务器内硬件无缺损，各板卡安装可靠，无松动，螺丝紧固到位；</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线缆接插件固定良好，无接触不良；</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检测硬盘运转是否正常，如运转不稳定或损坏应及时更换；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检查服务器文件系统使用情况，清理过期日志记录。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磁盘阵列、磁带库</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每季度1次；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磁盘阵列空间使用率、I/O使用率、网卡使用率；</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检查磁带库备份信息、磁带库磁带可用率；</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清洁磁带库磁头。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网络设备</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每季度1次；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查看核心交换机、存储交换机、防火墙、入侵检测设备的日志，确认无异常；</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核对网络设备端口连接对照表，逐一核对下联设备，确认无人随意变动端口连接；</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网路设备配置文件重新备份；</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检查网络设备端口连接对照表是否完整，若出现破损，重新打印并在醒目位置进行张贴。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质量控制记录填写</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完成季检后，将检修情况如实填写季检相关记录表。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1280" w:type="dxa"/>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半年检</w:t>
            </w: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小型机、应用服务器</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每年2次；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清洁服务器内部灰层，散热片和散热风扇无积垢；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清洁滤尘网，保持散热孔通畅；</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系统镜像盘制作（若有更新或改造应及时制作镜像）；</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主备机切换功能验证（如有主备冗余）；</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检查服务器内硬件无缺损，各板卡安装可靠，无松动，螺丝紧固到位；</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线缆接插件固定良好，无接触不良；</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检测硬盘运转是否正常，如运转不稳定或损坏应及时更换；</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人工重启清算程序，释放内存，清理无用临时文件；</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检查服务器文件系统使用情况，清理过期日志记录；</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检查系统报错日志；</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检查各业务软件运行状态，清理业务软件过期日志；</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进行病毒检测、查杀工作。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磁盘阵列、磁带库</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每年2次；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磁盘阵列主备控制器切换功能验证；</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对磁带库做内部清洁；</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清洁磁带库磁头；</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查看磁盘阵列、磁带库存储使用量。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网络设备</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每年2次；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测试核心交换机、存储交换机、防火墙、入侵检测设备的冗余性能、日志信息、备份配置；</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核对网络设备端口连接对照表，逐一核对下联设备，确认无人随意变动端口连接；</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检查网络设备端口连接对照表是否完整，若出现破损，重新打印并在醒目位置进行张贴。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设备接地测试</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每年2次；</w:t>
            </w:r>
          </w:p>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设备及机柜接地电阻不得大于10Ω。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0" w:type="dxa"/>
            <w:vMerge w:val="continue"/>
            <w:vAlign w:val="center"/>
          </w:tcPr>
          <w:p>
            <w:pPr>
              <w:autoSpaceDE w:val="0"/>
              <w:autoSpaceDN w:val="0"/>
              <w:adjustRightInd w:val="0"/>
              <w:snapToGrid w:val="0"/>
              <w:jc w:val="left"/>
              <w:rPr>
                <w:rFonts w:ascii="宋体" w:hAnsi="宋体" w:cs="宋体"/>
                <w:kern w:val="0"/>
                <w:szCs w:val="21"/>
              </w:rPr>
            </w:pPr>
          </w:p>
        </w:tc>
        <w:tc>
          <w:tcPr>
            <w:tcW w:w="1276"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质量控制记录填写</w:t>
            </w:r>
          </w:p>
        </w:tc>
        <w:tc>
          <w:tcPr>
            <w:tcW w:w="7145"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完成半年检后，将检修情况如实填写半年检相关记录表。</w:t>
            </w:r>
          </w:p>
        </w:tc>
      </w:tr>
    </w:tbl>
    <w:p>
      <w:pPr>
        <w:autoSpaceDE w:val="0"/>
        <w:autoSpaceDN w:val="0"/>
        <w:adjustRightInd w:val="0"/>
        <w:snapToGrid w:val="0"/>
        <w:spacing w:line="360" w:lineRule="auto"/>
        <w:ind w:firstLine="420" w:firstLineChars="200"/>
        <w:rPr>
          <w:rFonts w:ascii="宋体" w:hAnsi="宋体" w:cs="宋体"/>
          <w:kern w:val="0"/>
          <w:szCs w:val="21"/>
        </w:rPr>
      </w:pPr>
      <w:bookmarkStart w:id="48" w:name="_Hlk6218052"/>
      <w:r>
        <w:rPr>
          <w:rFonts w:hint="eastAsia" w:ascii="宋体" w:hAnsi="宋体" w:cs="宋体"/>
          <w:kern w:val="0"/>
          <w:szCs w:val="21"/>
        </w:rPr>
        <w:t>线路中央计算机系统设备节假日或重大活动前的专项检查，具体时间点以招标人要求的为准，检查内容包括但不限于数据库服务器、应用服务器、数据库、网络设备等。</w:t>
      </w:r>
      <w:bookmarkStart w:id="49" w:name="_Hlk8120099"/>
      <w:r>
        <w:rPr>
          <w:rFonts w:hint="eastAsia" w:ascii="宋体" w:hAnsi="宋体" w:cs="宋体"/>
          <w:kern w:val="0"/>
          <w:szCs w:val="21"/>
        </w:rPr>
        <w:t>当检修计划中的修程重叠时，以招标人最新的规章文本要求为准。</w:t>
      </w:r>
      <w:bookmarkEnd w:id="49"/>
    </w:p>
    <w:bookmarkEnd w:id="48"/>
    <w:p>
      <w:pPr>
        <w:autoSpaceDE w:val="0"/>
        <w:autoSpaceDN w:val="0"/>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（3）软件项目</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本项目软件维护</w:t>
      </w:r>
      <w:bookmarkStart w:id="50" w:name="_Hlk16238094"/>
      <w:r>
        <w:rPr>
          <w:rFonts w:hint="eastAsia" w:ascii="宋体" w:hAnsi="宋体" w:cs="宋体"/>
          <w:kern w:val="0"/>
          <w:szCs w:val="21"/>
        </w:rPr>
        <w:t>保养</w:t>
      </w:r>
      <w:bookmarkEnd w:id="50"/>
      <w:r>
        <w:rPr>
          <w:rFonts w:hint="eastAsia" w:ascii="宋体" w:hAnsi="宋体" w:cs="宋体"/>
          <w:kern w:val="0"/>
          <w:szCs w:val="21"/>
        </w:rPr>
        <w:t>主要工作量参考如下</w:t>
      </w:r>
      <w:bookmarkStart w:id="51" w:name="_Hlk5607792"/>
      <w:r>
        <w:rPr>
          <w:rFonts w:hint="eastAsia" w:ascii="宋体" w:hAnsi="宋体" w:cs="宋体"/>
          <w:kern w:val="0"/>
          <w:szCs w:val="21"/>
        </w:rPr>
        <w:t>（详见表六</w:t>
      </w:r>
      <w:bookmarkEnd w:id="51"/>
      <w:r>
        <w:rPr>
          <w:rFonts w:hint="eastAsia" w:ascii="宋体" w:hAnsi="宋体" w:cs="宋体"/>
          <w:kern w:val="0"/>
          <w:szCs w:val="21"/>
        </w:rPr>
        <w:t>）以下工作根据业务范围界定，不限于线路中央计算机系统设备层：</w:t>
      </w:r>
    </w:p>
    <w:tbl>
      <w:tblPr>
        <w:tblStyle w:val="4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752"/>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16" w:type="dxa"/>
            <w:gridSpan w:val="3"/>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表六 软件项目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8" w:type="dxa"/>
            <w:vAlign w:val="center"/>
          </w:tcPr>
          <w:p>
            <w:pPr>
              <w:autoSpaceDE w:val="0"/>
              <w:autoSpaceDN w:val="0"/>
              <w:adjustRightInd w:val="0"/>
              <w:snapToGrid w:val="0"/>
              <w:rPr>
                <w:rFonts w:ascii="宋体" w:hAnsi="宋体" w:cs="宋体"/>
                <w:b/>
                <w:bCs/>
                <w:kern w:val="0"/>
                <w:szCs w:val="21"/>
              </w:rPr>
            </w:pPr>
            <w:r>
              <w:rPr>
                <w:rFonts w:hint="eastAsia" w:ascii="宋体" w:hAnsi="宋体" w:cs="宋体"/>
                <w:b/>
                <w:bCs/>
                <w:kern w:val="0"/>
                <w:szCs w:val="21"/>
              </w:rPr>
              <w:t>序号</w:t>
            </w:r>
          </w:p>
        </w:tc>
        <w:tc>
          <w:tcPr>
            <w:tcW w:w="1752" w:type="dxa"/>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项目</w:t>
            </w:r>
          </w:p>
        </w:tc>
        <w:tc>
          <w:tcPr>
            <w:tcW w:w="6956" w:type="dxa"/>
            <w:vAlign w:val="center"/>
          </w:tcPr>
          <w:p>
            <w:pPr>
              <w:autoSpaceDE w:val="0"/>
              <w:autoSpaceDN w:val="0"/>
              <w:adjustRightInd w:val="0"/>
              <w:snapToGrid w:val="0"/>
              <w:jc w:val="center"/>
              <w:rPr>
                <w:rFonts w:ascii="宋体" w:hAnsi="宋体" w:cs="宋体"/>
                <w:b/>
                <w:bCs/>
                <w:kern w:val="0"/>
                <w:szCs w:val="21"/>
              </w:rPr>
            </w:pPr>
            <w:r>
              <w:rPr>
                <w:rFonts w:hint="eastAsia" w:ascii="宋体" w:hAnsi="宋体" w:cs="宋体"/>
                <w:b/>
                <w:bCs/>
                <w:kern w:val="0"/>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数据保障</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投标人须保证操作规范，并保证所维修维护范围内设备产生的票款、交易数据正常上传，并保证数据库的稳定正常运转。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2</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系统及软件管理</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投标人须及时完成设备系统和程序版本管理、参数管理、完成软件升级与故障修复后的系统与软件更新，进行软件测试并提供测试报告等工作。招标人有权随时参与和监督各项内容，投标人须无条件配合。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3</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参数管理</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管理1号线线路中心责任范围内运营、业务、设备等相关的参数。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4</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杀毒相关工作</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投标人须定期对1号线线路中心设备系统的杀毒、杀毒软件的升级等工作并提供杀毒报告。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5</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备份服务</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投标人须在不影响运营的前提下及时完成系统、软件及数据的备份等工作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8"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6</w:t>
            </w:r>
          </w:p>
        </w:tc>
        <w:tc>
          <w:tcPr>
            <w:tcW w:w="1752" w:type="dxa"/>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其它工作</w:t>
            </w:r>
          </w:p>
        </w:tc>
        <w:tc>
          <w:tcPr>
            <w:tcW w:w="6956" w:type="dxa"/>
          </w:tcPr>
          <w:p>
            <w:pPr>
              <w:autoSpaceDE w:val="0"/>
              <w:autoSpaceDN w:val="0"/>
              <w:adjustRightInd w:val="0"/>
              <w:snapToGrid w:val="0"/>
              <w:jc w:val="left"/>
              <w:rPr>
                <w:rFonts w:ascii="宋体" w:hAnsi="宋体" w:cs="宋体"/>
                <w:kern w:val="0"/>
                <w:szCs w:val="21"/>
              </w:rPr>
            </w:pPr>
            <w:r>
              <w:rPr>
                <w:rFonts w:hint="eastAsia" w:ascii="宋体" w:hAnsi="宋体" w:cs="宋体"/>
                <w:kern w:val="0"/>
                <w:szCs w:val="21"/>
              </w:rPr>
              <w:t>招标人根据实际需要提出的其它配合工作、培训工作等。</w:t>
            </w:r>
          </w:p>
        </w:tc>
      </w:tr>
    </w:tbl>
    <w:p>
      <w:pPr>
        <w:pStyle w:val="76"/>
        <w:tabs>
          <w:tab w:val="left" w:pos="120"/>
        </w:tabs>
        <w:adjustRightInd w:val="0"/>
        <w:spacing w:line="360" w:lineRule="auto"/>
        <w:ind w:firstLine="420" w:firstLineChars="200"/>
        <w:textAlignment w:val="baseline"/>
        <w:outlineLvl w:val="1"/>
      </w:pPr>
      <w:bookmarkStart w:id="52" w:name="_Toc5614288"/>
      <w:bookmarkStart w:id="53" w:name="_Toc8304553"/>
      <w:r>
        <w:rPr>
          <w:rFonts w:hint="eastAsia"/>
        </w:rPr>
        <w:t>（三）其他</w:t>
      </w:r>
      <w:bookmarkEnd w:id="52"/>
      <w:bookmarkEnd w:id="53"/>
    </w:p>
    <w:p>
      <w:pPr>
        <w:spacing w:line="360" w:lineRule="auto"/>
        <w:ind w:firstLine="420" w:firstLineChars="200"/>
        <w:rPr>
          <w:rFonts w:ascii="宋体" w:hAnsi="宋体" w:cs="宋体"/>
          <w:szCs w:val="21"/>
        </w:rPr>
      </w:pPr>
      <w:r>
        <w:rPr>
          <w:rFonts w:hint="eastAsia" w:ascii="宋体" w:hAnsi="宋体" w:cs="宋体"/>
          <w:szCs w:val="21"/>
        </w:rPr>
        <w:t>1.培训服务</w:t>
      </w:r>
    </w:p>
    <w:p>
      <w:pPr>
        <w:spacing w:line="360" w:lineRule="auto"/>
        <w:ind w:firstLine="420" w:firstLineChars="200"/>
        <w:rPr>
          <w:rFonts w:ascii="宋体" w:hAnsi="宋体" w:cs="宋体"/>
          <w:szCs w:val="21"/>
        </w:rPr>
      </w:pPr>
      <w:bookmarkStart w:id="54" w:name="_Hlk8116863"/>
      <w:r>
        <w:rPr>
          <w:rFonts w:hint="eastAsia" w:ascii="宋体" w:hAnsi="宋体" w:cs="宋体"/>
          <w:szCs w:val="21"/>
        </w:rPr>
        <w:t>（1）投标人须制定定期的培训计划，包括培训课程、人员安排、培训方式、培训时间等。</w:t>
      </w:r>
    </w:p>
    <w:bookmarkEnd w:id="54"/>
    <w:p>
      <w:pPr>
        <w:spacing w:line="360" w:lineRule="auto"/>
        <w:ind w:firstLine="420" w:firstLineChars="200"/>
        <w:rPr>
          <w:rFonts w:ascii="宋体" w:hAnsi="宋体" w:cs="宋体"/>
          <w:szCs w:val="21"/>
        </w:rPr>
      </w:pPr>
      <w:r>
        <w:rPr>
          <w:rFonts w:hint="eastAsia" w:ascii="宋体" w:hAnsi="宋体" w:cs="宋体"/>
          <w:szCs w:val="21"/>
        </w:rPr>
        <w:t>（2）投标人每月须免费组织一次</w:t>
      </w:r>
      <w:bookmarkStart w:id="55" w:name="_Hlk11919811"/>
      <w:r>
        <w:rPr>
          <w:rFonts w:hint="eastAsia" w:ascii="宋体" w:hAnsi="宋体" w:cs="宋体"/>
          <w:szCs w:val="21"/>
        </w:rPr>
        <w:t>对招标人2名及以上人员现场故障培训</w:t>
      </w:r>
      <w:bookmarkEnd w:id="55"/>
      <w:r>
        <w:rPr>
          <w:rFonts w:hint="eastAsia" w:ascii="宋体" w:hAnsi="宋体" w:cs="宋体"/>
          <w:szCs w:val="21"/>
        </w:rPr>
        <w:t>。培训内容主要是本项目涉及的设备故障处理和维护相关内容等。培训方式分为理论和实际操作两部分。</w:t>
      </w:r>
    </w:p>
    <w:p>
      <w:pPr>
        <w:spacing w:line="360" w:lineRule="auto"/>
        <w:ind w:firstLine="420" w:firstLineChars="200"/>
        <w:rPr>
          <w:rFonts w:ascii="宋体" w:hAnsi="宋体" w:cs="宋体"/>
          <w:szCs w:val="21"/>
        </w:rPr>
      </w:pPr>
      <w:r>
        <w:rPr>
          <w:rFonts w:hint="eastAsia" w:ascii="宋体" w:hAnsi="宋体" w:cs="宋体"/>
          <w:szCs w:val="21"/>
        </w:rPr>
        <w:t>（3）投标人免费提供技术培训，对招标人2-3名以上人员进行每季度一次系统、网络及数据库培训。</w:t>
      </w:r>
    </w:p>
    <w:p>
      <w:pPr>
        <w:pStyle w:val="32"/>
        <w:tabs>
          <w:tab w:val="right" w:leader="dot" w:pos="8306"/>
        </w:tabs>
        <w:spacing w:line="360" w:lineRule="auto"/>
        <w:ind w:firstLine="420" w:firstLineChars="200"/>
        <w:outlineLvl w:val="0"/>
        <w:rPr>
          <w:rFonts w:ascii="宋体" w:hAnsi="宋体" w:cs="宋体"/>
          <w:b/>
          <w:bCs/>
          <w:iCs/>
          <w:szCs w:val="21"/>
        </w:rPr>
      </w:pPr>
      <w:r>
        <w:fldChar w:fldCharType="begin"/>
      </w:r>
      <w:r>
        <w:instrText xml:space="preserve"> HYPERLINK \l "_Toc28783" </w:instrText>
      </w:r>
      <w:r>
        <w:fldChar w:fldCharType="separate"/>
      </w:r>
      <w:bookmarkStart w:id="56" w:name="_Toc8304554"/>
      <w:bookmarkStart w:id="57" w:name="_Toc5614289"/>
      <w:r>
        <w:rPr>
          <w:rFonts w:hint="eastAsia" w:ascii="宋体" w:hAnsi="宋体" w:cs="宋体"/>
          <w:b/>
          <w:bCs/>
          <w:iCs/>
          <w:szCs w:val="21"/>
        </w:rPr>
        <w:t>六、项目验收</w:t>
      </w:r>
      <w:bookmarkEnd w:id="56"/>
      <w:bookmarkEnd w:id="57"/>
      <w:r>
        <w:rPr>
          <w:rFonts w:hint="eastAsia" w:ascii="宋体" w:hAnsi="宋体" w:cs="宋体"/>
          <w:b/>
          <w:bCs/>
          <w:iCs/>
          <w:szCs w:val="21"/>
        </w:rPr>
        <w:fldChar w:fldCharType="end"/>
      </w:r>
    </w:p>
    <w:p>
      <w:pPr>
        <w:pStyle w:val="76"/>
        <w:tabs>
          <w:tab w:val="left" w:pos="120"/>
        </w:tabs>
        <w:adjustRightInd w:val="0"/>
        <w:spacing w:line="360" w:lineRule="auto"/>
        <w:ind w:left="420" w:leftChars="200"/>
        <w:textAlignment w:val="baseline"/>
        <w:outlineLvl w:val="1"/>
      </w:pPr>
      <w:bookmarkStart w:id="58" w:name="_Toc5614290"/>
      <w:bookmarkStart w:id="59" w:name="_Toc8304555"/>
      <w:r>
        <w:rPr>
          <w:rFonts w:hint="eastAsia"/>
        </w:rPr>
        <w:t>（一）验收小组</w:t>
      </w:r>
      <w:bookmarkEnd w:id="58"/>
      <w:bookmarkEnd w:id="59"/>
    </w:p>
    <w:p>
      <w:pPr>
        <w:spacing w:line="360" w:lineRule="auto"/>
        <w:ind w:firstLine="420" w:firstLineChars="200"/>
        <w:rPr>
          <w:rFonts w:ascii="宋体" w:hAnsi="宋体" w:cs="宋体"/>
          <w:bCs/>
          <w:szCs w:val="21"/>
        </w:rPr>
      </w:pPr>
      <w:r>
        <w:rPr>
          <w:rFonts w:hint="eastAsia" w:ascii="宋体" w:hAnsi="宋体" w:cs="宋体"/>
          <w:bCs/>
          <w:szCs w:val="21"/>
        </w:rPr>
        <w:t>验收小组由招标人相关人员组成。</w:t>
      </w:r>
    </w:p>
    <w:p>
      <w:pPr>
        <w:pStyle w:val="76"/>
        <w:tabs>
          <w:tab w:val="left" w:pos="120"/>
        </w:tabs>
        <w:adjustRightInd w:val="0"/>
        <w:spacing w:line="360" w:lineRule="auto"/>
        <w:ind w:left="420" w:leftChars="200"/>
        <w:textAlignment w:val="baseline"/>
        <w:outlineLvl w:val="1"/>
      </w:pPr>
      <w:bookmarkStart w:id="60" w:name="_Toc8304556"/>
      <w:bookmarkStart w:id="61" w:name="_Toc5614291"/>
      <w:r>
        <w:rPr>
          <w:rFonts w:hint="eastAsia"/>
        </w:rPr>
        <w:t>（二）验收周期</w:t>
      </w:r>
      <w:bookmarkEnd w:id="60"/>
      <w:bookmarkEnd w:id="61"/>
    </w:p>
    <w:p>
      <w:pPr>
        <w:spacing w:line="360" w:lineRule="auto"/>
        <w:ind w:firstLine="420" w:firstLineChars="200"/>
        <w:rPr>
          <w:rFonts w:ascii="宋体" w:hAnsi="宋体" w:cs="宋体"/>
          <w:szCs w:val="21"/>
        </w:rPr>
      </w:pPr>
      <w:r>
        <w:rPr>
          <w:rFonts w:hint="eastAsia" w:ascii="宋体" w:hAnsi="宋体" w:cs="宋体"/>
          <w:szCs w:val="21"/>
        </w:rPr>
        <w:t>此项目每半年验收一次，投标人须提供项目周期内的维护保养报告、投标人服务单等招标人所需资料进行验收，招标人将安排人员在项目周期内不定期对维护保养质量进行抽查，发现不符合项目合同质量要求的内容将对投标人进行考核，</w:t>
      </w:r>
      <w:bookmarkStart w:id="62" w:name="_Hlk5607947"/>
      <w:r>
        <w:rPr>
          <w:rFonts w:hint="eastAsia" w:ascii="宋体" w:hAnsi="宋体" w:cs="宋体"/>
          <w:szCs w:val="21"/>
        </w:rPr>
        <w:t>考核标准参考《质量考核标准》、《日常管理考核标准》、</w:t>
      </w:r>
      <w:r>
        <w:rPr>
          <w:rFonts w:hint="eastAsia" w:ascii="宋体" w:hAnsi="宋体" w:cs="宋体"/>
          <w:kern w:val="0"/>
          <w:szCs w:val="21"/>
        </w:rPr>
        <w:t>《运营公司承包商安全管理办法》</w:t>
      </w:r>
      <w:r>
        <w:rPr>
          <w:rFonts w:hint="eastAsia" w:ascii="宋体" w:hAnsi="宋体" w:cs="宋体"/>
          <w:szCs w:val="21"/>
        </w:rPr>
        <w:t>。</w:t>
      </w:r>
    </w:p>
    <w:bookmarkEnd w:id="62"/>
    <w:p>
      <w:pPr>
        <w:pStyle w:val="76"/>
        <w:tabs>
          <w:tab w:val="left" w:pos="120"/>
        </w:tabs>
        <w:adjustRightInd w:val="0"/>
        <w:spacing w:line="360" w:lineRule="auto"/>
        <w:ind w:left="420" w:leftChars="200"/>
        <w:textAlignment w:val="baseline"/>
        <w:outlineLvl w:val="1"/>
      </w:pPr>
      <w:bookmarkStart w:id="63" w:name="_Toc5614292"/>
      <w:bookmarkStart w:id="64" w:name="_Toc8304557"/>
      <w:r>
        <w:rPr>
          <w:rFonts w:hint="eastAsia"/>
        </w:rPr>
        <w:t>（三）验收标准</w:t>
      </w:r>
      <w:bookmarkEnd w:id="63"/>
      <w:bookmarkEnd w:id="64"/>
    </w:p>
    <w:p>
      <w:pPr>
        <w:pStyle w:val="76"/>
        <w:tabs>
          <w:tab w:val="left" w:pos="120"/>
        </w:tabs>
        <w:spacing w:line="360" w:lineRule="auto"/>
        <w:ind w:firstLine="420" w:firstLineChars="200"/>
      </w:pPr>
      <w:r>
        <w:rPr>
          <w:rFonts w:hint="eastAsia"/>
        </w:rPr>
        <w:t>1.招标人有权根据合同规定的服务范围、内容以及合同附件对投标人的工作进行检查验收，所有服务应符合合同及招标文件、用户需求书、技术规格书的要求。</w:t>
      </w:r>
    </w:p>
    <w:p>
      <w:pPr>
        <w:pStyle w:val="76"/>
        <w:tabs>
          <w:tab w:val="left" w:pos="120"/>
        </w:tabs>
        <w:spacing w:line="360" w:lineRule="auto"/>
        <w:ind w:firstLine="420" w:firstLineChars="200"/>
      </w:pPr>
      <w:r>
        <w:rPr>
          <w:rFonts w:hint="eastAsia"/>
        </w:rPr>
        <w:t>2.招标人有权安排专人全面检查并根据现场实际情况要求投标人现场整改。</w:t>
      </w:r>
    </w:p>
    <w:p>
      <w:pPr>
        <w:pStyle w:val="76"/>
        <w:tabs>
          <w:tab w:val="left" w:pos="120"/>
        </w:tabs>
        <w:spacing w:line="360" w:lineRule="auto"/>
        <w:ind w:firstLine="420" w:firstLineChars="200"/>
      </w:pPr>
      <w:r>
        <w:rPr>
          <w:rFonts w:hint="eastAsia"/>
        </w:rPr>
        <w:t>3.招标人根据以下验收标准表进行验收（包括但不限于），具体详见下表：</w:t>
      </w:r>
    </w:p>
    <w:tbl>
      <w:tblPr>
        <w:tblStyle w:val="46"/>
        <w:tblpPr w:leftFromText="180" w:rightFromText="180" w:vertAnchor="text" w:horzAnchor="page" w:tblpX="1495" w:tblpY="311"/>
        <w:tblOverlap w:val="never"/>
        <w:tblW w:w="9225" w:type="dxa"/>
        <w:tblInd w:w="0" w:type="dxa"/>
        <w:tblLayout w:type="fixed"/>
        <w:tblCellMar>
          <w:top w:w="15" w:type="dxa"/>
          <w:left w:w="15" w:type="dxa"/>
          <w:bottom w:w="15" w:type="dxa"/>
          <w:right w:w="15" w:type="dxa"/>
        </w:tblCellMar>
      </w:tblPr>
      <w:tblGrid>
        <w:gridCol w:w="1080"/>
        <w:gridCol w:w="3897"/>
        <w:gridCol w:w="4248"/>
      </w:tblGrid>
      <w:tr>
        <w:tblPrEx>
          <w:tblCellMar>
            <w:top w:w="15" w:type="dxa"/>
            <w:left w:w="15" w:type="dxa"/>
            <w:bottom w:w="15" w:type="dxa"/>
            <w:right w:w="15" w:type="dxa"/>
          </w:tblCellMar>
        </w:tblPrEx>
        <w:trPr>
          <w:trHeight w:val="390" w:hRule="atLeast"/>
        </w:trPr>
        <w:tc>
          <w:tcPr>
            <w:tcW w:w="922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表七 验收标准表</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验收内容</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验收标准</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月检报告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月检检修规程验收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季检报告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季检检修规程验收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半年检报告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半年检检修规程验收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专项维护报告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根据实际检修规程验收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节前维护报告</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季检检修规程验收</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设备可用性指标</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szCs w:val="21"/>
              </w:rPr>
              <w:t>大于等于99.8%</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3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每月故障发生率</w:t>
            </w:r>
          </w:p>
        </w:tc>
        <w:tc>
          <w:tcPr>
            <w:tcW w:w="42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szCs w:val="21"/>
              </w:rPr>
              <w:t>低于等于10%</w:t>
            </w:r>
          </w:p>
        </w:tc>
      </w:tr>
    </w:tbl>
    <w:p>
      <w:pPr>
        <w:pStyle w:val="76"/>
        <w:tabs>
          <w:tab w:val="left" w:pos="120"/>
        </w:tabs>
        <w:adjustRightInd w:val="0"/>
        <w:spacing w:line="360" w:lineRule="auto"/>
        <w:ind w:firstLine="420" w:firstLineChars="200"/>
        <w:textAlignment w:val="baseline"/>
        <w:outlineLvl w:val="1"/>
      </w:pPr>
      <w:bookmarkStart w:id="65" w:name="_Toc8304558"/>
      <w:bookmarkStart w:id="66" w:name="_Toc5614293"/>
      <w:r>
        <w:rPr>
          <w:rFonts w:hint="eastAsia"/>
        </w:rPr>
        <w:t>（四）验收资料</w:t>
      </w:r>
      <w:bookmarkEnd w:id="65"/>
      <w:bookmarkEnd w:id="66"/>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此项目中可独立作业完成的项目具备完工验收条件，投标人按有关规定和招标人确定的验收要求，向招标人提供完整的验收资料及验收报告。如月检报告、季检报告、半年检报告、节前维护报告、专项维护报告、设备可用性指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招标人收到验收报告后，对验收报告进行进一步确认，招标人在验收后给予批准或提出修改意见。不符合条件，投标人按要求修改，并承担自身原因引起的修改费用，若修改后仍不满足验收要求，投标人需承担招标人的损失。</w:t>
      </w:r>
    </w:p>
    <w:p>
      <w:pPr>
        <w:adjustRightInd w:val="0"/>
        <w:snapToGrid w:val="0"/>
        <w:spacing w:line="360" w:lineRule="auto"/>
        <w:ind w:firstLine="420" w:firstLineChars="200"/>
        <w:rPr>
          <w:rFonts w:ascii="宋体" w:hAnsi="宋体" w:cs="宋体"/>
          <w:kern w:val="0"/>
          <w:szCs w:val="21"/>
        </w:rPr>
      </w:pPr>
      <w:bookmarkStart w:id="67" w:name="_Hlk5608040"/>
      <w:r>
        <w:rPr>
          <w:rFonts w:hint="eastAsia" w:ascii="宋体" w:hAnsi="宋体" w:cs="宋体"/>
          <w:kern w:val="0"/>
          <w:szCs w:val="21"/>
        </w:rPr>
        <w:t>3.项目结束时投标人应确保设备设施无遗留问题，如有遗留问题，招标人有权请第三方处理，其产生的费用由投标人承担。</w:t>
      </w:r>
    </w:p>
    <w:bookmarkEnd w:id="67"/>
    <w:p>
      <w:pPr>
        <w:pStyle w:val="32"/>
        <w:tabs>
          <w:tab w:val="right" w:leader="dot" w:pos="8306"/>
        </w:tabs>
        <w:spacing w:line="360" w:lineRule="auto"/>
        <w:ind w:firstLine="422" w:firstLineChars="200"/>
        <w:outlineLvl w:val="0"/>
        <w:rPr>
          <w:rFonts w:ascii="宋体" w:hAnsi="宋体" w:cs="宋体"/>
          <w:b/>
          <w:bCs/>
          <w:iCs/>
          <w:szCs w:val="21"/>
        </w:rPr>
      </w:pPr>
      <w:bookmarkStart w:id="68" w:name="_Toc8304559"/>
      <w:bookmarkStart w:id="69" w:name="_Toc5614294"/>
      <w:r>
        <w:rPr>
          <w:rFonts w:hint="eastAsia" w:ascii="宋体" w:hAnsi="宋体" w:cs="宋体"/>
          <w:b/>
          <w:bCs/>
          <w:iCs/>
          <w:szCs w:val="21"/>
        </w:rPr>
        <w:t>七、质保期</w:t>
      </w:r>
      <w:bookmarkEnd w:id="68"/>
    </w:p>
    <w:p>
      <w:pPr>
        <w:spacing w:line="360" w:lineRule="auto"/>
        <w:ind w:firstLine="420" w:firstLineChars="200"/>
        <w:rPr>
          <w:rFonts w:ascii="宋体" w:hAnsi="宋体" w:cs="宋体"/>
          <w:kern w:val="0"/>
          <w:szCs w:val="21"/>
        </w:rPr>
      </w:pPr>
      <w:bookmarkStart w:id="70" w:name="_Hlk6219956"/>
      <w:r>
        <w:rPr>
          <w:rFonts w:hint="eastAsia" w:ascii="宋体" w:hAnsi="宋体" w:cs="宋体"/>
          <w:kern w:val="0"/>
          <w:szCs w:val="21"/>
        </w:rPr>
        <w:t>投标人提供的材料、零部件必须是全新原厂合格产品。从单项零部件更换日期开始起算，质保一年。</w:t>
      </w:r>
    </w:p>
    <w:bookmarkEnd w:id="70"/>
    <w:p>
      <w:pPr>
        <w:pStyle w:val="32"/>
        <w:tabs>
          <w:tab w:val="right" w:leader="dot" w:pos="8306"/>
        </w:tabs>
        <w:spacing w:line="360" w:lineRule="auto"/>
        <w:ind w:firstLine="422" w:firstLineChars="200"/>
        <w:outlineLvl w:val="0"/>
        <w:rPr>
          <w:rFonts w:ascii="宋体" w:hAnsi="宋体" w:cs="宋体"/>
          <w:b/>
          <w:bCs/>
          <w:iCs/>
          <w:szCs w:val="21"/>
        </w:rPr>
      </w:pPr>
      <w:bookmarkStart w:id="71" w:name="_Toc8304560"/>
      <w:r>
        <w:rPr>
          <w:rFonts w:hint="eastAsia" w:ascii="宋体" w:hAnsi="宋体" w:cs="宋体"/>
          <w:b/>
          <w:bCs/>
          <w:iCs/>
          <w:szCs w:val="21"/>
        </w:rPr>
        <w:t>八、考核标准</w:t>
      </w:r>
      <w:bookmarkEnd w:id="69"/>
      <w:bookmarkEnd w:id="71"/>
    </w:p>
    <w:p>
      <w:pPr>
        <w:pStyle w:val="76"/>
        <w:tabs>
          <w:tab w:val="left" w:pos="120"/>
        </w:tabs>
        <w:adjustRightInd w:val="0"/>
        <w:spacing w:line="360" w:lineRule="auto"/>
        <w:ind w:left="420" w:leftChars="200"/>
        <w:textAlignment w:val="baseline"/>
        <w:outlineLvl w:val="1"/>
      </w:pPr>
      <w:bookmarkStart w:id="72" w:name="_Toc5614295"/>
      <w:bookmarkStart w:id="73" w:name="_Toc8304561"/>
      <w:r>
        <w:rPr>
          <w:rFonts w:hint="eastAsia"/>
        </w:rPr>
        <w:t>（一）质量考核标准</w:t>
      </w:r>
      <w:bookmarkEnd w:id="72"/>
      <w:bookmarkEnd w:id="73"/>
    </w:p>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1.招标人将从安全生产、设备表现、维护维修等方面对投标人进行半年度考核评分，</w:t>
      </w:r>
      <w:r>
        <w:rPr>
          <w:rFonts w:hint="eastAsia" w:ascii="宋体" w:hAnsi="宋体" w:cs="宋体"/>
          <w:szCs w:val="21"/>
        </w:rPr>
        <w:t>按比例核算半年度服务费，并将考核结果纳入对投标人的半年度评定结算，当有考核项目发生重复时以最高程度考核项为考核标准，</w:t>
      </w:r>
      <w:r>
        <w:rPr>
          <w:rFonts w:hint="eastAsia" w:ascii="宋体" w:hAnsi="宋体" w:cs="宋体"/>
          <w:kern w:val="0"/>
          <w:szCs w:val="21"/>
        </w:rPr>
        <w:t>投标人须无条件执行招标人确定的最新指标标准及相关的管理办法、实施细则。</w:t>
      </w:r>
    </w:p>
    <w:p>
      <w:pPr>
        <w:adjustRightInd w:val="0"/>
        <w:snapToGrid w:val="0"/>
        <w:spacing w:line="360" w:lineRule="auto"/>
        <w:ind w:firstLine="420" w:firstLineChars="200"/>
        <w:textAlignment w:val="baseline"/>
        <w:rPr>
          <w:rFonts w:ascii="宋体" w:hAnsi="宋体" w:cs="宋体"/>
          <w:kern w:val="0"/>
          <w:szCs w:val="21"/>
        </w:rPr>
      </w:pPr>
      <w:bookmarkStart w:id="74" w:name="_Hlk16586236"/>
      <w:r>
        <w:rPr>
          <w:rFonts w:hint="eastAsia" w:ascii="宋体" w:hAnsi="宋体" w:cs="宋体"/>
          <w:kern w:val="0"/>
          <w:szCs w:val="21"/>
        </w:rPr>
        <w:t>2.投标人违反招标人相关规定、制度，原则上按照《日常管理考核标准》、《质量考核标准》、《运营公司承包商安全管理办法》进行考核。如下：表八《质量考核标准》、表九《考核支付表》、附件3《日常管理考核标准》进行考核（包括但不限于）。</w:t>
      </w:r>
    </w:p>
    <w:bookmarkEnd w:id="74"/>
    <w:p>
      <w:pPr>
        <w:adjustRightInd w:val="0"/>
        <w:snapToGrid w:val="0"/>
        <w:spacing w:line="360" w:lineRule="auto"/>
        <w:ind w:firstLine="420" w:firstLineChars="200"/>
        <w:textAlignment w:val="baseline"/>
        <w:rPr>
          <w:rFonts w:ascii="宋体" w:hAnsi="宋体" w:cs="宋体"/>
          <w:kern w:val="0"/>
          <w:szCs w:val="21"/>
        </w:rPr>
      </w:pPr>
      <w:bookmarkStart w:id="75" w:name="_Hlk5608170"/>
      <w:r>
        <w:rPr>
          <w:rFonts w:hint="eastAsia" w:ascii="宋体" w:hAnsi="宋体" w:cs="宋体"/>
          <w:kern w:val="0"/>
          <w:szCs w:val="21"/>
        </w:rPr>
        <w:t>3.质量考核标准表</w:t>
      </w:r>
      <w:bookmarkStart w:id="76" w:name="_Hlk5606341"/>
      <w:r>
        <w:rPr>
          <w:rFonts w:hint="eastAsia" w:ascii="宋体" w:hAnsi="宋体" w:cs="宋体"/>
          <w:kern w:val="0"/>
          <w:szCs w:val="21"/>
        </w:rPr>
        <w:t>（详见表八）</w:t>
      </w:r>
      <w:bookmarkEnd w:id="76"/>
    </w:p>
    <w:bookmarkEnd w:id="75"/>
    <w:tbl>
      <w:tblPr>
        <w:tblStyle w:val="46"/>
        <w:tblW w:w="8865" w:type="dxa"/>
        <w:tblInd w:w="0" w:type="dxa"/>
        <w:tblLayout w:type="fixed"/>
        <w:tblCellMar>
          <w:top w:w="15" w:type="dxa"/>
          <w:left w:w="15" w:type="dxa"/>
          <w:bottom w:w="15" w:type="dxa"/>
          <w:right w:w="15" w:type="dxa"/>
        </w:tblCellMar>
      </w:tblPr>
      <w:tblGrid>
        <w:gridCol w:w="1080"/>
        <w:gridCol w:w="5031"/>
        <w:gridCol w:w="1275"/>
        <w:gridCol w:w="1479"/>
      </w:tblGrid>
      <w:tr>
        <w:tblPrEx>
          <w:tblCellMar>
            <w:top w:w="15" w:type="dxa"/>
            <w:left w:w="15" w:type="dxa"/>
            <w:bottom w:w="15" w:type="dxa"/>
            <w:right w:w="15" w:type="dxa"/>
          </w:tblCellMar>
        </w:tblPrEx>
        <w:trPr>
          <w:trHeight w:val="480" w:hRule="atLeast"/>
        </w:trPr>
        <w:tc>
          <w:tcPr>
            <w:tcW w:w="8865"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bookmarkStart w:id="77" w:name="_Hlk8201692"/>
            <w:r>
              <w:rPr>
                <w:rFonts w:hint="eastAsia" w:ascii="宋体" w:hAnsi="宋体" w:cs="宋体"/>
                <w:b/>
                <w:color w:val="000000"/>
                <w:kern w:val="0"/>
                <w:szCs w:val="21"/>
                <w:lang w:bidi="ar"/>
              </w:rPr>
              <w:t>表八 质量考核标准表</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考核内容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处罚结果</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szCs w:val="21"/>
              </w:rPr>
              <w:t>1</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因投标人维护不当导致全线AFC系统瘫痪，所有终端设备不能使用（指售票、检票、异常处理等主要业务功能停用）。</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7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因投标人维护不当导致全线全部同类终端设备不能使用。</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822"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因投标人维护不当导致1号线线路中心设备发生漏电击人事故，造成人员伤亡的。</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652"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投标人私传招标人相关资料、传播虚假信息、未经授权擅自传播招标人生产信息的。</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因投标人维护不当导致非运营时间内线路单种终端设备全部故障，直到运营开始部分设备仍未完成修复投入使用。</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因投标人维护不当或设备检修、维修不到位造成设备交易数据丢失。</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7</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color w:val="000000"/>
                <w:kern w:val="0"/>
                <w:szCs w:val="21"/>
                <w:lang w:bidi="ar"/>
              </w:rPr>
              <w:t>设备可靠度指标&lt;</w:t>
            </w:r>
            <w:r>
              <w:rPr>
                <w:rFonts w:hint="eastAsia" w:ascii="宋体" w:hAnsi="宋体" w:cs="宋体"/>
                <w:color w:val="000000"/>
                <w:szCs w:val="21"/>
              </w:rPr>
              <w:t>99.7%。</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设备可靠度指标算法: （设备总运行时间-设备总停用时间）/设备总运行时间*100%</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8</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如因投标人工作不到位，产生不良影响（包括集团公司、运营公司考核，媒体负面报道，有责投诉等情况）。</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9</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因投标人违反国家法律法规，对地铁造成收益影响。</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bookmarkStart w:id="78" w:name="_Hlk16586267"/>
            <w:r>
              <w:rPr>
                <w:rFonts w:hint="eastAsia" w:ascii="宋体" w:hAnsi="宋体" w:cs="宋体"/>
                <w:color w:val="000000"/>
                <w:szCs w:val="21"/>
              </w:rPr>
              <w:t>10</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因投标人维护不当导致1号线线路中心系统与清分中心系统网络中断超过30分钟，以及影响工作站业务工作超过30分钟的故障。</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bookmarkEnd w:id="78"/>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11</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因投标人维护不当直接或间接导致一个及以上车站所有终端设备交易2小时及以上无法正常上传。</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bookmarkStart w:id="79" w:name="_Hlk16586348"/>
            <w:r>
              <w:rPr>
                <w:rFonts w:hint="eastAsia" w:ascii="宋体" w:hAnsi="宋体" w:cs="宋体"/>
                <w:color w:val="000000"/>
                <w:szCs w:val="21"/>
              </w:rPr>
              <w:t>12</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因线路中心系统设备硬件故障导致的交易未上传在24小时内未解决。</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highlight w:val="yellow"/>
              </w:rPr>
            </w:pPr>
          </w:p>
        </w:tc>
      </w:tr>
      <w:bookmarkEnd w:id="79"/>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13</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因投标人维护不当直接或间接导致车站部分终端设备交易2小时及以上无法正常上传。</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highlight w:val="yellow"/>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14</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投标人人为原因或设备检修、维修不到位造成设备易数据丢失。</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15</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运营期间1号线线路中心系统主服务器、通信服务器、报表服务器等服务器发生本体故障、软件系统故障或报警等异常</w:t>
            </w:r>
            <w:r>
              <w:rPr>
                <w:rFonts w:hint="eastAsia" w:ascii="宋体" w:hAnsi="宋体" w:cs="宋体"/>
                <w:szCs w:val="21"/>
              </w:rPr>
              <w:t>时投标人应急响应时间</w:t>
            </w:r>
            <w:r>
              <w:rPr>
                <w:rFonts w:hint="eastAsia" w:ascii="宋体" w:hAnsi="宋体" w:cs="宋体"/>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16</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kern w:val="0"/>
                <w:szCs w:val="21"/>
              </w:rPr>
              <w:t>运营期间1号线线路中心系统</w:t>
            </w:r>
            <w:r>
              <w:rPr>
                <w:rFonts w:hint="eastAsia" w:ascii="宋体" w:hAnsi="宋体" w:cs="宋体"/>
                <w:szCs w:val="21"/>
              </w:rPr>
              <w:t>主光纤交换机、三层交换机等网络设备系统故障或因其造成网络通信故障时投标人应急响应时间</w:t>
            </w:r>
            <w:r>
              <w:rPr>
                <w:rFonts w:hint="eastAsia" w:ascii="宋体" w:hAnsi="宋体" w:cs="宋体"/>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17</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szCs w:val="21"/>
              </w:rPr>
              <w:t>运营期间</w:t>
            </w:r>
            <w:r>
              <w:rPr>
                <w:rFonts w:hint="eastAsia" w:ascii="宋体" w:hAnsi="宋体" w:cs="宋体"/>
                <w:kern w:val="0"/>
                <w:szCs w:val="21"/>
              </w:rPr>
              <w:t>1号线线路中心系统</w:t>
            </w:r>
            <w:r>
              <w:rPr>
                <w:rFonts w:hint="eastAsia" w:ascii="宋体" w:hAnsi="宋体" w:cs="宋体"/>
                <w:szCs w:val="21"/>
              </w:rPr>
              <w:t>磁盘阵列、防火墙、入侵检测设备发生硬件故障或报警等异常时投标人应急响应时间</w:t>
            </w:r>
            <w:r>
              <w:rPr>
                <w:rFonts w:hint="eastAsia" w:ascii="宋体" w:hAnsi="宋体" w:cs="宋体"/>
                <w:kern w:val="0"/>
                <w:szCs w:val="21"/>
              </w:rPr>
              <w:t>＞40分钟。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18</w:t>
            </w:r>
          </w:p>
        </w:tc>
        <w:tc>
          <w:tcPr>
            <w:tcW w:w="50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Cs w:val="21"/>
              </w:rPr>
            </w:pPr>
            <w:r>
              <w:rPr>
                <w:rFonts w:hint="eastAsia" w:ascii="宋体" w:hAnsi="宋体" w:cs="宋体"/>
                <w:szCs w:val="21"/>
              </w:rPr>
              <w:t>运营期间</w:t>
            </w:r>
            <w:r>
              <w:rPr>
                <w:rFonts w:hint="eastAsia" w:ascii="宋体" w:hAnsi="宋体" w:cs="宋体"/>
                <w:kern w:val="0"/>
                <w:szCs w:val="21"/>
              </w:rPr>
              <w:t>1号线线路中心系统</w:t>
            </w:r>
            <w:r>
              <w:rPr>
                <w:rFonts w:hint="eastAsia" w:ascii="宋体" w:hAnsi="宋体" w:cs="宋体"/>
                <w:szCs w:val="21"/>
              </w:rPr>
              <w:t>磁带库不能正常备份时投标人应急响应时间</w:t>
            </w:r>
            <w:r>
              <w:rPr>
                <w:rFonts w:hint="eastAsia" w:ascii="宋体" w:hAnsi="宋体" w:cs="宋体"/>
                <w:kern w:val="0"/>
                <w:szCs w:val="21"/>
              </w:rPr>
              <w:t>＞120分钟。</w:t>
            </w:r>
          </w:p>
        </w:tc>
        <w:tc>
          <w:tcPr>
            <w:tcW w:w="12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扣20分</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bookmarkEnd w:id="77"/>
    </w:tbl>
    <w:p>
      <w:pPr>
        <w:adjustRightInd w:val="0"/>
        <w:snapToGrid w:val="0"/>
        <w:spacing w:line="360" w:lineRule="auto"/>
        <w:ind w:firstLine="420" w:firstLineChars="200"/>
        <w:textAlignment w:val="baseline"/>
        <w:rPr>
          <w:rFonts w:ascii="宋体" w:hAnsi="宋体" w:cs="宋体"/>
          <w:kern w:val="0"/>
          <w:szCs w:val="21"/>
        </w:rPr>
      </w:pPr>
      <w:r>
        <w:rPr>
          <w:rFonts w:hint="eastAsia" w:ascii="宋体" w:hAnsi="宋体" w:cs="宋体"/>
          <w:kern w:val="0"/>
          <w:szCs w:val="21"/>
        </w:rPr>
        <w:t>4.考核支付表</w:t>
      </w:r>
      <w:bookmarkStart w:id="80" w:name="_Hlk5606352"/>
      <w:r>
        <w:rPr>
          <w:rFonts w:hint="eastAsia" w:ascii="宋体" w:hAnsi="宋体" w:cs="宋体"/>
          <w:kern w:val="0"/>
          <w:szCs w:val="21"/>
        </w:rPr>
        <w:t>（详见表九）</w:t>
      </w:r>
      <w:bookmarkEnd w:id="80"/>
    </w:p>
    <w:tbl>
      <w:tblPr>
        <w:tblStyle w:val="46"/>
        <w:tblW w:w="8662" w:type="dxa"/>
        <w:tblInd w:w="0" w:type="dxa"/>
        <w:tblLayout w:type="fixed"/>
        <w:tblCellMar>
          <w:top w:w="15" w:type="dxa"/>
          <w:left w:w="15" w:type="dxa"/>
          <w:bottom w:w="15" w:type="dxa"/>
          <w:right w:w="15" w:type="dxa"/>
        </w:tblCellMar>
      </w:tblPr>
      <w:tblGrid>
        <w:gridCol w:w="1236"/>
        <w:gridCol w:w="5300"/>
        <w:gridCol w:w="2126"/>
      </w:tblGrid>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表九 考核支付表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000000"/>
                <w:szCs w:val="21"/>
              </w:rPr>
            </w:pPr>
            <w:r>
              <w:rPr>
                <w:rFonts w:hint="eastAsia" w:ascii="宋体" w:hAnsi="宋体" w:cs="宋体"/>
                <w:b/>
                <w:color w:val="000000"/>
                <w:kern w:val="0"/>
                <w:szCs w:val="21"/>
                <w:lang w:bidi="ar"/>
              </w:rPr>
              <w:t>考核等级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000000"/>
                <w:szCs w:val="21"/>
              </w:rPr>
            </w:pPr>
            <w:r>
              <w:rPr>
                <w:rFonts w:hint="eastAsia" w:ascii="宋体" w:hAnsi="宋体" w:cs="宋体"/>
                <w:b/>
                <w:color w:val="000000"/>
                <w:kern w:val="0"/>
                <w:szCs w:val="21"/>
                <w:lang w:bidi="ar"/>
              </w:rPr>
              <w:t>考核标准及应用（基础分100分）</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b/>
                <w:color w:val="000000"/>
                <w:kern w:val="0"/>
                <w:szCs w:val="21"/>
                <w:lang w:bidi="ar"/>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A级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综合考评分≥90分,支付比例100%。</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top"/>
              <w:rPr>
                <w:rFonts w:ascii="宋体" w:hAnsi="宋体" w:cs="宋体"/>
                <w:kern w:val="0"/>
                <w:szCs w:val="21"/>
                <w:lang w:bidi="ar"/>
              </w:rPr>
            </w:pP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B级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80分≤综合考评分&lt;90分，支付比例95%。</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Cs w:val="21"/>
                <w:lang w:bidi="ar"/>
              </w:rPr>
            </w:pPr>
            <w:r>
              <w:rPr>
                <w:rFonts w:hint="eastAsia" w:ascii="宋体" w:hAnsi="宋体" w:cs="宋体"/>
                <w:color w:val="000000"/>
                <w:szCs w:val="21"/>
              </w:rPr>
              <w:t>扣当次支付项目进度款5%金额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C级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70分≤综合考评分&lt;80分，支付比例90%。</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Cs w:val="21"/>
                <w:lang w:bidi="ar"/>
              </w:rPr>
            </w:pPr>
            <w:r>
              <w:rPr>
                <w:rFonts w:hint="eastAsia" w:ascii="宋体" w:hAnsi="宋体" w:cs="宋体"/>
                <w:color w:val="000000"/>
                <w:szCs w:val="21"/>
              </w:rPr>
              <w:t>扣当次支付项目进度款10%金额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D级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60分≤综合考评分&lt;70分，支付比例80%。</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Cs w:val="21"/>
                <w:lang w:bidi="ar"/>
              </w:rPr>
            </w:pPr>
            <w:r>
              <w:rPr>
                <w:rFonts w:hint="eastAsia" w:ascii="宋体" w:hAnsi="宋体" w:cs="宋体"/>
                <w:color w:val="000000"/>
                <w:szCs w:val="21"/>
              </w:rPr>
              <w:t>扣当次支付项目进度款20%金额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Cs w:val="21"/>
              </w:rPr>
            </w:pPr>
            <w:r>
              <w:rPr>
                <w:rFonts w:hint="eastAsia" w:ascii="宋体" w:hAnsi="宋体" w:cs="宋体"/>
                <w:color w:val="000000"/>
                <w:kern w:val="0"/>
                <w:szCs w:val="21"/>
              </w:rPr>
              <w:t>E级</w:t>
            </w:r>
          </w:p>
        </w:tc>
        <w:tc>
          <w:tcPr>
            <w:tcW w:w="53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kern w:val="0"/>
                <w:szCs w:val="21"/>
                <w:lang w:bidi="ar"/>
              </w:rPr>
            </w:pPr>
            <w:r>
              <w:rPr>
                <w:rFonts w:hint="eastAsia" w:ascii="宋体" w:hAnsi="宋体" w:cs="宋体"/>
                <w:color w:val="000000"/>
                <w:kern w:val="0"/>
                <w:szCs w:val="21"/>
              </w:rPr>
              <w:t>综合考评分&lt;60分，支付比例70%。</w:t>
            </w:r>
          </w:p>
        </w:tc>
        <w:tc>
          <w:tcPr>
            <w:tcW w:w="2126"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kern w:val="0"/>
                <w:szCs w:val="21"/>
                <w:lang w:bidi="ar"/>
              </w:rPr>
            </w:pPr>
            <w:r>
              <w:rPr>
                <w:rFonts w:hint="eastAsia" w:ascii="宋体" w:hAnsi="宋体" w:cs="宋体"/>
                <w:color w:val="000000"/>
                <w:szCs w:val="21"/>
              </w:rPr>
              <w:t>扣当次支付项目进度款30%金额</w:t>
            </w:r>
            <w:r>
              <w:rPr>
                <w:rFonts w:hint="eastAsia" w:ascii="宋体" w:hAnsi="宋体" w:cs="宋体"/>
                <w:color w:val="000000"/>
                <w:kern w:val="0"/>
                <w:szCs w:val="21"/>
              </w:rPr>
              <w:t>，赔偿相关损失，招标人有权解除合同。</w:t>
            </w:r>
          </w:p>
        </w:tc>
      </w:tr>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jc w:val="left"/>
              <w:textAlignment w:val="top"/>
              <w:rPr>
                <w:rFonts w:ascii="宋体" w:hAnsi="宋体" w:cs="宋体"/>
                <w:kern w:val="0"/>
                <w:szCs w:val="21"/>
                <w:lang w:bidi="ar"/>
              </w:rPr>
            </w:pPr>
            <w:r>
              <w:rPr>
                <w:rFonts w:hint="eastAsia" w:ascii="宋体" w:hAnsi="宋体" w:cs="宋体"/>
                <w:bCs/>
                <w:szCs w:val="21"/>
              </w:rPr>
              <w:t>当综合考评分90分以上（含90分）时，按照《日常管理考核标准》、《质量考核标准》、《运营公司承包商安全管理办法》进行考核，当综合考评分数在90分以下时，按照此表扣除相对应的服务费，扣除费用不再支付。同时，供应商应遵守《日常管理考核标准》、《质量考核标准》《运营公司承包商安全管理办法》相关规定。</w:t>
            </w:r>
          </w:p>
        </w:tc>
      </w:tr>
    </w:tbl>
    <w:p>
      <w:pPr>
        <w:pStyle w:val="32"/>
        <w:tabs>
          <w:tab w:val="right" w:leader="dot" w:pos="8306"/>
        </w:tabs>
        <w:spacing w:line="360" w:lineRule="auto"/>
        <w:ind w:firstLine="420" w:firstLineChars="200"/>
        <w:outlineLvl w:val="0"/>
        <w:rPr>
          <w:rFonts w:ascii="宋体" w:hAnsi="宋体" w:cs="宋体"/>
          <w:iCs/>
          <w:szCs w:val="21"/>
        </w:rPr>
      </w:pPr>
      <w:bookmarkStart w:id="81" w:name="_Toc8304562"/>
      <w:bookmarkStart w:id="82" w:name="_Toc5614296"/>
      <w:r>
        <w:rPr>
          <w:rFonts w:hint="eastAsia" w:ascii="宋体" w:hAnsi="宋体" w:cs="宋体"/>
          <w:iCs/>
          <w:szCs w:val="21"/>
        </w:rPr>
        <w:t>九、其他（附件</w:t>
      </w:r>
      <w:bookmarkEnd w:id="81"/>
      <w:bookmarkEnd w:id="82"/>
      <w:r>
        <w:rPr>
          <w:rFonts w:hint="eastAsia" w:ascii="宋体" w:hAnsi="宋体" w:cs="宋体"/>
          <w:iCs/>
          <w:szCs w:val="21"/>
        </w:rPr>
        <w:t>）</w:t>
      </w:r>
    </w:p>
    <w:p>
      <w:pPr>
        <w:pStyle w:val="4"/>
        <w:keepNext w:val="0"/>
        <w:keepLines w:val="0"/>
        <w:tabs>
          <w:tab w:val="left" w:pos="120"/>
          <w:tab w:val="left" w:pos="1200"/>
          <w:tab w:val="left" w:pos="2340"/>
        </w:tabs>
        <w:ind w:firstLine="420" w:firstLineChars="200"/>
        <w:rPr>
          <w:rFonts w:ascii="宋体" w:hAnsi="宋体" w:cs="宋体"/>
          <w:sz w:val="21"/>
          <w:szCs w:val="21"/>
        </w:rPr>
      </w:pPr>
      <w:bookmarkStart w:id="83" w:name="_Toc534969007"/>
      <w:bookmarkStart w:id="84" w:name="_Toc5614297"/>
      <w:bookmarkStart w:id="85" w:name="_Toc8304563"/>
      <w:r>
        <w:rPr>
          <w:rFonts w:hint="eastAsia" w:ascii="宋体" w:hAnsi="宋体" w:cs="宋体"/>
          <w:b w:val="0"/>
          <w:sz w:val="21"/>
          <w:szCs w:val="21"/>
        </w:rPr>
        <w:t>附件1：</w:t>
      </w:r>
      <w:r>
        <w:rPr>
          <w:rFonts w:hint="eastAsia" w:ascii="宋体" w:hAnsi="宋体" w:cs="宋体"/>
          <w:b w:val="0"/>
          <w:bCs w:val="0"/>
          <w:kern w:val="44"/>
          <w:sz w:val="21"/>
          <w:szCs w:val="21"/>
        </w:rPr>
        <w:t>《维护系统设备、软件清单</w:t>
      </w:r>
      <w:bookmarkEnd w:id="83"/>
      <w:r>
        <w:rPr>
          <w:rFonts w:hint="eastAsia" w:ascii="宋体" w:hAnsi="宋体" w:cs="宋体"/>
          <w:b w:val="0"/>
          <w:bCs w:val="0"/>
          <w:kern w:val="44"/>
          <w:sz w:val="21"/>
          <w:szCs w:val="21"/>
        </w:rPr>
        <w:t>》</w:t>
      </w:r>
      <w:bookmarkEnd w:id="84"/>
      <w:bookmarkEnd w:id="85"/>
    </w:p>
    <w:tbl>
      <w:tblPr>
        <w:tblStyle w:val="4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
        <w:gridCol w:w="2046"/>
        <w:gridCol w:w="2563"/>
        <w:gridCol w:w="30"/>
        <w:gridCol w:w="1246"/>
        <w:gridCol w:w="30"/>
        <w:gridCol w:w="999"/>
        <w:gridCol w:w="709"/>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bookmarkStart w:id="86" w:name="_Hlk4770683"/>
            <w:bookmarkStart w:id="87" w:name="_Toc5614298"/>
            <w:bookmarkStart w:id="88" w:name="_Toc8304564"/>
            <w:r>
              <w:rPr>
                <w:rFonts w:hint="eastAsia" w:ascii="宋体" w:hAnsi="宋体" w:cs="宋体"/>
                <w:b/>
                <w:bCs/>
                <w:szCs w:val="21"/>
              </w:rPr>
              <w:t>序号</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名称</w:t>
            </w:r>
          </w:p>
        </w:tc>
        <w:tc>
          <w:tcPr>
            <w:tcW w:w="25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规格型号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原产地</w:t>
            </w:r>
          </w:p>
        </w:tc>
        <w:tc>
          <w:tcPr>
            <w:tcW w:w="1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制造商</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单位</w:t>
            </w:r>
          </w:p>
        </w:tc>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202" w:type="dxa"/>
            <w:gridSpan w:val="10"/>
            <w:vAlign w:val="center"/>
          </w:tcPr>
          <w:p>
            <w:pPr>
              <w:snapToGrid w:val="0"/>
              <w:jc w:val="center"/>
              <w:rPr>
                <w:rFonts w:ascii="宋体" w:hAnsi="宋体" w:cs="宋体"/>
                <w:b/>
                <w:bCs/>
                <w:szCs w:val="21"/>
              </w:rPr>
            </w:pPr>
            <w:r>
              <w:rPr>
                <w:rFonts w:hint="eastAsia" w:ascii="宋体" w:hAnsi="宋体" w:cs="宋体"/>
                <w:b/>
                <w:bCs/>
                <w:szCs w:val="21"/>
              </w:rPr>
              <w:t>线路中央计算机系统设备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1</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主服务器</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P740</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美国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2</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磁盘阵列</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V7000</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美国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3</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磁带库</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TS3100</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美国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4</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光纤交换机</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2498-B24</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美国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5</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中央网络交换机</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EDS-82810G系列</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中国台湾</w:t>
            </w:r>
          </w:p>
        </w:tc>
        <w:tc>
          <w:tcPr>
            <w:tcW w:w="999" w:type="dxa"/>
            <w:vAlign w:val="center"/>
          </w:tcPr>
          <w:p>
            <w:pPr>
              <w:snapToGrid w:val="0"/>
              <w:jc w:val="center"/>
              <w:rPr>
                <w:rFonts w:ascii="宋体" w:hAnsi="宋体" w:cs="宋体"/>
                <w:szCs w:val="21"/>
              </w:rPr>
            </w:pPr>
            <w:r>
              <w:rPr>
                <w:rFonts w:hint="eastAsia" w:ascii="宋体" w:hAnsi="宋体" w:cs="宋体"/>
                <w:szCs w:val="21"/>
              </w:rPr>
              <w:t>MOXA</w:t>
            </w:r>
          </w:p>
        </w:tc>
        <w:tc>
          <w:tcPr>
            <w:tcW w:w="709" w:type="dxa"/>
            <w:vAlign w:val="center"/>
          </w:tcPr>
          <w:p>
            <w:pPr>
              <w:snapToGrid w:val="0"/>
              <w:jc w:val="center"/>
              <w:rPr>
                <w:rFonts w:ascii="宋体" w:hAnsi="宋体" w:cs="宋体"/>
                <w:szCs w:val="21"/>
              </w:rPr>
            </w:pPr>
            <w:r>
              <w:rPr>
                <w:rFonts w:hint="eastAsia" w:ascii="宋体" w:hAnsi="宋体" w:cs="宋体"/>
                <w:szCs w:val="21"/>
              </w:rPr>
              <w:t>台</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6</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通信服务器</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X3850 X5</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7</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报表服务器</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X3850 X5</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jc w:val="center"/>
              <w:rPr>
                <w:rFonts w:ascii="宋体" w:hAnsi="宋体" w:cs="宋体"/>
                <w:szCs w:val="21"/>
              </w:rPr>
            </w:pPr>
            <w:r>
              <w:rPr>
                <w:rFonts w:hint="eastAsia" w:ascii="宋体" w:hAnsi="宋体" w:cs="宋体"/>
                <w:color w:val="00000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202" w:type="dxa"/>
            <w:gridSpan w:val="10"/>
            <w:vAlign w:val="center"/>
          </w:tcPr>
          <w:p>
            <w:pPr>
              <w:snapToGrid w:val="0"/>
              <w:jc w:val="center"/>
              <w:rPr>
                <w:rFonts w:ascii="宋体" w:hAnsi="宋体" w:cs="宋体"/>
                <w:b/>
                <w:bCs/>
                <w:szCs w:val="21"/>
              </w:rPr>
            </w:pPr>
            <w:r>
              <w:rPr>
                <w:rFonts w:hint="eastAsia" w:ascii="宋体" w:hAnsi="宋体" w:cs="宋体"/>
                <w:b/>
                <w:bCs/>
                <w:szCs w:val="21"/>
              </w:rPr>
              <w:t>线路中央计算机系统软件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1</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数据库操作系统</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原厂64位Unix操作系统</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IBM</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2</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服务器操作系统</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Windows</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红帽</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3</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数据库系统</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AFC 数据库 Oracle DatabaseEnterprise Edition</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Oracle</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4</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网管软件</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MxView</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中国台湾</w:t>
            </w:r>
          </w:p>
        </w:tc>
        <w:tc>
          <w:tcPr>
            <w:tcW w:w="999" w:type="dxa"/>
            <w:vAlign w:val="center"/>
          </w:tcPr>
          <w:p>
            <w:pPr>
              <w:snapToGrid w:val="0"/>
              <w:jc w:val="center"/>
              <w:rPr>
                <w:rFonts w:ascii="宋体" w:hAnsi="宋体" w:cs="宋体"/>
                <w:szCs w:val="21"/>
              </w:rPr>
            </w:pPr>
            <w:r>
              <w:rPr>
                <w:rFonts w:hint="eastAsia" w:ascii="宋体" w:hAnsi="宋体" w:cs="宋体"/>
                <w:color w:val="000000"/>
                <w:szCs w:val="21"/>
              </w:rPr>
              <w:t>MOXA</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5</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AFC 应用软件</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中软AFC系统</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中国软件</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6</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通信软件</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满足招标要求</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中软</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46" w:type="dxa"/>
            <w:vAlign w:val="center"/>
          </w:tcPr>
          <w:p>
            <w:pPr>
              <w:snapToGrid w:val="0"/>
              <w:jc w:val="center"/>
              <w:rPr>
                <w:rFonts w:ascii="宋体" w:hAnsi="宋体" w:cs="宋体"/>
                <w:szCs w:val="21"/>
              </w:rPr>
            </w:pPr>
            <w:r>
              <w:rPr>
                <w:rFonts w:hint="eastAsia" w:ascii="宋体" w:hAnsi="宋体" w:cs="宋体"/>
                <w:szCs w:val="21"/>
              </w:rPr>
              <w:t>7</w:t>
            </w:r>
          </w:p>
        </w:tc>
        <w:tc>
          <w:tcPr>
            <w:tcW w:w="2078" w:type="dxa"/>
            <w:gridSpan w:val="2"/>
            <w:vAlign w:val="center"/>
          </w:tcPr>
          <w:p>
            <w:pPr>
              <w:snapToGrid w:val="0"/>
              <w:jc w:val="center"/>
              <w:rPr>
                <w:rFonts w:ascii="宋体" w:hAnsi="宋体" w:cs="宋体"/>
                <w:szCs w:val="21"/>
              </w:rPr>
            </w:pPr>
            <w:r>
              <w:rPr>
                <w:rFonts w:hint="eastAsia" w:ascii="宋体" w:hAnsi="宋体" w:cs="宋体"/>
                <w:szCs w:val="21"/>
              </w:rPr>
              <w:t>防病毒软件</w:t>
            </w:r>
          </w:p>
        </w:tc>
        <w:tc>
          <w:tcPr>
            <w:tcW w:w="2593" w:type="dxa"/>
            <w:gridSpan w:val="2"/>
            <w:vAlign w:val="center"/>
          </w:tcPr>
          <w:p>
            <w:pPr>
              <w:snapToGrid w:val="0"/>
              <w:jc w:val="center"/>
              <w:rPr>
                <w:rFonts w:ascii="宋体" w:hAnsi="宋体" w:cs="宋体"/>
                <w:szCs w:val="21"/>
              </w:rPr>
            </w:pPr>
            <w:r>
              <w:rPr>
                <w:rFonts w:hint="eastAsia" w:ascii="宋体" w:hAnsi="宋体" w:cs="宋体"/>
                <w:szCs w:val="21"/>
              </w:rPr>
              <w:t>满足招标要求</w:t>
            </w:r>
          </w:p>
        </w:tc>
        <w:tc>
          <w:tcPr>
            <w:tcW w:w="1276" w:type="dxa"/>
            <w:gridSpan w:val="2"/>
            <w:vAlign w:val="center"/>
          </w:tcPr>
          <w:p>
            <w:pPr>
              <w:snapToGrid w:val="0"/>
              <w:jc w:val="center"/>
              <w:rPr>
                <w:rFonts w:ascii="宋体" w:hAnsi="宋体" w:cs="宋体"/>
                <w:szCs w:val="21"/>
              </w:rPr>
            </w:pPr>
            <w:r>
              <w:rPr>
                <w:rFonts w:hint="eastAsia" w:ascii="宋体" w:hAnsi="宋体" w:cs="宋体"/>
                <w:szCs w:val="21"/>
              </w:rPr>
              <w:t>中国</w:t>
            </w:r>
          </w:p>
        </w:tc>
        <w:tc>
          <w:tcPr>
            <w:tcW w:w="999" w:type="dxa"/>
            <w:vAlign w:val="center"/>
          </w:tcPr>
          <w:p>
            <w:pPr>
              <w:snapToGrid w:val="0"/>
              <w:jc w:val="center"/>
              <w:rPr>
                <w:rFonts w:ascii="宋体" w:hAnsi="宋体" w:cs="宋体"/>
                <w:szCs w:val="21"/>
              </w:rPr>
            </w:pPr>
            <w:r>
              <w:rPr>
                <w:rFonts w:hint="eastAsia" w:ascii="宋体" w:hAnsi="宋体" w:cs="宋体"/>
                <w:szCs w:val="21"/>
              </w:rPr>
              <w:t>瑞星</w:t>
            </w:r>
          </w:p>
        </w:tc>
        <w:tc>
          <w:tcPr>
            <w:tcW w:w="709" w:type="dxa"/>
            <w:vAlign w:val="center"/>
          </w:tcPr>
          <w:p>
            <w:pPr>
              <w:snapToGrid w:val="0"/>
              <w:jc w:val="center"/>
              <w:rPr>
                <w:rFonts w:ascii="宋体" w:hAnsi="宋体" w:cs="宋体"/>
                <w:szCs w:val="21"/>
              </w:rPr>
            </w:pPr>
            <w:r>
              <w:rPr>
                <w:rFonts w:hint="eastAsia" w:ascii="宋体" w:hAnsi="宋体" w:cs="宋体"/>
                <w:szCs w:val="21"/>
              </w:rPr>
              <w:t>套</w:t>
            </w:r>
          </w:p>
        </w:tc>
        <w:tc>
          <w:tcPr>
            <w:tcW w:w="801" w:type="dxa"/>
            <w:vAlign w:val="center"/>
          </w:tcPr>
          <w:p>
            <w:pPr>
              <w:snapToGrid w:val="0"/>
              <w:jc w:val="center"/>
              <w:rPr>
                <w:rFonts w:ascii="宋体" w:hAnsi="宋体" w:cs="宋体"/>
                <w:szCs w:val="21"/>
              </w:rPr>
            </w:pPr>
            <w:r>
              <w:rPr>
                <w:rFonts w:hint="eastAsia" w:ascii="宋体" w:hAnsi="宋体" w:cs="宋体"/>
                <w:szCs w:val="21"/>
              </w:rPr>
              <w:t>1</w:t>
            </w:r>
          </w:p>
        </w:tc>
      </w:tr>
      <w:bookmarkEnd w:id="86"/>
    </w:tbl>
    <w:p>
      <w:pPr>
        <w:pStyle w:val="4"/>
        <w:keepNext w:val="0"/>
        <w:keepLines w:val="0"/>
        <w:tabs>
          <w:tab w:val="left" w:pos="120"/>
          <w:tab w:val="left" w:pos="1200"/>
          <w:tab w:val="left" w:pos="2340"/>
        </w:tabs>
        <w:ind w:firstLine="420" w:firstLineChars="200"/>
        <w:rPr>
          <w:rFonts w:ascii="宋体" w:hAnsi="宋体" w:cs="宋体"/>
          <w:sz w:val="21"/>
          <w:szCs w:val="21"/>
        </w:rPr>
      </w:pPr>
      <w:r>
        <w:rPr>
          <w:rFonts w:hint="eastAsia" w:ascii="宋体" w:hAnsi="宋体" w:cs="宋体"/>
          <w:b w:val="0"/>
          <w:sz w:val="21"/>
          <w:szCs w:val="21"/>
        </w:rPr>
        <w:t>附件2：《</w:t>
      </w:r>
      <w:r>
        <w:rPr>
          <w:rFonts w:hint="eastAsia" w:ascii="宋体" w:hAnsi="宋体" w:cs="宋体"/>
          <w:b w:val="0"/>
          <w:bCs w:val="0"/>
          <w:kern w:val="44"/>
          <w:sz w:val="21"/>
          <w:szCs w:val="21"/>
        </w:rPr>
        <w:t>易损耗备件清单》（包括但不限于）</w:t>
      </w:r>
      <w:bookmarkEnd w:id="87"/>
      <w:bookmarkEnd w:id="88"/>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4819"/>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snapToGrid w:val="0"/>
              <w:jc w:val="center"/>
              <w:rPr>
                <w:rFonts w:ascii="宋体" w:hAnsi="宋体" w:cs="宋体"/>
                <w:b/>
                <w:bCs/>
                <w:szCs w:val="21"/>
              </w:rPr>
            </w:pPr>
            <w:bookmarkStart w:id="89" w:name="_Toc5614299"/>
            <w:bookmarkStart w:id="90" w:name="_Toc8304565"/>
            <w:r>
              <w:rPr>
                <w:rFonts w:hint="eastAsia" w:ascii="宋体" w:hAnsi="宋体" w:cs="宋体"/>
                <w:b/>
                <w:bCs/>
                <w:szCs w:val="21"/>
              </w:rPr>
              <w:t>序号</w:t>
            </w:r>
          </w:p>
        </w:tc>
        <w:tc>
          <w:tcPr>
            <w:tcW w:w="1985" w:type="dxa"/>
          </w:tcPr>
          <w:p>
            <w:pPr>
              <w:snapToGrid w:val="0"/>
              <w:jc w:val="center"/>
              <w:rPr>
                <w:rFonts w:ascii="宋体" w:hAnsi="宋体" w:cs="宋体"/>
                <w:b/>
                <w:bCs/>
                <w:szCs w:val="21"/>
              </w:rPr>
            </w:pPr>
            <w:r>
              <w:rPr>
                <w:rFonts w:hint="eastAsia" w:ascii="宋体" w:hAnsi="宋体" w:cs="宋体"/>
                <w:b/>
                <w:bCs/>
                <w:szCs w:val="21"/>
              </w:rPr>
              <w:t>物资名称</w:t>
            </w:r>
          </w:p>
        </w:tc>
        <w:tc>
          <w:tcPr>
            <w:tcW w:w="4819" w:type="dxa"/>
          </w:tcPr>
          <w:p>
            <w:pPr>
              <w:snapToGrid w:val="0"/>
              <w:jc w:val="center"/>
              <w:rPr>
                <w:rFonts w:ascii="宋体" w:hAnsi="宋体" w:cs="宋体"/>
                <w:b/>
                <w:bCs/>
                <w:szCs w:val="21"/>
              </w:rPr>
            </w:pPr>
            <w:r>
              <w:rPr>
                <w:rFonts w:hint="eastAsia" w:ascii="宋体" w:hAnsi="宋体" w:cs="宋体"/>
                <w:b/>
                <w:bCs/>
                <w:szCs w:val="21"/>
              </w:rPr>
              <w:t>规格型号</w:t>
            </w:r>
          </w:p>
        </w:tc>
        <w:tc>
          <w:tcPr>
            <w:tcW w:w="709" w:type="dxa"/>
          </w:tcPr>
          <w:p>
            <w:pPr>
              <w:snapToGrid w:val="0"/>
              <w:jc w:val="center"/>
              <w:rPr>
                <w:rFonts w:ascii="宋体" w:hAnsi="宋体" w:cs="宋体"/>
                <w:b/>
                <w:bCs/>
                <w:szCs w:val="21"/>
              </w:rPr>
            </w:pPr>
            <w:r>
              <w:rPr>
                <w:rFonts w:hint="eastAsia" w:ascii="宋体" w:hAnsi="宋体" w:cs="宋体"/>
                <w:b/>
                <w:bCs/>
                <w:szCs w:val="21"/>
              </w:rPr>
              <w:t>品牌</w:t>
            </w:r>
          </w:p>
        </w:tc>
        <w:tc>
          <w:tcPr>
            <w:tcW w:w="730" w:type="dxa"/>
          </w:tcPr>
          <w:p>
            <w:pPr>
              <w:snapToGrid w:val="0"/>
              <w:jc w:val="center"/>
              <w:rPr>
                <w:rFonts w:ascii="宋体" w:hAnsi="宋体" w:cs="宋体"/>
                <w:b/>
                <w:bCs/>
                <w:szCs w:val="21"/>
              </w:rPr>
            </w:pPr>
            <w:r>
              <w:rPr>
                <w:rFonts w:hint="eastAsia" w:ascii="宋体" w:hAnsi="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1</w:t>
            </w:r>
          </w:p>
        </w:tc>
        <w:tc>
          <w:tcPr>
            <w:tcW w:w="1985" w:type="dxa"/>
            <w:vAlign w:val="center"/>
          </w:tcPr>
          <w:p>
            <w:pPr>
              <w:snapToGrid w:val="0"/>
              <w:jc w:val="center"/>
              <w:rPr>
                <w:rFonts w:ascii="宋体" w:hAnsi="宋体" w:cs="宋体"/>
                <w:szCs w:val="21"/>
              </w:rPr>
            </w:pPr>
            <w:r>
              <w:rPr>
                <w:rFonts w:hint="eastAsia" w:ascii="宋体" w:hAnsi="宋体" w:cs="宋体"/>
                <w:szCs w:val="21"/>
              </w:rPr>
              <w:t>服务器阵列卡</w:t>
            </w:r>
          </w:p>
        </w:tc>
        <w:tc>
          <w:tcPr>
            <w:tcW w:w="4819" w:type="dxa"/>
            <w:vAlign w:val="center"/>
          </w:tcPr>
          <w:p>
            <w:pPr>
              <w:snapToGrid w:val="0"/>
              <w:jc w:val="center"/>
              <w:rPr>
                <w:rFonts w:ascii="宋体" w:hAnsi="宋体" w:cs="宋体"/>
                <w:szCs w:val="21"/>
              </w:rPr>
            </w:pPr>
            <w:r>
              <w:rPr>
                <w:rFonts w:hint="eastAsia" w:ascii="宋体" w:hAnsi="宋体" w:cs="宋体"/>
                <w:szCs w:val="21"/>
              </w:rPr>
              <w:t>型号：IBMX3850 X5 ServeRAID M5014 SAS/SATAController</w:t>
            </w:r>
          </w:p>
        </w:tc>
        <w:tc>
          <w:tcPr>
            <w:tcW w:w="709" w:type="dxa"/>
            <w:vAlign w:val="center"/>
          </w:tcPr>
          <w:p>
            <w:pPr>
              <w:snapToGrid w:val="0"/>
              <w:jc w:val="center"/>
              <w:rPr>
                <w:rFonts w:ascii="宋体" w:hAnsi="宋体" w:cs="宋体"/>
                <w:szCs w:val="21"/>
              </w:rPr>
            </w:pPr>
            <w:r>
              <w:rPr>
                <w:rFonts w:hint="eastAsia" w:ascii="宋体" w:hAnsi="宋体" w:cs="宋体"/>
                <w:szCs w:val="21"/>
              </w:rPr>
              <w:t>IBM</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2</w:t>
            </w:r>
          </w:p>
        </w:tc>
        <w:tc>
          <w:tcPr>
            <w:tcW w:w="1985" w:type="dxa"/>
            <w:vAlign w:val="center"/>
          </w:tcPr>
          <w:p>
            <w:pPr>
              <w:snapToGrid w:val="0"/>
              <w:jc w:val="center"/>
              <w:rPr>
                <w:rFonts w:ascii="宋体" w:hAnsi="宋体" w:cs="宋体"/>
                <w:szCs w:val="21"/>
              </w:rPr>
            </w:pPr>
            <w:r>
              <w:rPr>
                <w:rFonts w:hint="eastAsia" w:ascii="宋体" w:hAnsi="宋体" w:cs="宋体"/>
                <w:szCs w:val="21"/>
              </w:rPr>
              <w:t>服务器电源</w:t>
            </w:r>
          </w:p>
        </w:tc>
        <w:tc>
          <w:tcPr>
            <w:tcW w:w="4819" w:type="dxa"/>
            <w:vAlign w:val="center"/>
          </w:tcPr>
          <w:p>
            <w:pPr>
              <w:snapToGrid w:val="0"/>
              <w:jc w:val="center"/>
              <w:rPr>
                <w:rFonts w:ascii="宋体" w:hAnsi="宋体" w:cs="宋体"/>
                <w:szCs w:val="21"/>
              </w:rPr>
            </w:pPr>
            <w:r>
              <w:rPr>
                <w:rFonts w:hint="eastAsia" w:ascii="宋体" w:hAnsi="宋体" w:cs="宋体"/>
                <w:szCs w:val="21"/>
              </w:rPr>
              <w:t>型号：IBMX3850 X5</w:t>
            </w:r>
          </w:p>
          <w:p>
            <w:pPr>
              <w:snapToGrid w:val="0"/>
              <w:jc w:val="center"/>
              <w:rPr>
                <w:rFonts w:ascii="宋体" w:hAnsi="宋体" w:cs="宋体"/>
                <w:szCs w:val="21"/>
              </w:rPr>
            </w:pPr>
            <w:r>
              <w:rPr>
                <w:rFonts w:hint="eastAsia" w:ascii="宋体" w:hAnsi="宋体" w:cs="宋体"/>
                <w:szCs w:val="21"/>
              </w:rPr>
              <w:t>规格：1975W 热插拔电源 (带1根 PDU电源线) 1975W 220V 2/2</w:t>
            </w:r>
          </w:p>
        </w:tc>
        <w:tc>
          <w:tcPr>
            <w:tcW w:w="709" w:type="dxa"/>
            <w:vAlign w:val="center"/>
          </w:tcPr>
          <w:p>
            <w:pPr>
              <w:snapToGrid w:val="0"/>
              <w:jc w:val="center"/>
              <w:rPr>
                <w:rFonts w:ascii="宋体" w:hAnsi="宋体" w:cs="宋体"/>
                <w:szCs w:val="21"/>
              </w:rPr>
            </w:pPr>
            <w:r>
              <w:rPr>
                <w:rFonts w:hint="eastAsia" w:ascii="宋体" w:hAnsi="宋体" w:cs="宋体"/>
                <w:szCs w:val="21"/>
              </w:rPr>
              <w:t>IBM</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3</w:t>
            </w:r>
          </w:p>
        </w:tc>
        <w:tc>
          <w:tcPr>
            <w:tcW w:w="1985" w:type="dxa"/>
            <w:vAlign w:val="center"/>
          </w:tcPr>
          <w:p>
            <w:pPr>
              <w:snapToGrid w:val="0"/>
              <w:jc w:val="center"/>
              <w:rPr>
                <w:rFonts w:ascii="宋体" w:hAnsi="宋体" w:cs="宋体"/>
                <w:szCs w:val="21"/>
              </w:rPr>
            </w:pPr>
            <w:r>
              <w:rPr>
                <w:rFonts w:hint="eastAsia" w:ascii="宋体" w:hAnsi="宋体" w:cs="宋体"/>
                <w:szCs w:val="21"/>
              </w:rPr>
              <w:t>服务器硬盘</w:t>
            </w:r>
          </w:p>
        </w:tc>
        <w:tc>
          <w:tcPr>
            <w:tcW w:w="4819" w:type="dxa"/>
            <w:vAlign w:val="center"/>
          </w:tcPr>
          <w:p>
            <w:pPr>
              <w:snapToGrid w:val="0"/>
              <w:jc w:val="center"/>
              <w:rPr>
                <w:rFonts w:ascii="宋体" w:hAnsi="宋体" w:cs="宋体"/>
                <w:szCs w:val="21"/>
              </w:rPr>
            </w:pPr>
            <w:r>
              <w:rPr>
                <w:rFonts w:hint="eastAsia" w:ascii="宋体" w:hAnsi="宋体" w:cs="宋体"/>
                <w:szCs w:val="21"/>
              </w:rPr>
              <w:t>型号：V7000  600GB 10K 6Gb SAS FRU 85Y5864</w:t>
            </w:r>
          </w:p>
        </w:tc>
        <w:tc>
          <w:tcPr>
            <w:tcW w:w="709" w:type="dxa"/>
            <w:vAlign w:val="center"/>
          </w:tcPr>
          <w:p>
            <w:pPr>
              <w:snapToGrid w:val="0"/>
              <w:jc w:val="center"/>
              <w:rPr>
                <w:rFonts w:ascii="宋体" w:hAnsi="宋体" w:cs="宋体"/>
                <w:szCs w:val="21"/>
              </w:rPr>
            </w:pPr>
            <w:r>
              <w:rPr>
                <w:rFonts w:hint="eastAsia" w:ascii="宋体" w:hAnsi="宋体" w:cs="宋体"/>
                <w:szCs w:val="21"/>
              </w:rPr>
              <w:t>IBM</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4</w:t>
            </w:r>
          </w:p>
        </w:tc>
        <w:tc>
          <w:tcPr>
            <w:tcW w:w="1985" w:type="dxa"/>
            <w:vAlign w:val="center"/>
          </w:tcPr>
          <w:p>
            <w:pPr>
              <w:snapToGrid w:val="0"/>
              <w:jc w:val="center"/>
              <w:rPr>
                <w:rFonts w:ascii="宋体" w:hAnsi="宋体" w:cs="宋体"/>
                <w:szCs w:val="21"/>
              </w:rPr>
            </w:pPr>
            <w:r>
              <w:rPr>
                <w:rFonts w:hint="eastAsia" w:ascii="宋体" w:hAnsi="宋体" w:cs="宋体"/>
                <w:szCs w:val="21"/>
              </w:rPr>
              <w:t>服务器硬盘</w:t>
            </w:r>
          </w:p>
        </w:tc>
        <w:tc>
          <w:tcPr>
            <w:tcW w:w="4819" w:type="dxa"/>
            <w:vAlign w:val="center"/>
          </w:tcPr>
          <w:p>
            <w:pPr>
              <w:snapToGrid w:val="0"/>
              <w:jc w:val="center"/>
              <w:rPr>
                <w:rFonts w:ascii="宋体" w:hAnsi="宋体" w:cs="宋体"/>
                <w:szCs w:val="21"/>
              </w:rPr>
            </w:pPr>
            <w:r>
              <w:rPr>
                <w:rFonts w:hint="eastAsia" w:ascii="宋体" w:hAnsi="宋体" w:cs="宋体"/>
                <w:szCs w:val="21"/>
              </w:rPr>
              <w:t>型号：IBMX3850 X5   300GB 2.5in SFF Slim-HS10K 6Gbps SAS HDD</w:t>
            </w:r>
          </w:p>
        </w:tc>
        <w:tc>
          <w:tcPr>
            <w:tcW w:w="709" w:type="dxa"/>
            <w:vAlign w:val="center"/>
          </w:tcPr>
          <w:p>
            <w:pPr>
              <w:snapToGrid w:val="0"/>
              <w:jc w:val="center"/>
              <w:rPr>
                <w:rFonts w:ascii="宋体" w:hAnsi="宋体" w:cs="宋体"/>
                <w:szCs w:val="21"/>
              </w:rPr>
            </w:pPr>
            <w:r>
              <w:rPr>
                <w:rFonts w:hint="eastAsia" w:ascii="宋体" w:hAnsi="宋体" w:cs="宋体"/>
                <w:szCs w:val="21"/>
              </w:rPr>
              <w:t>IBM</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5</w:t>
            </w:r>
          </w:p>
        </w:tc>
        <w:tc>
          <w:tcPr>
            <w:tcW w:w="1985" w:type="dxa"/>
            <w:vAlign w:val="center"/>
          </w:tcPr>
          <w:p>
            <w:pPr>
              <w:snapToGrid w:val="0"/>
              <w:jc w:val="center"/>
              <w:rPr>
                <w:rFonts w:ascii="宋体" w:hAnsi="宋体" w:cs="宋体"/>
                <w:szCs w:val="21"/>
              </w:rPr>
            </w:pPr>
            <w:r>
              <w:rPr>
                <w:rFonts w:hint="eastAsia" w:ascii="宋体" w:hAnsi="宋体" w:cs="宋体"/>
                <w:szCs w:val="21"/>
              </w:rPr>
              <w:t>光电转换器</w:t>
            </w:r>
          </w:p>
        </w:tc>
        <w:tc>
          <w:tcPr>
            <w:tcW w:w="4819" w:type="dxa"/>
            <w:vAlign w:val="center"/>
          </w:tcPr>
          <w:p>
            <w:pPr>
              <w:snapToGrid w:val="0"/>
              <w:jc w:val="center"/>
              <w:rPr>
                <w:rFonts w:ascii="宋体" w:hAnsi="宋体" w:cs="宋体"/>
                <w:szCs w:val="21"/>
              </w:rPr>
            </w:pPr>
            <w:r>
              <w:rPr>
                <w:rFonts w:hint="eastAsia" w:ascii="宋体" w:hAnsi="宋体" w:cs="宋体"/>
                <w:szCs w:val="21"/>
              </w:rPr>
              <w:t>MOXA.IMC-21-M-SC</w:t>
            </w:r>
          </w:p>
        </w:tc>
        <w:tc>
          <w:tcPr>
            <w:tcW w:w="709" w:type="dxa"/>
            <w:vAlign w:val="center"/>
          </w:tcPr>
          <w:p>
            <w:pPr>
              <w:snapToGrid w:val="0"/>
              <w:jc w:val="center"/>
              <w:rPr>
                <w:rFonts w:ascii="宋体" w:hAnsi="宋体" w:cs="宋体"/>
                <w:szCs w:val="21"/>
              </w:rPr>
            </w:pPr>
            <w:r>
              <w:rPr>
                <w:rFonts w:hint="eastAsia" w:ascii="宋体" w:hAnsi="宋体" w:cs="宋体"/>
                <w:szCs w:val="21"/>
              </w:rPr>
              <w:t>MOXA</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6</w:t>
            </w:r>
          </w:p>
        </w:tc>
        <w:tc>
          <w:tcPr>
            <w:tcW w:w="1985" w:type="dxa"/>
          </w:tcPr>
          <w:p>
            <w:pPr>
              <w:snapToGrid w:val="0"/>
              <w:jc w:val="center"/>
              <w:rPr>
                <w:rFonts w:ascii="宋体" w:hAnsi="宋体" w:cs="宋体"/>
                <w:szCs w:val="21"/>
              </w:rPr>
            </w:pPr>
            <w:r>
              <w:rPr>
                <w:rFonts w:hint="eastAsia" w:ascii="宋体" w:hAnsi="宋体" w:cs="宋体"/>
                <w:szCs w:val="21"/>
              </w:rPr>
              <w:t>磁盘阵列电源</w:t>
            </w:r>
          </w:p>
        </w:tc>
        <w:tc>
          <w:tcPr>
            <w:tcW w:w="4819" w:type="dxa"/>
            <w:vAlign w:val="center"/>
          </w:tcPr>
          <w:p>
            <w:pPr>
              <w:snapToGrid w:val="0"/>
              <w:jc w:val="center"/>
              <w:rPr>
                <w:rFonts w:ascii="宋体" w:hAnsi="宋体" w:cs="宋体"/>
                <w:szCs w:val="21"/>
              </w:rPr>
            </w:pPr>
            <w:r>
              <w:rPr>
                <w:rFonts w:hint="eastAsia" w:ascii="宋体" w:hAnsi="宋体" w:cs="宋体"/>
                <w:szCs w:val="21"/>
              </w:rPr>
              <w:t>型号：IBM V7000电源，764W Power Supply Unit,Fru(85Y5847)，SP-PCM2-HE764-AC-HEP SPAXRTX-07AG</w:t>
            </w:r>
          </w:p>
        </w:tc>
        <w:tc>
          <w:tcPr>
            <w:tcW w:w="709" w:type="dxa"/>
            <w:vAlign w:val="center"/>
          </w:tcPr>
          <w:p>
            <w:pPr>
              <w:snapToGrid w:val="0"/>
              <w:jc w:val="center"/>
              <w:rPr>
                <w:rFonts w:ascii="宋体" w:hAnsi="宋体" w:cs="宋体"/>
                <w:szCs w:val="21"/>
              </w:rPr>
            </w:pPr>
            <w:r>
              <w:rPr>
                <w:rFonts w:hint="eastAsia" w:ascii="宋体" w:hAnsi="宋体" w:cs="宋体"/>
                <w:szCs w:val="21"/>
              </w:rPr>
              <w:t>IBM</w:t>
            </w:r>
          </w:p>
        </w:tc>
        <w:tc>
          <w:tcPr>
            <w:tcW w:w="730" w:type="dxa"/>
          </w:tcPr>
          <w:p>
            <w:pPr>
              <w:snapToGrid w:val="0"/>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napToGrid w:val="0"/>
              <w:jc w:val="center"/>
              <w:rPr>
                <w:rFonts w:ascii="宋体" w:hAnsi="宋体" w:cs="宋体"/>
                <w:szCs w:val="21"/>
              </w:rPr>
            </w:pPr>
            <w:r>
              <w:rPr>
                <w:rFonts w:hint="eastAsia" w:ascii="宋体" w:hAnsi="宋体" w:cs="宋体"/>
                <w:szCs w:val="21"/>
              </w:rPr>
              <w:t>7</w:t>
            </w:r>
          </w:p>
        </w:tc>
        <w:tc>
          <w:tcPr>
            <w:tcW w:w="1985" w:type="dxa"/>
          </w:tcPr>
          <w:p>
            <w:pPr>
              <w:snapToGrid w:val="0"/>
              <w:jc w:val="center"/>
              <w:rPr>
                <w:rFonts w:ascii="宋体" w:hAnsi="宋体" w:cs="宋体"/>
                <w:szCs w:val="21"/>
              </w:rPr>
            </w:pPr>
            <w:r>
              <w:rPr>
                <w:rFonts w:hint="eastAsia" w:ascii="宋体" w:hAnsi="宋体" w:cs="宋体"/>
                <w:szCs w:val="21"/>
              </w:rPr>
              <w:t>服务器硬盘</w:t>
            </w:r>
          </w:p>
        </w:tc>
        <w:tc>
          <w:tcPr>
            <w:tcW w:w="4819" w:type="dxa"/>
          </w:tcPr>
          <w:p>
            <w:pPr>
              <w:snapToGrid w:val="0"/>
              <w:jc w:val="center"/>
              <w:rPr>
                <w:rFonts w:ascii="宋体" w:hAnsi="宋体" w:cs="宋体"/>
                <w:szCs w:val="21"/>
              </w:rPr>
            </w:pPr>
            <w:r>
              <w:rPr>
                <w:rFonts w:hint="eastAsia" w:ascii="宋体" w:hAnsi="宋体" w:cs="宋体"/>
                <w:szCs w:val="21"/>
              </w:rPr>
              <w:t>型号：IBM P740</w:t>
            </w:r>
          </w:p>
          <w:p>
            <w:pPr>
              <w:snapToGrid w:val="0"/>
              <w:jc w:val="center"/>
              <w:rPr>
                <w:rFonts w:ascii="宋体" w:hAnsi="宋体" w:cs="宋体"/>
                <w:szCs w:val="21"/>
              </w:rPr>
            </w:pPr>
            <w:r>
              <w:rPr>
                <w:rFonts w:hint="eastAsia" w:ascii="宋体" w:hAnsi="宋体" w:cs="宋体"/>
                <w:szCs w:val="21"/>
              </w:rPr>
              <w:t>146GB 15K RPM SFF SAS Disk Drive (AIX/Linux)</w:t>
            </w:r>
          </w:p>
        </w:tc>
        <w:tc>
          <w:tcPr>
            <w:tcW w:w="709" w:type="dxa"/>
          </w:tcPr>
          <w:p>
            <w:pPr>
              <w:snapToGrid w:val="0"/>
              <w:jc w:val="center"/>
              <w:rPr>
                <w:rFonts w:ascii="宋体" w:hAnsi="宋体" w:cs="宋体"/>
                <w:szCs w:val="21"/>
              </w:rPr>
            </w:pPr>
            <w:r>
              <w:rPr>
                <w:rFonts w:hint="eastAsia" w:ascii="宋体" w:hAnsi="宋体" w:cs="宋体"/>
                <w:szCs w:val="21"/>
              </w:rPr>
              <w:t>服务器硬盘</w:t>
            </w:r>
          </w:p>
        </w:tc>
        <w:tc>
          <w:tcPr>
            <w:tcW w:w="730" w:type="dxa"/>
          </w:tcPr>
          <w:p>
            <w:pPr>
              <w:snapToGrid w:val="0"/>
              <w:jc w:val="center"/>
              <w:rPr>
                <w:rFonts w:ascii="宋体" w:hAnsi="宋体" w:cs="宋体"/>
                <w:szCs w:val="21"/>
              </w:rPr>
            </w:pPr>
            <w:r>
              <w:rPr>
                <w:rFonts w:hint="eastAsia" w:ascii="宋体" w:hAnsi="宋体" w:cs="宋体"/>
                <w:szCs w:val="21"/>
              </w:rPr>
              <w:t>1</w:t>
            </w:r>
          </w:p>
        </w:tc>
      </w:tr>
    </w:tbl>
    <w:p>
      <w:pPr>
        <w:pStyle w:val="4"/>
        <w:keepNext w:val="0"/>
        <w:keepLines w:val="0"/>
        <w:tabs>
          <w:tab w:val="left" w:pos="120"/>
          <w:tab w:val="left" w:pos="1200"/>
          <w:tab w:val="left" w:pos="2340"/>
        </w:tabs>
        <w:ind w:firstLine="420" w:firstLineChars="200"/>
        <w:rPr>
          <w:rFonts w:ascii="宋体" w:hAnsi="宋体" w:cs="宋体"/>
          <w:b w:val="0"/>
          <w:sz w:val="21"/>
          <w:szCs w:val="21"/>
        </w:rPr>
      </w:pPr>
      <w:r>
        <w:rPr>
          <w:rFonts w:hint="eastAsia" w:ascii="宋体" w:hAnsi="宋体" w:cs="宋体"/>
          <w:b w:val="0"/>
          <w:sz w:val="21"/>
          <w:szCs w:val="21"/>
        </w:rPr>
        <w:t>附件3：《日常管理考核标准》</w:t>
      </w:r>
      <w:bookmarkEnd w:id="89"/>
      <w:bookmarkEnd w:id="90"/>
    </w:p>
    <w:tbl>
      <w:tblPr>
        <w:tblStyle w:val="46"/>
        <w:tblW w:w="9427" w:type="dxa"/>
        <w:jc w:val="center"/>
        <w:tblLayout w:type="fixed"/>
        <w:tblCellMar>
          <w:top w:w="15" w:type="dxa"/>
          <w:left w:w="15" w:type="dxa"/>
          <w:bottom w:w="15" w:type="dxa"/>
          <w:right w:w="15" w:type="dxa"/>
        </w:tblCellMar>
      </w:tblPr>
      <w:tblGrid>
        <w:gridCol w:w="781"/>
        <w:gridCol w:w="4479"/>
        <w:gridCol w:w="1985"/>
        <w:gridCol w:w="2182"/>
      </w:tblGrid>
      <w:tr>
        <w:tblPrEx>
          <w:tblCellMar>
            <w:top w:w="15" w:type="dxa"/>
            <w:left w:w="15" w:type="dxa"/>
            <w:bottom w:w="15" w:type="dxa"/>
            <w:right w:w="15" w:type="dxa"/>
          </w:tblCellMar>
        </w:tblPrEx>
        <w:trPr>
          <w:jc w:val="center"/>
        </w:trPr>
        <w:tc>
          <w:tcPr>
            <w:tcW w:w="9427" w:type="dxa"/>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bookmarkStart w:id="91" w:name="_Hlk8201729"/>
            <w:r>
              <w:rPr>
                <w:rFonts w:hint="eastAsia" w:ascii="宋体" w:hAnsi="宋体" w:cs="宋体"/>
                <w:b/>
                <w:color w:val="000000"/>
                <w:kern w:val="0"/>
                <w:szCs w:val="21"/>
                <w:lang w:bidi="ar"/>
              </w:rPr>
              <w:t>日常管理考核扣分标准表</w:t>
            </w:r>
          </w:p>
        </w:tc>
      </w:tr>
      <w:tr>
        <w:tblPrEx>
          <w:tblCellMar>
            <w:top w:w="15" w:type="dxa"/>
            <w:left w:w="15" w:type="dxa"/>
            <w:bottom w:w="15" w:type="dxa"/>
            <w:right w:w="15" w:type="dxa"/>
          </w:tblCellMar>
        </w:tblPrEx>
        <w:trPr>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447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考核内容</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处罚结果</w:t>
            </w:r>
          </w:p>
        </w:tc>
        <w:tc>
          <w:tcPr>
            <w:tcW w:w="21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jc w:val="center"/>
        </w:trPr>
        <w:tc>
          <w:tcPr>
            <w:tcW w:w="7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4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99.7%</w:t>
            </w:r>
            <w:r>
              <w:rPr>
                <w:rFonts w:hint="eastAsia" w:ascii="宋体" w:hAnsi="宋体" w:cs="宋体"/>
                <w:color w:val="000000"/>
                <w:kern w:val="0"/>
                <w:szCs w:val="21"/>
                <w:lang w:bidi="ar"/>
              </w:rPr>
              <w:t>≤设备可靠度指标</w:t>
            </w:r>
            <w:r>
              <w:rPr>
                <w:rFonts w:hint="eastAsia" w:ascii="宋体" w:hAnsi="宋体" w:cs="宋体"/>
                <w:color w:val="000000"/>
                <w:szCs w:val="21"/>
              </w:rPr>
              <w:t>&lt;99.8%。</w:t>
            </w:r>
          </w:p>
        </w:tc>
        <w:tc>
          <w:tcPr>
            <w:tcW w:w="1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kern w:val="0"/>
                <w:szCs w:val="21"/>
              </w:rPr>
              <w:t>低于指标扣10分</w:t>
            </w:r>
          </w:p>
        </w:tc>
        <w:tc>
          <w:tcPr>
            <w:tcW w:w="21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设备可靠度指标算法: （设备总运行时间-设备总停用时间）/设备总运行时间*100%</w:t>
            </w:r>
          </w:p>
        </w:tc>
      </w:tr>
      <w:tr>
        <w:tblPrEx>
          <w:tblCellMar>
            <w:top w:w="15" w:type="dxa"/>
            <w:left w:w="15" w:type="dxa"/>
            <w:bottom w:w="15" w:type="dxa"/>
            <w:right w:w="15" w:type="dxa"/>
          </w:tblCellMar>
        </w:tblPrEx>
        <w:trPr>
          <w:jc w:val="center"/>
        </w:trPr>
        <w:tc>
          <w:tcPr>
            <w:tcW w:w="781"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44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kern w:val="0"/>
                <w:szCs w:val="21"/>
              </w:rPr>
              <w:t>故障次数/设备数量*</w:t>
            </w:r>
            <w:r>
              <w:rPr>
                <w:rFonts w:hint="eastAsia" w:ascii="宋体" w:hAnsi="宋体" w:cs="宋体"/>
                <w:color w:val="000000"/>
                <w:szCs w:val="21"/>
              </w:rPr>
              <w:t>100%</w:t>
            </w:r>
            <w:r>
              <w:rPr>
                <w:rFonts w:hint="eastAsia" w:ascii="宋体" w:hAnsi="宋体" w:cs="宋体"/>
                <w:kern w:val="0"/>
                <w:szCs w:val="21"/>
              </w:rPr>
              <w:t>&gt;10</w:t>
            </w:r>
            <w:r>
              <w:rPr>
                <w:rFonts w:hint="eastAsia" w:ascii="宋体" w:hAnsi="宋体" w:cs="宋体"/>
                <w:color w:val="000000"/>
                <w:szCs w:val="21"/>
              </w:rPr>
              <w:t>%。</w:t>
            </w:r>
          </w:p>
        </w:tc>
        <w:tc>
          <w:tcPr>
            <w:tcW w:w="198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kern w:val="0"/>
                <w:szCs w:val="21"/>
              </w:rPr>
              <w:t>超指标扣5分，每超指标零点一加扣5分</w:t>
            </w:r>
          </w:p>
        </w:tc>
        <w:tc>
          <w:tcPr>
            <w:tcW w:w="218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kern w:val="0"/>
                <w:szCs w:val="21"/>
              </w:rPr>
              <w:t>月度考核，不含非设备原因故障</w:t>
            </w: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kern w:val="0"/>
                <w:szCs w:val="21"/>
              </w:rPr>
              <w:t>投标人人为原因直接或间接导致车站部分终端设备交易无法正常上传。</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1小时内扣5分/次</w:t>
            </w:r>
          </w:p>
          <w:p>
            <w:pPr>
              <w:adjustRightInd w:val="0"/>
              <w:snapToGrid w:val="0"/>
              <w:jc w:val="center"/>
              <w:textAlignment w:val="baseline"/>
              <w:rPr>
                <w:rFonts w:ascii="宋体" w:hAnsi="宋体" w:cs="宋体"/>
                <w:color w:val="000000"/>
                <w:szCs w:val="21"/>
              </w:rPr>
            </w:pPr>
            <w:r>
              <w:rPr>
                <w:rFonts w:hint="eastAsia" w:ascii="宋体" w:hAnsi="宋体" w:cs="宋体"/>
                <w:kern w:val="0"/>
                <w:szCs w:val="21"/>
              </w:rPr>
              <w:t>2小时内扣10分/次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如超过此标准以质量考核表标表为准。</w:t>
            </w: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投标人人为原因直接或间接导致一个及以上车站所有终端设备交易无法正常上传。</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1小时内扣5分/次</w:t>
            </w:r>
          </w:p>
          <w:p>
            <w:pPr>
              <w:adjustRightInd w:val="0"/>
              <w:snapToGrid w:val="0"/>
              <w:jc w:val="center"/>
              <w:textAlignment w:val="baseline"/>
              <w:rPr>
                <w:rFonts w:ascii="宋体" w:hAnsi="宋体" w:cs="宋体"/>
                <w:kern w:val="0"/>
                <w:szCs w:val="21"/>
              </w:rPr>
            </w:pPr>
            <w:r>
              <w:rPr>
                <w:rFonts w:hint="eastAsia" w:ascii="宋体" w:hAnsi="宋体" w:cs="宋体"/>
                <w:kern w:val="0"/>
                <w:szCs w:val="21"/>
              </w:rPr>
              <w:t>2小时内扣10分/次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如超过此标准以质量考核表标表为准。</w:t>
            </w: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投标人未按要求完成设备系统故障处理、杀毒，软件程序测试，参数版本管理、升级等工作。</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6</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投标人未及时备份或及时解决备份软件工作不稳定情况造成3日及以上天数相关数据不能实时备份。</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扣3分/次，在此基础上每增加一天扣1分</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7</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投标人维护不当导致影响线路中心系统工作站业务工作但未超过30分钟的故障。</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扣5分/次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8</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投标人未按合同要求定期驻场。</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扣2分/人次/天</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9</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招标人组织的考试，投标人人员不合格。</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扣1分/人次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10</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投标人因故障误判及其它原因浪费招标人材料或未按招标人的相关规定处置应属于招标人的材料、备件、废料以及多余材料的行为，除投标人按价赔偿招标人损失外。</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招标人对投标人视情节严重情况扣10-20分/次。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11</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投标人在招标人工作区域或公共区域应该注重仪表仪容及形象，发现工装不整、任意躺坐、嬉戏打闹、大声喧哗的。</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扣1分/人/次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12</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投标人应在招标人工作区域或公共区域注意卫生，发现乱扔垃圾、饮食、吸烟、随地吐痰。</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扣1分/人/次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13</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投标人未按期向招标人提交各级检修计划。</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14</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投标人检修计划未按招标人规定和要求编制。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扣0.5分/每处</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15</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投标人未征得招标人同意私自调整检修计划。</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16</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投标人未按检修计划如期完成当日检修作业且未向招标人报备。</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17</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每月每类设备检修未达到完成率100%（按设备台数计算）。</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扣3分/次，每下降1个百分点加扣2分</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18</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投标人违反招标人工作流程、违反操作规范、安全管理等相关管理规定实施检修作业。</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19</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投标人未按照招标人检修规程、作业标准书、检修作业工艺等检修标准实施检修作业或质量达不到标准要求。</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扣0.5-3分/台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20</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检修过程中发生投标人人为损坏设备部件，除赔偿原部件费用外并进行考核扣分。</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扣0.5-3分/次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21</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kern w:val="0"/>
                <w:szCs w:val="21"/>
              </w:rPr>
              <w:t>投标人在巡检、检修过程中发现设备、环境异常情况或安全隐患未及时通知招标人和处理。</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扣1-5分/次</w:t>
            </w:r>
          </w:p>
        </w:tc>
        <w:tc>
          <w:tcPr>
            <w:tcW w:w="21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22</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投标人未及时整改招标人检查发现的设备遗漏检修等检修质量问题。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23</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投标人检修设备后出现与检修项目有关的设备故障等质量问题。</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扣0.5-3分/台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24</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投标人检修工作完成后，因检修操作造成现场设备无法正常使用。</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25</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投标人设备检修完成后未检查试验或观察设备能否正常使用。</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26</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投标人检修过程中未正确使用工器具，及造成设备损坏。</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27</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投标人巡检记录、检修记录填写不完整、错误、字迹潦草不清。</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扣1分/处</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28</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投标人巡检记录、检修记录未按计划填写（视为该项作业未做）。</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29</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投标人在收到招标人整改通知后，未在三日内向招标人反馈整改结果。</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每超24小时扣1分</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30</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投标人在运营时间内故障响应≥20分钟，非运营时间内故障响应≥60分钟。</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扣5分/次，超出加扣1分/1分钟</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如超过此标准以质量考核表标表为准。</w:t>
            </w: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31</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产生跨日故障（≥24小时）。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扣8分/次/台，超出加扣5分/1小时</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32</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2小时</w:t>
            </w:r>
            <w:r>
              <w:rPr>
                <w:rFonts w:hint="eastAsia" w:ascii="宋体" w:hAnsi="宋体" w:cs="宋体"/>
                <w:kern w:val="0"/>
                <w:szCs w:val="21"/>
                <w:lang w:bidi="ar"/>
              </w:rPr>
              <w:t>≤</w:t>
            </w:r>
            <w:r>
              <w:rPr>
                <w:rFonts w:hint="eastAsia" w:ascii="宋体" w:hAnsi="宋体" w:cs="宋体"/>
                <w:kern w:val="0"/>
                <w:szCs w:val="21"/>
              </w:rPr>
              <w:t>故障维修时间＜12小时。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33</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12小时</w:t>
            </w:r>
            <w:r>
              <w:rPr>
                <w:rFonts w:hint="eastAsia" w:ascii="宋体" w:hAnsi="宋体" w:cs="宋体"/>
                <w:kern w:val="0"/>
                <w:szCs w:val="21"/>
                <w:lang w:bidi="ar"/>
              </w:rPr>
              <w:t>≤</w:t>
            </w:r>
            <w:r>
              <w:rPr>
                <w:rFonts w:hint="eastAsia" w:ascii="宋体" w:hAnsi="宋体" w:cs="宋体"/>
                <w:kern w:val="0"/>
                <w:szCs w:val="21"/>
              </w:rPr>
              <w:t>故障维修时间＜24小时。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扣5分/次/台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34</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1小时</w:t>
            </w:r>
            <w:r>
              <w:rPr>
                <w:rFonts w:hint="eastAsia" w:ascii="宋体" w:hAnsi="宋体" w:cs="宋体"/>
                <w:kern w:val="0"/>
                <w:szCs w:val="21"/>
                <w:lang w:bidi="ar"/>
              </w:rPr>
              <w:t>≤</w:t>
            </w:r>
            <w:r>
              <w:rPr>
                <w:rFonts w:hint="eastAsia" w:ascii="宋体" w:hAnsi="宋体" w:cs="宋体"/>
                <w:kern w:val="0"/>
                <w:szCs w:val="21"/>
              </w:rPr>
              <w:t>投标人原因造成故障修复时间＜2小时。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扣2分/次/台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35</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因故障隐患或模块零件磨损、老化未及时更换，造成设备反复出现故障。</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扣3分/次，在此基础上每增加1次扣2分</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36</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维修设备时由于投标人造成该设备停用。</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扣5分/台</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37</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投标人维修工作结束后没有及时正确复原设备状态，如线缆未正确绑扎、缺少螺丝、紧固件、螺丝松动等。</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38</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投标人巡检报告弄虚作假。</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扣10分/次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39</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投标人对故障分析报告中故障现象、故障原因描述不清，故障处理整改措施不到位。</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扣2分/次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40</w:t>
            </w:r>
          </w:p>
        </w:tc>
        <w:tc>
          <w:tcPr>
            <w:tcW w:w="4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投标人对设备更换部件，未及时在设备履历本记录。</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41</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1小时</w:t>
            </w:r>
            <w:r>
              <w:rPr>
                <w:rFonts w:hint="eastAsia" w:ascii="宋体" w:hAnsi="宋体" w:cs="宋体"/>
                <w:kern w:val="0"/>
                <w:szCs w:val="21"/>
                <w:lang w:bidi="ar"/>
              </w:rPr>
              <w:t>≤</w:t>
            </w:r>
            <w:r>
              <w:rPr>
                <w:rFonts w:hint="eastAsia" w:ascii="宋体" w:hAnsi="宋体" w:cs="宋体"/>
                <w:kern w:val="0"/>
                <w:szCs w:val="21"/>
              </w:rPr>
              <w:t>易损耗件到达维修现场时间＜2小时。</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扣1分/次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15" w:type="dxa"/>
            <w:left w:w="15" w:type="dxa"/>
            <w:bottom w:w="15" w:type="dxa"/>
            <w:right w:w="15"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42</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投标人未按合同要求完成对招标人的培训计划。</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扣5分/次</w:t>
            </w: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bookmarkEnd w:id="91"/>
    </w:tbl>
    <w:p>
      <w:pPr>
        <w:pStyle w:val="4"/>
        <w:keepNext w:val="0"/>
        <w:keepLines w:val="0"/>
        <w:tabs>
          <w:tab w:val="left" w:pos="120"/>
          <w:tab w:val="left" w:pos="1200"/>
          <w:tab w:val="left" w:pos="2340"/>
        </w:tabs>
        <w:ind w:firstLine="420" w:firstLineChars="200"/>
        <w:rPr>
          <w:rFonts w:ascii="宋体" w:hAnsi="宋体" w:cs="宋体"/>
          <w:b w:val="0"/>
          <w:sz w:val="21"/>
          <w:szCs w:val="21"/>
          <w:highlight w:val="yellow"/>
        </w:rPr>
      </w:pPr>
    </w:p>
    <w:p>
      <w:pPr>
        <w:pStyle w:val="3"/>
        <w:keepNext w:val="0"/>
        <w:spacing w:line="360" w:lineRule="auto"/>
        <w:ind w:firstLine="422" w:firstLineChars="200"/>
        <w:rPr>
          <w:rFonts w:ascii="宋体" w:hAnsi="宋体" w:cs="宋体"/>
          <w:bCs w:val="0"/>
          <w:sz w:val="21"/>
          <w:szCs w:val="21"/>
        </w:rPr>
        <w:sectPr>
          <w:footerReference r:id="rId11" w:type="first"/>
          <w:headerReference r:id="rId9" w:type="default"/>
          <w:footerReference r:id="rId10" w:type="default"/>
          <w:pgSz w:w="12240" w:h="15840"/>
          <w:pgMar w:top="1440" w:right="1800" w:bottom="1440" w:left="1800" w:header="720" w:footer="720" w:gutter="0"/>
          <w:cols w:space="720" w:num="1"/>
          <w:titlePg/>
          <w:docGrid w:type="lines" w:linePitch="323" w:charSpace="0"/>
        </w:sectPr>
      </w:pPr>
    </w:p>
    <w:p>
      <w:pPr>
        <w:pStyle w:val="3"/>
        <w:keepNext w:val="0"/>
        <w:spacing w:line="360" w:lineRule="auto"/>
        <w:ind w:firstLine="643" w:firstLineChars="200"/>
        <w:rPr>
          <w:rFonts w:ascii="宋体" w:hAnsi="宋体" w:cs="宋体"/>
          <w:bCs w:val="0"/>
          <w:sz w:val="32"/>
          <w:szCs w:val="32"/>
        </w:rPr>
      </w:pPr>
      <w:bookmarkStart w:id="92" w:name="_Toc19957"/>
      <w:r>
        <w:rPr>
          <w:rFonts w:hint="eastAsia" w:ascii="宋体" w:hAnsi="宋体" w:cs="宋体"/>
          <w:bCs w:val="0"/>
          <w:sz w:val="32"/>
          <w:szCs w:val="32"/>
        </w:rPr>
        <w:t>第五章  合同格式条款</w:t>
      </w:r>
      <w:bookmarkEnd w:id="92"/>
    </w:p>
    <w:p>
      <w:pPr>
        <w:adjustRightInd w:val="0"/>
        <w:snapToGrid w:val="0"/>
        <w:spacing w:line="360" w:lineRule="auto"/>
        <w:ind w:firstLine="2880" w:firstLineChars="1200"/>
        <w:jc w:val="right"/>
        <w:rPr>
          <w:rFonts w:ascii="仿宋_GB2312" w:hAnsi="仿宋_GB2312" w:eastAsia="仿宋_GB2312" w:cs="仿宋_GB2312"/>
          <w:sz w:val="22"/>
          <w:szCs w:val="18"/>
        </w:rPr>
      </w:pPr>
      <w:bookmarkStart w:id="93" w:name="_Toc30639"/>
      <w:bookmarkStart w:id="94" w:name="_Toc29208"/>
      <w:r>
        <w:rPr>
          <w:rFonts w:hint="eastAsia" w:ascii="仿宋_GB2312" w:hAnsi="仿宋_GB2312" w:eastAsia="仿宋_GB2312" w:cs="仿宋_GB2312"/>
          <w:sz w:val="24"/>
        </w:rPr>
        <w:t>合同编号:长轨运  服合[2019]  号</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rPr>
        <w:t>服务项目合同</w:t>
      </w:r>
      <w:r>
        <w:rPr>
          <w:rFonts w:hint="eastAsia" w:ascii="仿宋_GB2312" w:hAnsi="仿宋_GB2312" w:eastAsia="仿宋_GB2312" w:cs="仿宋_GB2312"/>
          <w:b/>
          <w:spacing w:val="20"/>
          <w:sz w:val="48"/>
          <w:szCs w:val="48"/>
        </w:rPr>
        <w:t xml:space="preserve"> </w:t>
      </w: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adjustRightInd w:val="0"/>
        <w:snapToGrid w:val="0"/>
        <w:spacing w:line="360" w:lineRule="auto"/>
        <w:rPr>
          <w:rFonts w:ascii="仿宋_GB2312" w:hAnsi="仿宋_GB2312" w:eastAsia="仿宋_GB2312" w:cs="仿宋_GB2312"/>
          <w:b/>
          <w:sz w:val="18"/>
          <w:szCs w:val="18"/>
        </w:rPr>
      </w:pPr>
    </w:p>
    <w:p>
      <w:pPr>
        <w:spacing w:line="360" w:lineRule="auto"/>
        <w:ind w:left="1964" w:leftChars="266" w:hanging="1405" w:hangingChars="500"/>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长沙市轨道交通1号线一期工程运营期线路核心设备（LCC系统、服务器等）维护保养服务项目(2019-2020年度)</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r>
        <w:rPr>
          <w:rFonts w:hint="eastAsia" w:ascii="仿宋_GB2312" w:hAnsi="仿宋_GB2312" w:eastAsia="仿宋_GB2312" w:cs="仿宋_GB2312"/>
          <w:b/>
          <w:sz w:val="28"/>
          <w:szCs w:val="28"/>
        </w:rPr>
        <w:t xml:space="preserve">    </w:t>
      </w: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甲    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adjustRightInd w:val="0"/>
        <w:snapToGrid w:val="0"/>
        <w:spacing w:before="120" w:beforeLines="50" w:line="360" w:lineRule="auto"/>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    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line="400" w:lineRule="exact"/>
        <w:rPr>
          <w:rFonts w:ascii="仿宋_GB2312" w:hAnsi="仿宋_GB2312" w:eastAsia="仿宋_GB2312" w:cs="仿宋_GB2312"/>
          <w:b/>
          <w:sz w:val="36"/>
          <w:szCs w:val="36"/>
        </w:rPr>
        <w:sectPr>
          <w:headerReference r:id="rId14" w:type="first"/>
          <w:footerReference r:id="rId17" w:type="first"/>
          <w:headerReference r:id="rId12" w:type="default"/>
          <w:footerReference r:id="rId15" w:type="default"/>
          <w:headerReference r:id="rId13" w:type="even"/>
          <w:footerReference r:id="rId16" w:type="even"/>
          <w:pgSz w:w="11850" w:h="16783"/>
          <w:pgMar w:top="1440" w:right="1800" w:bottom="1440" w:left="1800" w:header="851" w:footer="992" w:gutter="0"/>
          <w:cols w:space="720" w:num="1"/>
          <w:titlePg/>
          <w:docGrid w:linePitch="312" w:charSpace="0"/>
        </w:sectPr>
      </w:pPr>
    </w:p>
    <w:p>
      <w:pPr>
        <w:pStyle w:val="32"/>
        <w:spacing w:line="360" w:lineRule="auto"/>
        <w:ind w:firstLine="420" w:firstLineChars="200"/>
        <w:jc w:val="center"/>
        <w:outlineLvl w:val="0"/>
        <w:rPr>
          <w:rFonts w:ascii="宋体" w:hAnsi="宋体" w:cs="宋体"/>
          <w:szCs w:val="21"/>
        </w:rPr>
      </w:pPr>
      <w:r>
        <w:rPr>
          <w:rFonts w:hint="eastAsia" w:ascii="宋体" w:hAnsi="宋体" w:cs="宋体"/>
          <w:szCs w:val="21"/>
        </w:rPr>
        <w:t>第一部分 合同协议书</w:t>
      </w:r>
      <w:bookmarkEnd w:id="93"/>
      <w:bookmarkEnd w:id="94"/>
    </w:p>
    <w:p>
      <w:pPr>
        <w:pStyle w:val="13"/>
        <w:widowControl w:val="0"/>
        <w:snapToGrid w:val="0"/>
        <w:spacing w:line="360" w:lineRule="auto"/>
        <w:rPr>
          <w:rFonts w:ascii="宋体" w:hAnsi="宋体" w:cs="宋体"/>
          <w:b/>
          <w:sz w:val="21"/>
          <w:szCs w:val="21"/>
          <w:u w:val="single"/>
        </w:rPr>
      </w:pPr>
      <w:r>
        <w:rPr>
          <w:rFonts w:hint="eastAsia" w:ascii="宋体" w:hAnsi="宋体" w:cs="宋体"/>
          <w:b/>
          <w:sz w:val="21"/>
          <w:szCs w:val="21"/>
        </w:rPr>
        <w:t>甲方</w:t>
      </w:r>
      <w:r>
        <w:rPr>
          <w:rFonts w:hint="eastAsia" w:ascii="宋体" w:hAnsi="宋体" w:cs="宋体"/>
          <w:sz w:val="21"/>
          <w:szCs w:val="21"/>
        </w:rPr>
        <w:t>（全称）：</w:t>
      </w:r>
      <w:r>
        <w:rPr>
          <w:rFonts w:hint="eastAsia" w:ascii="宋体" w:hAnsi="宋体" w:cs="宋体"/>
          <w:sz w:val="21"/>
          <w:szCs w:val="21"/>
          <w:u w:val="single"/>
        </w:rPr>
        <w:t xml:space="preserve">            </w:t>
      </w:r>
      <w:r>
        <w:rPr>
          <w:rFonts w:hint="eastAsia" w:ascii="宋体" w:hAnsi="宋体" w:cs="宋体"/>
          <w:b/>
          <w:sz w:val="21"/>
          <w:szCs w:val="21"/>
          <w:u w:val="single"/>
        </w:rPr>
        <w:t xml:space="preserve">                      </w:t>
      </w:r>
    </w:p>
    <w:p>
      <w:pPr>
        <w:autoSpaceDE w:val="0"/>
        <w:autoSpaceDN w:val="0"/>
        <w:snapToGrid w:val="0"/>
        <w:spacing w:line="360" w:lineRule="auto"/>
        <w:ind w:firstLine="422" w:firstLineChars="200"/>
        <w:textAlignment w:val="bottom"/>
        <w:rPr>
          <w:rFonts w:ascii="宋体" w:hAnsi="宋体" w:cs="宋体"/>
          <w:szCs w:val="21"/>
        </w:rPr>
      </w:pPr>
      <w:r>
        <w:rPr>
          <w:rFonts w:hint="eastAsia" w:ascii="宋体" w:hAnsi="宋体" w:cs="宋体"/>
          <w:b/>
          <w:szCs w:val="21"/>
        </w:rPr>
        <w:t>乙方</w:t>
      </w:r>
      <w:r>
        <w:rPr>
          <w:rFonts w:hint="eastAsia" w:ascii="宋体" w:hAnsi="宋体" w:cs="宋体"/>
          <w:szCs w:val="21"/>
        </w:rPr>
        <w:t>（全称）：</w:t>
      </w:r>
      <w:r>
        <w:rPr>
          <w:rFonts w:hint="eastAsia" w:ascii="宋体" w:hAnsi="宋体" w:cs="宋体"/>
          <w:szCs w:val="21"/>
          <w:u w:val="single"/>
        </w:rPr>
        <w:t xml:space="preserve">                                   </w:t>
      </w:r>
    </w:p>
    <w:p>
      <w:pPr>
        <w:autoSpaceDE w:val="0"/>
        <w:autoSpaceDN w:val="0"/>
        <w:snapToGrid w:val="0"/>
        <w:spacing w:line="360" w:lineRule="auto"/>
        <w:ind w:firstLine="420" w:firstLineChars="200"/>
        <w:textAlignment w:val="bottom"/>
        <w:rPr>
          <w:rFonts w:ascii="宋体" w:hAnsi="宋体" w:cs="宋体"/>
          <w:szCs w:val="21"/>
          <w:u w:val="single"/>
          <w:lang w:val="en-GB"/>
        </w:rPr>
      </w:pPr>
      <w:r>
        <w:rPr>
          <w:rFonts w:hint="eastAsia" w:ascii="宋体" w:hAnsi="宋体" w:cs="宋体"/>
          <w:szCs w:val="21"/>
        </w:rPr>
        <w:t>本合同于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日由甲方和乙方依照《中华人民共和国合同法》及其他有关法律、行政法规，遵循平等、自愿、公平和诚实信用的原则，按下述条款和条件在</w:t>
      </w:r>
      <w:r>
        <w:rPr>
          <w:rFonts w:hint="eastAsia" w:ascii="宋体" w:hAnsi="宋体" w:cs="宋体"/>
          <w:szCs w:val="21"/>
          <w:u w:val="single"/>
        </w:rPr>
        <w:t>湖南省长沙市雨花区</w:t>
      </w:r>
      <w:r>
        <w:rPr>
          <w:rFonts w:hint="eastAsia" w:ascii="宋体" w:hAnsi="宋体" w:cs="宋体"/>
          <w:szCs w:val="21"/>
        </w:rPr>
        <w:t>签署。</w:t>
      </w:r>
    </w:p>
    <w:p>
      <w:pPr>
        <w:snapToGrid w:val="0"/>
        <w:spacing w:line="360" w:lineRule="auto"/>
        <w:ind w:firstLine="420" w:firstLineChars="200"/>
        <w:rPr>
          <w:rFonts w:ascii="宋体" w:hAnsi="宋体" w:cs="宋体"/>
          <w:szCs w:val="21"/>
        </w:rPr>
      </w:pPr>
      <w:r>
        <w:rPr>
          <w:rFonts w:hint="eastAsia" w:ascii="宋体" w:hAnsi="宋体" w:cs="宋体"/>
          <w:szCs w:val="21"/>
        </w:rPr>
        <w:t>一、项目概况：</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二、服务范围：</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szCs w:val="21"/>
        </w:rPr>
        <w:t>三、服务期限：</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szCs w:val="21"/>
        </w:rPr>
      </w:pPr>
      <w:r>
        <w:rPr>
          <w:rFonts w:hint="eastAsia" w:ascii="宋体" w:hAnsi="宋体" w:cs="宋体"/>
          <w:kern w:val="0"/>
          <w:szCs w:val="21"/>
        </w:rPr>
        <w:t>四、</w:t>
      </w:r>
      <w:r>
        <w:rPr>
          <w:rFonts w:hint="eastAsia" w:ascii="宋体" w:hAnsi="宋体" w:cs="宋体"/>
          <w:szCs w:val="21"/>
        </w:rPr>
        <w:t>下述文件是本合同的一部分，一起阅读和解释：</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（1）补充协议（如果有）；</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（2）合同协议书;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（3）中选通知书;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（4）合同条款;</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（5）技术规格书;</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（6）签约合同价清单;</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（7）合同其他附件及乙方供应商按合同附录格式及要求出具的文件;</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（8）招标文件、澄清与答疑文件及其它补充资料；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（9）投标文件、澄清文件及其它补充资料；</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（10）批准的图纸（如果有）；</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（11）其他构成本合同的文件。</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五、考虑到甲方将按照本合同向乙方支付，乙方在此保证全部按照合同的规定向甲方提供货物和服务，并修补缺陷。</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六、考虑到乙方提供的货物和服务并修补缺陷，甲方在此保证按照合同规定的时间和方式向乙方支付合同价格或其它按合同规定应支付的金额。</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七、本合同正本</w:t>
      </w:r>
      <w:r>
        <w:rPr>
          <w:rFonts w:hint="eastAsia" w:ascii="宋体" w:hAnsi="宋体" w:cs="宋体"/>
          <w:szCs w:val="21"/>
          <w:u w:val="single"/>
        </w:rPr>
        <w:t>二</w:t>
      </w:r>
      <w:r>
        <w:rPr>
          <w:rFonts w:hint="eastAsia" w:ascii="宋体" w:hAnsi="宋体" w:cs="宋体"/>
          <w:szCs w:val="21"/>
        </w:rPr>
        <w:t>份、副本</w:t>
      </w:r>
      <w:r>
        <w:rPr>
          <w:rFonts w:hint="eastAsia" w:ascii="宋体" w:hAnsi="宋体" w:cs="宋体"/>
          <w:szCs w:val="21"/>
          <w:u w:val="single"/>
        </w:rPr>
        <w:t>六</w:t>
      </w:r>
      <w:r>
        <w:rPr>
          <w:rFonts w:hint="eastAsia" w:ascii="宋体" w:hAnsi="宋体" w:cs="宋体"/>
          <w:szCs w:val="21"/>
        </w:rPr>
        <w:t>份，甲方持正本</w:t>
      </w:r>
      <w:r>
        <w:rPr>
          <w:rFonts w:hint="eastAsia" w:ascii="宋体" w:hAnsi="宋体" w:cs="宋体"/>
          <w:szCs w:val="21"/>
          <w:u w:val="single"/>
        </w:rPr>
        <w:t>一</w:t>
      </w:r>
      <w:r>
        <w:rPr>
          <w:rFonts w:hint="eastAsia" w:ascii="宋体" w:hAnsi="宋体" w:cs="宋体"/>
          <w:szCs w:val="21"/>
        </w:rPr>
        <w:t>份、副本</w:t>
      </w:r>
      <w:r>
        <w:rPr>
          <w:rFonts w:hint="eastAsia" w:ascii="宋体" w:hAnsi="宋体" w:cs="宋体"/>
          <w:szCs w:val="21"/>
          <w:u w:val="single"/>
        </w:rPr>
        <w:t>五</w:t>
      </w:r>
      <w:r>
        <w:rPr>
          <w:rFonts w:hint="eastAsia" w:ascii="宋体" w:hAnsi="宋体" w:cs="宋体"/>
          <w:szCs w:val="21"/>
        </w:rPr>
        <w:t>份，乙方持正本</w:t>
      </w:r>
      <w:r>
        <w:rPr>
          <w:rFonts w:hint="eastAsia" w:ascii="宋体" w:hAnsi="宋体" w:cs="宋体"/>
          <w:szCs w:val="21"/>
          <w:u w:val="single"/>
        </w:rPr>
        <w:t>一</w:t>
      </w:r>
      <w:r>
        <w:rPr>
          <w:rFonts w:hint="eastAsia" w:ascii="宋体" w:hAnsi="宋体" w:cs="宋体"/>
          <w:szCs w:val="21"/>
        </w:rPr>
        <w:t>份、副本</w:t>
      </w:r>
      <w:r>
        <w:rPr>
          <w:rFonts w:hint="eastAsia" w:ascii="宋体" w:hAnsi="宋体" w:cs="宋体"/>
          <w:szCs w:val="21"/>
          <w:u w:val="single"/>
        </w:rPr>
        <w:t>一</w:t>
      </w:r>
      <w:r>
        <w:rPr>
          <w:rFonts w:hint="eastAsia" w:ascii="宋体" w:hAnsi="宋体" w:cs="宋体"/>
          <w:szCs w:val="21"/>
        </w:rPr>
        <w:t>份。合同正本与副本具有同等效力，当合同副本与正本之间存有差异时，以合同正本为准。</w:t>
      </w:r>
    </w:p>
    <w:p>
      <w:pPr>
        <w:tabs>
          <w:tab w:val="left" w:pos="1248"/>
        </w:tabs>
        <w:adjustRightInd w:val="0"/>
        <w:snapToGrid w:val="0"/>
        <w:spacing w:line="360" w:lineRule="auto"/>
        <w:ind w:firstLine="420" w:firstLineChars="200"/>
        <w:rPr>
          <w:rFonts w:ascii="宋体" w:hAnsi="宋体" w:cs="宋体"/>
          <w:szCs w:val="21"/>
        </w:rPr>
      </w:pPr>
      <w:r>
        <w:rPr>
          <w:rFonts w:hint="eastAsia" w:ascii="宋体" w:hAnsi="宋体" w:cs="宋体"/>
          <w:szCs w:val="21"/>
        </w:rPr>
        <w:t>八、本合同自</w:t>
      </w:r>
      <w:r>
        <w:rPr>
          <w:rFonts w:hint="eastAsia" w:ascii="宋体" w:hAnsi="宋体" w:cs="宋体"/>
          <w:szCs w:val="21"/>
          <w:u w:val="single"/>
        </w:rPr>
        <w:t>双方法定代表人或其授权代表签字，加盖合同专用章/公章后</w:t>
      </w:r>
      <w:r>
        <w:rPr>
          <w:rFonts w:hint="eastAsia" w:ascii="宋体" w:hAnsi="宋体" w:cs="宋体"/>
          <w:szCs w:val="21"/>
        </w:rPr>
        <w:t>生效。</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firstLine="420" w:firstLineChars="200"/>
              <w:rPr>
                <w:rFonts w:hAnsi="宋体" w:cs="宋体"/>
              </w:rPr>
            </w:pPr>
            <w:r>
              <w:rPr>
                <w:rFonts w:hint="eastAsia" w:hAnsi="宋体" w:cs="宋体"/>
              </w:rPr>
              <w:t>甲方：(盖章)</w:t>
            </w:r>
          </w:p>
          <w:p>
            <w:pPr>
              <w:pStyle w:val="25"/>
              <w:snapToGrid w:val="0"/>
              <w:spacing w:line="360" w:lineRule="auto"/>
              <w:ind w:firstLine="420" w:firstLineChars="200"/>
              <w:rPr>
                <w:rFonts w:hAnsi="宋体" w:cs="宋体"/>
              </w:rPr>
            </w:pPr>
            <w:r>
              <w:rPr>
                <w:rFonts w:hint="eastAsia" w:hAnsi="宋体" w:cs="宋体"/>
              </w:rPr>
              <w:t xml:space="preserve"> </w:t>
            </w:r>
          </w:p>
        </w:tc>
        <w:tc>
          <w:tcPr>
            <w:tcW w:w="4252" w:type="dxa"/>
            <w:tcBorders>
              <w:top w:val="nil"/>
              <w:left w:val="nil"/>
              <w:bottom w:val="nil"/>
              <w:right w:val="nil"/>
            </w:tcBorders>
          </w:tcPr>
          <w:p>
            <w:pPr>
              <w:pStyle w:val="25"/>
              <w:snapToGrid w:val="0"/>
              <w:spacing w:line="360" w:lineRule="auto"/>
              <w:ind w:firstLine="420" w:firstLineChars="200"/>
              <w:rPr>
                <w:rFonts w:hAnsi="宋体" w:cs="宋体"/>
              </w:rPr>
            </w:pPr>
            <w:r>
              <w:rPr>
                <w:rFonts w:hint="eastAsia" w:hAnsi="宋体" w:cs="宋体"/>
              </w:rPr>
              <w:t>乙方：（盖章）</w:t>
            </w:r>
          </w:p>
          <w:p>
            <w:pPr>
              <w:pStyle w:val="25"/>
              <w:snapToGrid w:val="0"/>
              <w:spacing w:line="360" w:lineRule="auto"/>
              <w:ind w:firstLine="420" w:firstLineChars="200"/>
              <w:rPr>
                <w:rFonts w:hAnsi="宋体" w:cs="宋体"/>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firstLine="420" w:firstLineChars="200"/>
              <w:rPr>
                <w:rFonts w:hAnsi="宋体" w:cs="宋体"/>
              </w:rPr>
            </w:pPr>
            <w:r>
              <w:rPr>
                <w:rFonts w:hint="eastAsia" w:hAnsi="宋体" w:cs="宋体"/>
              </w:rPr>
              <w:t>法定代表人或其授权代表：</w:t>
            </w:r>
          </w:p>
          <w:p>
            <w:pPr>
              <w:pStyle w:val="25"/>
              <w:snapToGrid w:val="0"/>
              <w:spacing w:line="360" w:lineRule="auto"/>
              <w:ind w:left="19" w:leftChars="9" w:firstLine="420" w:firstLineChars="200"/>
              <w:rPr>
                <w:rFonts w:hAnsi="宋体" w:cs="宋体"/>
              </w:rPr>
            </w:pP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法定代表人或其授权代表：</w:t>
            </w:r>
          </w:p>
          <w:p>
            <w:pPr>
              <w:pStyle w:val="25"/>
              <w:snapToGrid w:val="0"/>
              <w:spacing w:line="360" w:lineRule="auto"/>
              <w:ind w:left="34" w:leftChars="16" w:firstLine="420" w:firstLineChars="200"/>
              <w:rPr>
                <w:rFonts w:hAnsi="宋体" w:cs="宋体"/>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firstLine="420" w:firstLineChars="200"/>
              <w:rPr>
                <w:rFonts w:hAnsi="宋体" w:cs="宋体"/>
              </w:rPr>
            </w:pPr>
            <w:r>
              <w:rPr>
                <w:rFonts w:hint="eastAsia" w:hAnsi="宋体" w:cs="宋体"/>
              </w:rPr>
              <w:t xml:space="preserve">地址：  </w:t>
            </w:r>
          </w:p>
        </w:tc>
        <w:tc>
          <w:tcPr>
            <w:tcW w:w="4252" w:type="dxa"/>
            <w:tcBorders>
              <w:top w:val="nil"/>
              <w:left w:val="nil"/>
              <w:bottom w:val="nil"/>
              <w:right w:val="nil"/>
            </w:tcBorders>
          </w:tcPr>
          <w:p>
            <w:pPr>
              <w:pStyle w:val="25"/>
              <w:snapToGrid w:val="0"/>
              <w:spacing w:line="360" w:lineRule="auto"/>
              <w:ind w:firstLine="420" w:firstLineChars="200"/>
              <w:rPr>
                <w:rFonts w:hAnsi="宋体" w:cs="宋体"/>
              </w:rPr>
            </w:pPr>
            <w:r>
              <w:rPr>
                <w:rFonts w:hint="eastAsia" w:hAnsi="宋体" w:cs="宋体"/>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firstLine="420" w:firstLineChars="200"/>
              <w:rPr>
                <w:rFonts w:hAnsi="宋体" w:cs="宋体"/>
              </w:rPr>
            </w:pPr>
            <w:r>
              <w:rPr>
                <w:rFonts w:hint="eastAsia" w:hAnsi="宋体" w:cs="宋体"/>
              </w:rPr>
              <w:t xml:space="preserve">邮编： </w:t>
            </w: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firstLine="420" w:firstLineChars="200"/>
              <w:rPr>
                <w:rFonts w:hAnsi="宋体" w:cs="宋体"/>
              </w:rPr>
            </w:pPr>
            <w:r>
              <w:rPr>
                <w:rFonts w:hint="eastAsia" w:hAnsi="宋体" w:cs="宋体"/>
              </w:rPr>
              <w:t xml:space="preserve">电话： </w:t>
            </w: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firstLine="420" w:firstLineChars="200"/>
              <w:rPr>
                <w:rFonts w:hAnsi="宋体" w:cs="宋体"/>
              </w:rPr>
            </w:pPr>
            <w:r>
              <w:rPr>
                <w:rFonts w:hint="eastAsia" w:hAnsi="宋体" w:cs="宋体"/>
              </w:rPr>
              <w:t xml:space="preserve">传真： </w:t>
            </w: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firstLine="420" w:firstLineChars="200"/>
              <w:rPr>
                <w:rFonts w:hAnsi="宋体" w:cs="宋体"/>
              </w:rPr>
            </w:pPr>
            <w:r>
              <w:rPr>
                <w:rFonts w:hint="eastAsia" w:hAnsi="宋体" w:cs="宋体"/>
              </w:rPr>
              <w:t>开户银行：</w:t>
            </w: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firstLine="420" w:firstLineChars="200"/>
              <w:rPr>
                <w:rFonts w:hAnsi="宋体" w:cs="宋体"/>
              </w:rPr>
            </w:pPr>
            <w:r>
              <w:rPr>
                <w:rFonts w:hint="eastAsia" w:hAnsi="宋体" w:cs="宋体"/>
              </w:rPr>
              <w:t>账号：</w:t>
            </w:r>
          </w:p>
        </w:tc>
        <w:tc>
          <w:tcPr>
            <w:tcW w:w="4252" w:type="dxa"/>
            <w:tcBorders>
              <w:top w:val="nil"/>
              <w:left w:val="nil"/>
              <w:bottom w:val="nil"/>
              <w:right w:val="nil"/>
            </w:tcBorders>
          </w:tcPr>
          <w:p>
            <w:pPr>
              <w:pStyle w:val="25"/>
              <w:snapToGrid w:val="0"/>
              <w:spacing w:line="360" w:lineRule="auto"/>
              <w:ind w:left="34" w:leftChars="16" w:firstLine="420" w:firstLineChars="200"/>
              <w:rPr>
                <w:rFonts w:hAnsi="宋体" w:cs="宋体"/>
              </w:rPr>
            </w:pPr>
            <w:r>
              <w:rPr>
                <w:rFonts w:hint="eastAsia" w:hAnsi="宋体" w:cs="宋体"/>
              </w:rPr>
              <w:t>账号：</w:t>
            </w:r>
          </w:p>
        </w:tc>
      </w:tr>
    </w:tbl>
    <w:p>
      <w:pPr>
        <w:spacing w:line="360" w:lineRule="auto"/>
        <w:ind w:firstLine="420" w:firstLineChars="200"/>
        <w:rPr>
          <w:rFonts w:ascii="宋体" w:hAnsi="宋体" w:cs="宋体"/>
          <w:szCs w:val="21"/>
        </w:rPr>
      </w:pPr>
    </w:p>
    <w:p>
      <w:pPr>
        <w:spacing w:line="360" w:lineRule="auto"/>
        <w:ind w:firstLine="422" w:firstLineChars="200"/>
        <w:jc w:val="center"/>
        <w:outlineLvl w:val="0"/>
        <w:rPr>
          <w:rFonts w:ascii="宋体" w:hAnsi="宋体" w:cs="宋体"/>
          <w:szCs w:val="21"/>
          <w:u w:val="single"/>
        </w:rPr>
      </w:pPr>
      <w:bookmarkStart w:id="95" w:name="_Toc368066684"/>
      <w:bookmarkStart w:id="96" w:name="_Toc2245"/>
      <w:r>
        <w:rPr>
          <w:rFonts w:hint="eastAsia" w:ascii="宋体" w:hAnsi="宋体" w:cs="宋体"/>
          <w:b/>
          <w:szCs w:val="21"/>
        </w:rPr>
        <w:br w:type="page"/>
      </w:r>
      <w:bookmarkStart w:id="97" w:name="_Toc11675"/>
      <w:r>
        <w:rPr>
          <w:rFonts w:hint="eastAsia" w:ascii="宋体" w:hAnsi="宋体" w:cs="宋体"/>
          <w:b/>
          <w:szCs w:val="21"/>
        </w:rPr>
        <w:t>第二部分 中选通知书</w:t>
      </w:r>
      <w:bookmarkEnd w:id="95"/>
      <w:bookmarkEnd w:id="96"/>
      <w:bookmarkEnd w:id="97"/>
    </w:p>
    <w:p>
      <w:pPr>
        <w:spacing w:line="360" w:lineRule="auto"/>
        <w:ind w:firstLine="420" w:firstLineChars="200"/>
        <w:rPr>
          <w:rFonts w:ascii="宋体" w:hAnsi="宋体" w:cs="宋体"/>
          <w:szCs w:val="21"/>
          <w:u w:val="single"/>
        </w:rPr>
      </w:pPr>
    </w:p>
    <w:p>
      <w:pPr>
        <w:spacing w:line="360" w:lineRule="auto"/>
        <w:ind w:firstLine="422" w:firstLineChars="200"/>
        <w:jc w:val="center"/>
        <w:outlineLvl w:val="0"/>
        <w:rPr>
          <w:rFonts w:ascii="宋体" w:hAnsi="宋体" w:cs="宋体"/>
          <w:szCs w:val="21"/>
          <w:u w:val="single"/>
        </w:rPr>
      </w:pPr>
      <w:bookmarkStart w:id="98" w:name="_Toc368066685"/>
      <w:bookmarkStart w:id="99" w:name="_Toc26018"/>
      <w:r>
        <w:rPr>
          <w:rFonts w:hint="eastAsia" w:ascii="宋体" w:hAnsi="宋体" w:cs="宋体"/>
          <w:b/>
          <w:szCs w:val="21"/>
        </w:rPr>
        <w:br w:type="page"/>
      </w:r>
      <w:bookmarkStart w:id="100" w:name="_Toc29343"/>
      <w:r>
        <w:rPr>
          <w:rFonts w:hint="eastAsia" w:ascii="宋体" w:hAnsi="宋体" w:cs="宋体"/>
          <w:b/>
          <w:szCs w:val="21"/>
        </w:rPr>
        <w:t>第三部分 合同条款</w:t>
      </w:r>
      <w:bookmarkEnd w:id="98"/>
      <w:bookmarkEnd w:id="99"/>
      <w:bookmarkEnd w:id="100"/>
    </w:p>
    <w:p>
      <w:pPr>
        <w:spacing w:line="360" w:lineRule="auto"/>
        <w:ind w:firstLine="422" w:firstLineChars="200"/>
        <w:outlineLvl w:val="1"/>
        <w:rPr>
          <w:rFonts w:ascii="宋体" w:hAnsi="宋体" w:cs="宋体"/>
          <w:b/>
          <w:bCs/>
          <w:szCs w:val="21"/>
        </w:rPr>
      </w:pPr>
      <w:bookmarkStart w:id="101" w:name="_Toc368066686"/>
      <w:bookmarkStart w:id="102" w:name="_Toc7761"/>
      <w:bookmarkStart w:id="103" w:name="_Toc28651"/>
      <w:bookmarkStart w:id="104" w:name="_Toc136850799"/>
      <w:bookmarkStart w:id="105" w:name="_Toc192323513"/>
      <w:bookmarkStart w:id="106" w:name="_Toc240992305"/>
      <w:bookmarkStart w:id="107" w:name="_Toc357774462"/>
      <w:r>
        <w:rPr>
          <w:rFonts w:hint="eastAsia" w:ascii="宋体" w:hAnsi="宋体" w:cs="宋体"/>
          <w:b/>
          <w:bCs/>
          <w:szCs w:val="21"/>
        </w:rPr>
        <w:t>1、</w:t>
      </w:r>
      <w:bookmarkEnd w:id="101"/>
      <w:r>
        <w:rPr>
          <w:rFonts w:hint="eastAsia" w:ascii="宋体" w:hAnsi="宋体" w:cs="宋体"/>
          <w:b/>
          <w:bCs/>
          <w:szCs w:val="21"/>
        </w:rPr>
        <w:t>定义</w:t>
      </w:r>
      <w:bookmarkEnd w:id="102"/>
      <w:bookmarkEnd w:id="103"/>
    </w:p>
    <w:p>
      <w:pPr>
        <w:spacing w:line="360" w:lineRule="auto"/>
        <w:ind w:firstLine="420" w:firstLineChars="200"/>
        <w:rPr>
          <w:rFonts w:ascii="宋体" w:hAnsi="宋体" w:cs="宋体"/>
          <w:szCs w:val="21"/>
        </w:rPr>
      </w:pPr>
      <w:r>
        <w:rPr>
          <w:rFonts w:hint="eastAsia" w:ascii="宋体" w:hAnsi="宋体" w:cs="宋体"/>
          <w:szCs w:val="21"/>
        </w:rPr>
        <w:t>（1）“合同”系指甲乙双方签署的、合同格式中载明的甲乙双方所达成的协议，包括合同协议书、合同条款及合同附件、合同附录和上述文件所提到的构成合同的所有文件。</w:t>
      </w:r>
    </w:p>
    <w:p>
      <w:pPr>
        <w:spacing w:line="360" w:lineRule="auto"/>
        <w:ind w:firstLine="420" w:firstLineChars="200"/>
        <w:rPr>
          <w:rFonts w:ascii="宋体" w:hAnsi="宋体" w:cs="宋体"/>
          <w:szCs w:val="21"/>
        </w:rPr>
      </w:pPr>
      <w:r>
        <w:rPr>
          <w:rFonts w:hint="eastAsia" w:ascii="宋体" w:hAnsi="宋体" w:cs="宋体"/>
          <w:szCs w:val="21"/>
        </w:rPr>
        <w:t>（2）“签约合同价”系指甲方和乙方在合同协议书中确定的金额，即本项目的中标价格或成交价格。</w:t>
      </w:r>
    </w:p>
    <w:p>
      <w:pPr>
        <w:spacing w:line="360" w:lineRule="auto"/>
        <w:ind w:firstLine="420" w:firstLineChars="200"/>
        <w:rPr>
          <w:rFonts w:ascii="宋体" w:hAnsi="宋体" w:cs="宋体"/>
          <w:szCs w:val="21"/>
        </w:rPr>
      </w:pPr>
      <w:r>
        <w:rPr>
          <w:rFonts w:hint="eastAsia" w:ascii="宋体" w:hAnsi="宋体" w:cs="宋体"/>
          <w:szCs w:val="21"/>
        </w:rPr>
        <w:t>（3）“合同价格”系指根据本合同规定乙方在正确地完全履行合同义务后，经长沙市政府相关职能部门或长沙市轨道交通集团有限公司审定的结算价格。</w:t>
      </w:r>
    </w:p>
    <w:p>
      <w:pPr>
        <w:spacing w:line="360" w:lineRule="auto"/>
        <w:ind w:firstLine="420" w:firstLineChars="200"/>
        <w:rPr>
          <w:rFonts w:ascii="宋体" w:hAnsi="宋体" w:cs="宋体"/>
          <w:szCs w:val="21"/>
        </w:rPr>
      </w:pPr>
      <w:r>
        <w:rPr>
          <w:rFonts w:hint="eastAsia" w:ascii="宋体" w:hAnsi="宋体" w:cs="宋体"/>
          <w:szCs w:val="21"/>
        </w:rPr>
        <w:t>（4）“甲方”是指承担直接投资责任和委托维修保养业务的一方以及其合法继承人，即合同协议书中所述的甲方。</w:t>
      </w:r>
    </w:p>
    <w:p>
      <w:pPr>
        <w:spacing w:line="360" w:lineRule="auto"/>
        <w:ind w:firstLine="420" w:firstLineChars="200"/>
        <w:rPr>
          <w:rFonts w:ascii="宋体" w:hAnsi="宋体" w:cs="宋体"/>
          <w:szCs w:val="21"/>
        </w:rPr>
      </w:pPr>
      <w:r>
        <w:rPr>
          <w:rFonts w:hint="eastAsia" w:ascii="宋体" w:hAnsi="宋体" w:cs="宋体"/>
          <w:szCs w:val="21"/>
        </w:rPr>
        <w:t>（5）“乙方”是指承担维修保养业务和维修保养责任的一方以及其合法继承人，即合同协议书中所述的乙方。</w:t>
      </w:r>
    </w:p>
    <w:p>
      <w:pPr>
        <w:spacing w:line="360" w:lineRule="auto"/>
        <w:ind w:firstLine="420" w:firstLineChars="200"/>
        <w:rPr>
          <w:rFonts w:ascii="宋体" w:hAnsi="宋体" w:cs="宋体"/>
          <w:szCs w:val="21"/>
        </w:rPr>
      </w:pPr>
      <w:r>
        <w:rPr>
          <w:rFonts w:hint="eastAsia" w:ascii="宋体" w:hAnsi="宋体" w:cs="宋体"/>
          <w:szCs w:val="21"/>
        </w:rPr>
        <w:t>（6）“维保机构”是指乙方派驻本工程现场实施维修保养业务的组织。</w:t>
      </w:r>
    </w:p>
    <w:p>
      <w:pPr>
        <w:spacing w:line="360" w:lineRule="auto"/>
        <w:ind w:firstLine="420" w:firstLineChars="200"/>
        <w:rPr>
          <w:rFonts w:ascii="宋体" w:hAnsi="宋体" w:cs="宋体"/>
          <w:szCs w:val="21"/>
        </w:rPr>
      </w:pPr>
      <w:r>
        <w:rPr>
          <w:rFonts w:hint="eastAsia" w:ascii="宋体" w:hAnsi="宋体" w:cs="宋体"/>
          <w:szCs w:val="21"/>
        </w:rPr>
        <w:t>（7）“日”是指任何一天零时至第二天零时的时间段。</w:t>
      </w:r>
    </w:p>
    <w:p>
      <w:pPr>
        <w:spacing w:line="360" w:lineRule="auto"/>
        <w:ind w:firstLine="420" w:firstLineChars="200"/>
        <w:rPr>
          <w:rFonts w:ascii="宋体" w:hAnsi="宋体" w:cs="宋体"/>
          <w:szCs w:val="21"/>
        </w:rPr>
      </w:pPr>
      <w:r>
        <w:rPr>
          <w:rFonts w:hint="eastAsia" w:ascii="宋体" w:hAnsi="宋体" w:cs="宋体"/>
          <w:szCs w:val="21"/>
        </w:rPr>
        <w:t>（8）“月”是指根据公历从一个月份中任何一天开始到下一个月相应日期的前一天的时间段。</w:t>
      </w:r>
    </w:p>
    <w:p>
      <w:pPr>
        <w:spacing w:line="360" w:lineRule="auto"/>
        <w:ind w:firstLine="420" w:firstLineChars="200"/>
        <w:rPr>
          <w:rFonts w:ascii="宋体" w:hAnsi="宋体" w:cs="宋体"/>
          <w:szCs w:val="21"/>
        </w:rPr>
      </w:pPr>
      <w:r>
        <w:rPr>
          <w:rFonts w:hint="eastAsia" w:ascii="宋体" w:hAnsi="宋体" w:cs="宋体"/>
          <w:szCs w:val="21"/>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20" w:firstLineChars="200"/>
        <w:rPr>
          <w:rFonts w:ascii="宋体" w:hAnsi="宋体" w:cs="宋体"/>
          <w:szCs w:val="21"/>
        </w:rPr>
      </w:pPr>
      <w:r>
        <w:rPr>
          <w:rFonts w:hint="eastAsia" w:ascii="宋体" w:hAnsi="宋体" w:cs="宋体"/>
          <w:szCs w:val="21"/>
        </w:rPr>
        <w:t>（10）响应时间：是指在接报故障后赶赴且到达现场处理的时间。</w:t>
      </w:r>
    </w:p>
    <w:p>
      <w:pPr>
        <w:spacing w:line="360" w:lineRule="auto"/>
        <w:ind w:firstLine="420" w:firstLineChars="200"/>
        <w:rPr>
          <w:rFonts w:ascii="宋体" w:hAnsi="宋体" w:cs="宋体"/>
          <w:szCs w:val="21"/>
        </w:rPr>
      </w:pPr>
      <w:r>
        <w:rPr>
          <w:rFonts w:hint="eastAsia" w:ascii="宋体" w:hAnsi="宋体" w:cs="宋体"/>
          <w:szCs w:val="21"/>
        </w:rPr>
        <w:t>（11）接报：是指甲方通知乙方的形式，包括口头、电话、电子邮件、书面等。</w:t>
      </w:r>
    </w:p>
    <w:p>
      <w:pPr>
        <w:spacing w:line="360" w:lineRule="auto"/>
        <w:ind w:firstLine="420" w:firstLineChars="200"/>
        <w:rPr>
          <w:rFonts w:ascii="宋体" w:hAnsi="宋体" w:cs="宋体"/>
          <w:szCs w:val="21"/>
        </w:rPr>
      </w:pPr>
      <w:r>
        <w:rPr>
          <w:rFonts w:hint="eastAsia" w:ascii="宋体" w:hAnsi="宋体" w:cs="宋体"/>
          <w:szCs w:val="21"/>
        </w:rPr>
        <w:t>（12）现场：是指故障发生地点、区段，或报故障车站、部门等。</w:t>
      </w:r>
    </w:p>
    <w:p>
      <w:pPr>
        <w:spacing w:line="360" w:lineRule="auto"/>
        <w:ind w:firstLine="420" w:firstLineChars="200"/>
        <w:rPr>
          <w:rFonts w:ascii="宋体" w:hAnsi="宋体" w:cs="宋体"/>
          <w:szCs w:val="21"/>
        </w:rPr>
      </w:pPr>
      <w:r>
        <w:rPr>
          <w:rFonts w:hint="eastAsia" w:ascii="宋体" w:hAnsi="宋体" w:cs="宋体"/>
          <w:szCs w:val="21"/>
        </w:rPr>
        <w:t>（13）临时修复时间：如果由于条件限制，维修人员暂时无法使设备、设施达到原有技术指标的情况下，采取临时性措施，尽量减少故障的影响范围的时限。此时限是指接报故障到采取措施临时修复完毕。</w:t>
      </w:r>
    </w:p>
    <w:p>
      <w:pPr>
        <w:spacing w:line="360" w:lineRule="auto"/>
        <w:ind w:firstLine="420" w:firstLineChars="200"/>
        <w:rPr>
          <w:rFonts w:ascii="宋体" w:hAnsi="宋体" w:cs="宋体"/>
          <w:szCs w:val="21"/>
        </w:rPr>
      </w:pPr>
      <w:r>
        <w:rPr>
          <w:rFonts w:hint="eastAsia" w:ascii="宋体" w:hAnsi="宋体" w:cs="宋体"/>
          <w:szCs w:val="21"/>
        </w:rPr>
        <w:t>（14）完全修复时间：通过维修使有问题设备、设施回复到原来技术指标及状态的期限。此时限是指接报故障到设备完全修复完毕。</w:t>
      </w:r>
    </w:p>
    <w:p>
      <w:pPr>
        <w:spacing w:line="360" w:lineRule="auto"/>
        <w:ind w:firstLine="422" w:firstLineChars="200"/>
        <w:outlineLvl w:val="1"/>
        <w:rPr>
          <w:rFonts w:ascii="宋体" w:hAnsi="宋体" w:cs="宋体"/>
          <w:b/>
          <w:bCs/>
          <w:szCs w:val="21"/>
        </w:rPr>
      </w:pPr>
      <w:bookmarkStart w:id="108" w:name="_Toc12453"/>
      <w:bookmarkStart w:id="109" w:name="_Toc20721"/>
      <w:bookmarkStart w:id="110" w:name="_Toc368066687"/>
      <w:r>
        <w:rPr>
          <w:rFonts w:hint="eastAsia" w:ascii="宋体" w:hAnsi="宋体" w:cs="宋体"/>
          <w:b/>
          <w:bCs/>
          <w:szCs w:val="21"/>
        </w:rPr>
        <w:t>2、标准和规范</w:t>
      </w:r>
      <w:bookmarkEnd w:id="108"/>
      <w:bookmarkEnd w:id="109"/>
    </w:p>
    <w:p>
      <w:pPr>
        <w:tabs>
          <w:tab w:val="left" w:pos="851"/>
        </w:tabs>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2.1 适用国家标准、行业标准、工程所在地的地方性标准，以及相应的规范、规程等。</w:t>
      </w:r>
    </w:p>
    <w:p>
      <w:pPr>
        <w:pStyle w:val="45"/>
        <w:spacing w:after="0" w:line="360" w:lineRule="auto"/>
        <w:rPr>
          <w:rFonts w:ascii="宋体" w:hAnsi="宋体" w:cs="宋体"/>
          <w:szCs w:val="21"/>
        </w:rPr>
      </w:pPr>
      <w:r>
        <w:rPr>
          <w:rFonts w:hint="eastAsia" w:ascii="宋体" w:hAnsi="宋体" w:cs="宋体"/>
          <w:szCs w:val="21"/>
        </w:rPr>
        <w:t>2.2 甲方对本项目的技术标准或功能的其他要求</w:t>
      </w:r>
      <w:r>
        <w:rPr>
          <w:rFonts w:hint="eastAsia" w:ascii="宋体" w:hAnsi="宋体" w:cs="宋体"/>
          <w:szCs w:val="21"/>
          <w:u w:val="single"/>
        </w:rPr>
        <w:t>以用户需求书/技术规格书为准</w:t>
      </w:r>
      <w:r>
        <w:rPr>
          <w:rFonts w:hint="eastAsia" w:ascii="宋体" w:hAnsi="宋体" w:cs="宋体"/>
          <w:szCs w:val="21"/>
        </w:rPr>
        <w:t>。</w:t>
      </w:r>
    </w:p>
    <w:p>
      <w:pPr>
        <w:pStyle w:val="45"/>
        <w:spacing w:after="0" w:line="360" w:lineRule="auto"/>
        <w:ind w:firstLine="422"/>
        <w:outlineLvl w:val="1"/>
        <w:rPr>
          <w:rFonts w:ascii="宋体" w:hAnsi="宋体" w:cs="宋体"/>
          <w:b/>
          <w:bCs/>
          <w:szCs w:val="21"/>
        </w:rPr>
      </w:pPr>
      <w:bookmarkStart w:id="111" w:name="_Toc1523"/>
      <w:bookmarkStart w:id="112" w:name="_Toc10573"/>
      <w:r>
        <w:rPr>
          <w:rFonts w:hint="eastAsia" w:ascii="宋体" w:hAnsi="宋体" w:cs="宋体"/>
          <w:b/>
          <w:bCs/>
          <w:szCs w:val="21"/>
        </w:rPr>
        <w:t>3、</w:t>
      </w:r>
      <w:bookmarkEnd w:id="110"/>
      <w:bookmarkEnd w:id="111"/>
      <w:r>
        <w:rPr>
          <w:rFonts w:hint="eastAsia" w:ascii="宋体" w:hAnsi="宋体" w:cs="宋体"/>
          <w:b/>
          <w:bCs/>
          <w:szCs w:val="21"/>
        </w:rPr>
        <w:t>价款</w:t>
      </w:r>
      <w:bookmarkEnd w:id="112"/>
    </w:p>
    <w:p>
      <w:pPr>
        <w:pStyle w:val="45"/>
        <w:spacing w:after="0" w:line="360" w:lineRule="auto"/>
        <w:rPr>
          <w:rFonts w:ascii="宋体" w:hAnsi="宋体" w:cs="宋体"/>
          <w:szCs w:val="21"/>
        </w:rPr>
      </w:pPr>
      <w:r>
        <w:rPr>
          <w:rFonts w:hint="eastAsia" w:ascii="宋体" w:hAnsi="宋体" w:cs="宋体"/>
          <w:szCs w:val="21"/>
        </w:rPr>
        <w:t>3.1本项目签约合同价为</w:t>
      </w:r>
      <w:r>
        <w:rPr>
          <w:rFonts w:hint="eastAsia" w:ascii="宋体" w:hAnsi="宋体" w:cs="宋体"/>
          <w:szCs w:val="21"/>
          <w:u w:val="single"/>
        </w:rPr>
        <w:t xml:space="preserve">          </w:t>
      </w:r>
      <w:r>
        <w:rPr>
          <w:rFonts w:hint="eastAsia" w:ascii="宋体" w:hAnsi="宋体" w:cs="宋体"/>
          <w:szCs w:val="21"/>
        </w:rPr>
        <w:t>，具体分项价格表详见合同附件之签约合同价清单。</w:t>
      </w:r>
    </w:p>
    <w:p>
      <w:pPr>
        <w:pStyle w:val="45"/>
        <w:spacing w:after="0" w:line="360" w:lineRule="auto"/>
        <w:rPr>
          <w:rFonts w:ascii="宋体" w:hAnsi="宋体" w:cs="宋体"/>
          <w:szCs w:val="21"/>
          <w:highlight w:val="none"/>
        </w:rPr>
      </w:pPr>
      <w:r>
        <w:rPr>
          <w:rFonts w:hint="eastAsia" w:ascii="宋体" w:hAnsi="宋体" w:cs="宋体"/>
          <w:szCs w:val="21"/>
          <w:highlight w:val="none"/>
        </w:rPr>
        <w:t>3.2本项目采用总价合同方式，合同价格包括在维保过程中所需的管理费、利润、税金等一切费用。在项目实施中出现任何遗漏，均由乙方免费提供，甲方不再支付任何费用。</w:t>
      </w:r>
      <w:bookmarkStart w:id="113" w:name="_Toc240992306"/>
      <w:bookmarkStart w:id="114" w:name="_Toc357774463"/>
      <w:bookmarkStart w:id="115" w:name="_Toc8367"/>
      <w:bookmarkStart w:id="116" w:name="_Toc136850801"/>
      <w:bookmarkStart w:id="117" w:name="_Toc192323515"/>
      <w:bookmarkStart w:id="118" w:name="_Toc23394"/>
      <w:bookmarkStart w:id="119" w:name="_Toc23767"/>
    </w:p>
    <w:p>
      <w:pPr>
        <w:pStyle w:val="45"/>
        <w:spacing w:after="0" w:line="360" w:lineRule="auto"/>
        <w:ind w:firstLine="422"/>
        <w:rPr>
          <w:rFonts w:ascii="宋体" w:hAnsi="宋体" w:cs="宋体"/>
          <w:b/>
          <w:bCs/>
          <w:szCs w:val="21"/>
        </w:rPr>
      </w:pPr>
      <w:r>
        <w:rPr>
          <w:rFonts w:hint="eastAsia" w:ascii="宋体" w:hAnsi="宋体" w:cs="宋体"/>
          <w:b/>
          <w:bCs/>
          <w:szCs w:val="21"/>
        </w:rPr>
        <w:t>4、</w:t>
      </w:r>
      <w:bookmarkEnd w:id="113"/>
      <w:bookmarkEnd w:id="114"/>
      <w:bookmarkEnd w:id="115"/>
      <w:bookmarkEnd w:id="116"/>
      <w:bookmarkEnd w:id="117"/>
      <w:r>
        <w:rPr>
          <w:rFonts w:hint="eastAsia" w:ascii="宋体" w:hAnsi="宋体" w:cs="宋体"/>
          <w:b/>
          <w:bCs/>
          <w:szCs w:val="21"/>
        </w:rPr>
        <w:t>支付</w:t>
      </w:r>
      <w:bookmarkEnd w:id="118"/>
    </w:p>
    <w:p>
      <w:pPr>
        <w:pStyle w:val="45"/>
        <w:spacing w:after="0" w:line="360" w:lineRule="auto"/>
        <w:rPr>
          <w:rFonts w:ascii="宋体" w:hAnsi="宋体" w:cs="宋体"/>
          <w:szCs w:val="21"/>
        </w:rPr>
      </w:pPr>
      <w:r>
        <w:rPr>
          <w:rFonts w:hint="eastAsia" w:ascii="宋体" w:hAnsi="宋体" w:cs="宋体"/>
          <w:szCs w:val="21"/>
        </w:rPr>
        <w:t>4.1付款周期为每半年支付一次，甲方对乙方维保工作进行综合考核，乙方按甲方的支付程序办理请款手续并提供增值税专用发票、有效期内的履约担保复印件后28个工作日内，由甲方向乙方支付。</w:t>
      </w:r>
    </w:p>
    <w:p>
      <w:pPr>
        <w:pStyle w:val="45"/>
        <w:spacing w:after="0" w:line="360" w:lineRule="auto"/>
        <w:rPr>
          <w:rFonts w:ascii="宋体" w:hAnsi="宋体" w:cs="宋体"/>
          <w:szCs w:val="21"/>
        </w:rPr>
      </w:pPr>
      <w:r>
        <w:rPr>
          <w:rFonts w:hint="eastAsia" w:ascii="宋体" w:hAnsi="宋体" w:cs="宋体"/>
          <w:szCs w:val="21"/>
        </w:rPr>
        <w:t>4.2 每次支付的金额：按签约合同价的70%平均到每个付款周期，甲方依据考核结果向乙方支付上一个付款周期的价款，累计支付不得超过签约合同价的70%。</w:t>
      </w:r>
    </w:p>
    <w:p>
      <w:pPr>
        <w:pStyle w:val="45"/>
        <w:spacing w:after="0" w:line="360" w:lineRule="auto"/>
        <w:rPr>
          <w:rFonts w:ascii="宋体" w:hAnsi="宋体" w:cs="宋体"/>
          <w:szCs w:val="21"/>
          <w:highlight w:val="yellow"/>
        </w:rPr>
      </w:pPr>
      <w:r>
        <w:rPr>
          <w:rFonts w:hint="eastAsia" w:ascii="宋体" w:hAnsi="宋体" w:cs="宋体"/>
          <w:szCs w:val="21"/>
        </w:rPr>
        <w:t>4.3 乙方按合同规定完成履约且办理了结算手续并提供增值税专用发票后28个工作日内，支付至合同价格的100%。</w:t>
      </w:r>
      <w:r>
        <w:rPr>
          <w:rFonts w:hint="eastAsia" w:ascii="宋体" w:hAnsi="宋体" w:cs="宋体"/>
          <w:szCs w:val="21"/>
          <w:highlight w:val="none"/>
        </w:rPr>
        <w:t>项目结算按长沙市政府或轨道交通集团有限公司相关规定执行。</w:t>
      </w:r>
    </w:p>
    <w:p>
      <w:pPr>
        <w:spacing w:line="360" w:lineRule="auto"/>
        <w:ind w:firstLine="422" w:firstLineChars="200"/>
        <w:outlineLvl w:val="1"/>
        <w:rPr>
          <w:rFonts w:ascii="宋体" w:hAnsi="宋体" w:cs="宋体"/>
          <w:b/>
          <w:bCs/>
          <w:szCs w:val="21"/>
        </w:rPr>
      </w:pPr>
      <w:bookmarkStart w:id="120" w:name="_Toc19286"/>
      <w:r>
        <w:rPr>
          <w:rFonts w:hint="eastAsia" w:ascii="宋体" w:hAnsi="宋体" w:cs="宋体"/>
          <w:b/>
          <w:bCs/>
          <w:szCs w:val="21"/>
        </w:rPr>
        <w:t>5、</w:t>
      </w:r>
      <w:bookmarkEnd w:id="104"/>
      <w:bookmarkEnd w:id="105"/>
      <w:bookmarkEnd w:id="106"/>
      <w:bookmarkEnd w:id="107"/>
      <w:r>
        <w:rPr>
          <w:rFonts w:hint="eastAsia" w:ascii="宋体" w:hAnsi="宋体" w:cs="宋体"/>
          <w:b/>
          <w:bCs/>
          <w:szCs w:val="21"/>
        </w:rPr>
        <w:t>履约担保</w:t>
      </w:r>
      <w:bookmarkEnd w:id="119"/>
      <w:bookmarkEnd w:id="120"/>
    </w:p>
    <w:p>
      <w:pPr>
        <w:autoSpaceDE w:val="0"/>
        <w:autoSpaceDN w:val="0"/>
        <w:spacing w:line="360" w:lineRule="auto"/>
        <w:ind w:firstLine="420" w:firstLineChars="200"/>
        <w:textAlignment w:val="bottom"/>
        <w:rPr>
          <w:rFonts w:ascii="宋体" w:hAnsi="宋体" w:cs="宋体"/>
          <w:szCs w:val="21"/>
        </w:rPr>
      </w:pPr>
      <w:bookmarkStart w:id="121" w:name="_Toc443376818"/>
      <w:bookmarkStart w:id="122" w:name="_Toc443208225"/>
      <w:r>
        <w:rPr>
          <w:rFonts w:hint="eastAsia" w:ascii="宋体" w:hAnsi="宋体" w:cs="宋体"/>
          <w:szCs w:val="21"/>
        </w:rPr>
        <w:t>5.1 履约担保是办理付款的必要条件之一，乙方应在本合同签订后15个工作日内提供履约担保。</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5.2 履约担保用于补偿甲方因乙方不能完成其合同义务而蒙受的损失。</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5.3 乙方提供履约担保的形式、金额及期限可采用以下两种方式之一：</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（2）采用现金形式，现金担保额度为签约合同价的10%，担保期限为履约保证金到账之日起，至服务期满之日止。履约担保以现金形式提交的，乙方应从其基本账户通过转帐或电汇至甲方指定的账户。</w:t>
      </w:r>
      <w:r>
        <w:rPr>
          <w:rFonts w:hint="eastAsia" w:ascii="宋体" w:hAnsi="宋体" w:cs="宋体"/>
          <w:szCs w:val="21"/>
          <w:u w:val="single"/>
        </w:rPr>
        <w:t>户名     ；开户行：                 账号：         。</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5.4 在乙方完成其合同义务包括任何保证义务后，甲方将把履约担保无息退还乙方。</w:t>
      </w:r>
    </w:p>
    <w:bookmarkEnd w:id="121"/>
    <w:bookmarkEnd w:id="122"/>
    <w:p>
      <w:pPr>
        <w:autoSpaceDE w:val="0"/>
        <w:autoSpaceDN w:val="0"/>
        <w:spacing w:line="360" w:lineRule="auto"/>
        <w:ind w:firstLine="422" w:firstLineChars="200"/>
        <w:textAlignment w:val="bottom"/>
        <w:outlineLvl w:val="1"/>
        <w:rPr>
          <w:rFonts w:ascii="宋体" w:hAnsi="宋体" w:cs="宋体"/>
          <w:b/>
          <w:bCs/>
          <w:szCs w:val="21"/>
        </w:rPr>
      </w:pPr>
      <w:bookmarkStart w:id="123" w:name="_Toc21707"/>
      <w:bookmarkStart w:id="124" w:name="_Toc469"/>
      <w:r>
        <w:rPr>
          <w:rFonts w:hint="eastAsia" w:ascii="宋体" w:hAnsi="宋体" w:cs="宋体"/>
          <w:b/>
          <w:bCs/>
          <w:szCs w:val="21"/>
        </w:rPr>
        <w:t>6、合同变更</w:t>
      </w:r>
      <w:bookmarkEnd w:id="123"/>
      <w:bookmarkEnd w:id="124"/>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（1）要实施的工作的说明（如果有的话）以及工作的实施进度计划；和</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（2）对进度计划或本合同项下的乙方义务进行任何必要的修改的建议；和</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（3）乙方对合同价格调整的建议。</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收到乙方的上述递呈，并在与乙方适当协商后，甲方应尽快决定是否进行变更。</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6.3 合同变更/修改时，如果甲乙双方未能对价格调整达成一致，则对合同价格的调整应按下述方式进行：</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（1）对合同中已明确并有定价的选项及替代方案，按合同列明的相应的金额计算；</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（2）对合同中尚未明确和定价的选项及替代方案，其金额须由合同双方按以下一种或多种方法协商确定：</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1）根据合同规定的原则计出总价；</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2）根据合同单价和/或单位费率计算而计出总价；</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3）根据合同价格类推和/或按比例计算而计出总价；</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4）根据合同规定的相应成本确定。</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6.6 除了上述情况外，不应对合同条款进行任何变更或修改。经甲方同意的对合同条款进行任何变更或修改，甲乙双方应签订补充协议予以明确。</w:t>
      </w:r>
    </w:p>
    <w:p>
      <w:pPr>
        <w:autoSpaceDE w:val="0"/>
        <w:autoSpaceDN w:val="0"/>
        <w:spacing w:line="360" w:lineRule="auto"/>
        <w:ind w:firstLine="422" w:firstLineChars="200"/>
        <w:textAlignment w:val="bottom"/>
        <w:outlineLvl w:val="1"/>
        <w:rPr>
          <w:rFonts w:ascii="宋体" w:hAnsi="宋体" w:cs="宋体"/>
          <w:b/>
          <w:bCs/>
          <w:szCs w:val="21"/>
        </w:rPr>
      </w:pPr>
      <w:bookmarkStart w:id="125" w:name="_Toc28160"/>
      <w:bookmarkStart w:id="126" w:name="_Toc16499"/>
      <w:r>
        <w:rPr>
          <w:rFonts w:hint="eastAsia" w:ascii="宋体" w:hAnsi="宋体" w:cs="宋体"/>
          <w:b/>
          <w:bCs/>
          <w:szCs w:val="21"/>
        </w:rPr>
        <w:t>7、材料设备供应</w:t>
      </w:r>
      <w:bookmarkEnd w:id="125"/>
      <w:bookmarkEnd w:id="126"/>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7.1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7.2 乙方必须配备足够的用于维修保养的工器具，所使用的测试仪器必须定期进行检验，检验合格的产品才能使用。</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7.3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7.4 所有维修保养更换的损坏件，应交给甲方回收报废。</w:t>
      </w:r>
    </w:p>
    <w:p>
      <w:pPr>
        <w:pStyle w:val="45"/>
        <w:spacing w:after="0" w:line="360" w:lineRule="auto"/>
        <w:ind w:firstLine="422"/>
        <w:outlineLvl w:val="1"/>
        <w:rPr>
          <w:rFonts w:ascii="宋体" w:hAnsi="宋体" w:cs="宋体"/>
          <w:b/>
          <w:bCs/>
          <w:szCs w:val="21"/>
        </w:rPr>
      </w:pPr>
      <w:bookmarkStart w:id="127" w:name="_Toc368066694"/>
      <w:bookmarkStart w:id="128" w:name="_Toc9335"/>
      <w:bookmarkStart w:id="129" w:name="_Toc16050"/>
      <w:r>
        <w:rPr>
          <w:rFonts w:hint="eastAsia" w:ascii="宋体" w:hAnsi="宋体" w:cs="宋体"/>
          <w:b/>
          <w:bCs/>
          <w:szCs w:val="21"/>
        </w:rPr>
        <w:t>8、双方责任</w:t>
      </w:r>
      <w:bookmarkEnd w:id="127"/>
      <w:bookmarkEnd w:id="128"/>
      <w:bookmarkEnd w:id="129"/>
    </w:p>
    <w:p>
      <w:pPr>
        <w:pStyle w:val="45"/>
        <w:spacing w:after="0" w:line="360" w:lineRule="auto"/>
        <w:rPr>
          <w:rFonts w:ascii="宋体" w:hAnsi="宋体" w:cs="宋体"/>
          <w:szCs w:val="21"/>
        </w:rPr>
      </w:pPr>
      <w:r>
        <w:rPr>
          <w:rFonts w:hint="eastAsia" w:ascii="宋体" w:hAnsi="宋体" w:cs="宋体"/>
          <w:szCs w:val="21"/>
        </w:rPr>
        <w:t>8.1甲方责任</w:t>
      </w:r>
    </w:p>
    <w:p>
      <w:pPr>
        <w:pStyle w:val="45"/>
        <w:spacing w:after="0" w:line="360" w:lineRule="auto"/>
        <w:rPr>
          <w:rFonts w:ascii="宋体" w:hAnsi="宋体" w:cs="宋体"/>
          <w:szCs w:val="21"/>
        </w:rPr>
      </w:pPr>
      <w:r>
        <w:rPr>
          <w:rFonts w:hint="eastAsia" w:ascii="宋体" w:hAnsi="宋体" w:cs="宋体"/>
          <w:szCs w:val="21"/>
        </w:rPr>
        <w:t>（1）向乙方提供完成本项目的基础资料。</w:t>
      </w:r>
    </w:p>
    <w:p>
      <w:pPr>
        <w:pStyle w:val="45"/>
        <w:spacing w:after="0" w:line="360" w:lineRule="auto"/>
        <w:rPr>
          <w:rFonts w:ascii="宋体" w:hAnsi="宋体" w:cs="宋体"/>
          <w:szCs w:val="21"/>
        </w:rPr>
      </w:pPr>
      <w:r>
        <w:rPr>
          <w:rFonts w:hint="eastAsia" w:ascii="宋体" w:hAnsi="宋体" w:cs="宋体"/>
          <w:szCs w:val="21"/>
        </w:rPr>
        <w:t>（2）协调乙方执行本合同与甲方内部有关职能部门的关系，办理有关内部批准文件。乙方进场维护保养时，甲方给予配合。</w:t>
      </w:r>
    </w:p>
    <w:p>
      <w:pPr>
        <w:pStyle w:val="45"/>
        <w:spacing w:after="0" w:line="360" w:lineRule="auto"/>
        <w:rPr>
          <w:rFonts w:ascii="宋体" w:hAnsi="宋体" w:cs="宋体"/>
          <w:szCs w:val="21"/>
        </w:rPr>
      </w:pPr>
      <w:r>
        <w:rPr>
          <w:rFonts w:hint="eastAsia" w:ascii="宋体" w:hAnsi="宋体" w:cs="宋体"/>
          <w:szCs w:val="21"/>
        </w:rPr>
        <w:t>（3）甲方在本项目履行期间派一名代表协助乙方处理维修保养中存在的问题，并对乙方维修保养工作进行监督、检查。</w:t>
      </w:r>
    </w:p>
    <w:p>
      <w:pPr>
        <w:pStyle w:val="45"/>
        <w:spacing w:after="0" w:line="360" w:lineRule="auto"/>
        <w:rPr>
          <w:rFonts w:ascii="宋体" w:hAnsi="宋体" w:cs="宋体"/>
          <w:szCs w:val="21"/>
        </w:rPr>
      </w:pPr>
      <w:r>
        <w:rPr>
          <w:rFonts w:hint="eastAsia" w:ascii="宋体" w:hAnsi="宋体" w:cs="宋体"/>
          <w:szCs w:val="21"/>
        </w:rPr>
        <w:t>（4）根据本合同规定按时向乙方付款。</w:t>
      </w:r>
    </w:p>
    <w:p>
      <w:pPr>
        <w:pStyle w:val="45"/>
        <w:spacing w:after="0" w:line="360" w:lineRule="auto"/>
        <w:rPr>
          <w:rFonts w:ascii="宋体" w:hAnsi="宋体" w:cs="宋体"/>
          <w:szCs w:val="21"/>
        </w:rPr>
      </w:pPr>
      <w:r>
        <w:rPr>
          <w:rFonts w:hint="eastAsia" w:ascii="宋体" w:hAnsi="宋体" w:cs="宋体"/>
          <w:szCs w:val="21"/>
        </w:rPr>
        <w:t>（5）按合同要求组织验收。</w:t>
      </w:r>
    </w:p>
    <w:p>
      <w:pPr>
        <w:pStyle w:val="45"/>
        <w:spacing w:after="0" w:line="360" w:lineRule="auto"/>
        <w:rPr>
          <w:rFonts w:ascii="宋体" w:hAnsi="宋体" w:cs="宋体"/>
          <w:szCs w:val="21"/>
        </w:rPr>
      </w:pPr>
      <w:r>
        <w:rPr>
          <w:rFonts w:hint="eastAsia" w:ascii="宋体" w:hAnsi="宋体" w:cs="宋体"/>
          <w:szCs w:val="21"/>
        </w:rPr>
        <w:t>8.2 乙方责任</w:t>
      </w:r>
    </w:p>
    <w:p>
      <w:pPr>
        <w:pStyle w:val="45"/>
        <w:spacing w:after="0" w:line="360" w:lineRule="auto"/>
        <w:rPr>
          <w:rFonts w:ascii="宋体" w:hAnsi="宋体" w:cs="宋体"/>
          <w:szCs w:val="21"/>
        </w:rPr>
      </w:pPr>
      <w:bookmarkStart w:id="130" w:name="_Toc368066695"/>
      <w:bookmarkStart w:id="131" w:name="_Toc240992313"/>
      <w:bookmarkStart w:id="132" w:name="_Toc357774470"/>
      <w:r>
        <w:rPr>
          <w:rFonts w:hint="eastAsia" w:ascii="宋体" w:hAnsi="宋体" w:cs="宋体"/>
          <w:szCs w:val="21"/>
        </w:rPr>
        <w:t>（1）乙方应按照甲方要求制定详细的维修保养计划，经甲方审核后方能进行设备维护维修工作。</w:t>
      </w:r>
    </w:p>
    <w:p>
      <w:pPr>
        <w:pStyle w:val="45"/>
        <w:spacing w:after="0" w:line="360" w:lineRule="auto"/>
        <w:rPr>
          <w:rFonts w:ascii="宋体" w:hAnsi="宋体" w:cs="宋体"/>
          <w:szCs w:val="21"/>
        </w:rPr>
      </w:pPr>
      <w:r>
        <w:rPr>
          <w:rFonts w:hint="eastAsia" w:ascii="宋体" w:hAnsi="宋体" w:cs="宋体"/>
          <w:szCs w:val="21"/>
        </w:rPr>
        <w:t>（2）乙方应严格按照合同约定的标准、规范提供维修保养服务。</w:t>
      </w:r>
    </w:p>
    <w:p>
      <w:pPr>
        <w:pStyle w:val="45"/>
        <w:spacing w:after="0" w:line="360" w:lineRule="auto"/>
        <w:rPr>
          <w:rFonts w:ascii="宋体" w:hAnsi="宋体" w:cs="宋体"/>
          <w:szCs w:val="21"/>
        </w:rPr>
      </w:pPr>
      <w:r>
        <w:rPr>
          <w:rFonts w:hint="eastAsia" w:ascii="宋体" w:hAnsi="宋体" w:cs="宋体"/>
          <w:szCs w:val="21"/>
        </w:rPr>
        <w:t>（3）乙方维保人员应统一着装，并按有关规定配发劳保防护用品。维修保养过程中，乙方须采取严格的安全防护措施。</w:t>
      </w:r>
    </w:p>
    <w:p>
      <w:pPr>
        <w:pStyle w:val="45"/>
        <w:spacing w:after="0" w:line="360" w:lineRule="auto"/>
        <w:rPr>
          <w:rFonts w:ascii="宋体" w:hAnsi="宋体" w:cs="宋体"/>
          <w:szCs w:val="21"/>
        </w:rPr>
      </w:pPr>
      <w:r>
        <w:rPr>
          <w:rFonts w:hint="eastAsia" w:ascii="宋体" w:hAnsi="宋体" w:cs="宋体"/>
          <w:szCs w:val="21"/>
        </w:rPr>
        <w:t>（4）乙方须安排专人值班，确保通讯畅通。接到甲方通知后，按甲方要求在规定时间内响应并到达现场进行维修处理。</w:t>
      </w:r>
    </w:p>
    <w:p>
      <w:pPr>
        <w:pStyle w:val="45"/>
        <w:spacing w:after="0" w:line="360" w:lineRule="auto"/>
        <w:rPr>
          <w:rFonts w:ascii="宋体" w:hAnsi="宋体" w:cs="宋体"/>
          <w:szCs w:val="21"/>
        </w:rPr>
      </w:pPr>
      <w:r>
        <w:rPr>
          <w:rFonts w:hint="eastAsia" w:ascii="宋体" w:hAnsi="宋体" w:cs="宋体"/>
          <w:szCs w:val="21"/>
        </w:rPr>
        <w:t>（5）乙方须接受甲方对工期、质量、人员组成、设备、仪器、维护维修过程的监督。</w:t>
      </w:r>
    </w:p>
    <w:p>
      <w:pPr>
        <w:pStyle w:val="45"/>
        <w:spacing w:after="0" w:line="360" w:lineRule="auto"/>
        <w:rPr>
          <w:rFonts w:ascii="宋体" w:hAnsi="宋体" w:cs="宋体"/>
          <w:szCs w:val="21"/>
        </w:rPr>
      </w:pPr>
      <w:r>
        <w:rPr>
          <w:rFonts w:hint="eastAsia" w:ascii="宋体" w:hAnsi="宋体" w:cs="宋体"/>
          <w:szCs w:val="21"/>
        </w:rPr>
        <w:t>（6）乙方须按投标承诺配置维保机构人员，如投标阶段未明确人员名单，则乙方须按甲方要求将维保机构人员资料交甲方备案。维保机构人员数量及技术能力应保持稳定，未经甲方许可不得擅自更换人员。确需更换人员的，乙方应按甲方相关规定办理变更手续，经甲方审批同意并按本合同第10条支付违约金后方可更换。</w:t>
      </w:r>
    </w:p>
    <w:p>
      <w:pPr>
        <w:pStyle w:val="45"/>
        <w:spacing w:after="0" w:line="360" w:lineRule="auto"/>
        <w:rPr>
          <w:rFonts w:ascii="宋体" w:hAnsi="宋体" w:cs="宋体"/>
          <w:szCs w:val="21"/>
        </w:rPr>
      </w:pPr>
      <w:r>
        <w:rPr>
          <w:rFonts w:hint="eastAsia" w:ascii="宋体" w:hAnsi="宋体" w:cs="宋体"/>
          <w:szCs w:val="21"/>
        </w:rPr>
        <w:t>（7）乙方须积极配合行业主管部门对设备的检查、检测、遗留问题整改等相关工作。</w:t>
      </w:r>
    </w:p>
    <w:p>
      <w:pPr>
        <w:pStyle w:val="45"/>
        <w:spacing w:after="0" w:line="360" w:lineRule="auto"/>
        <w:rPr>
          <w:rFonts w:ascii="宋体" w:hAnsi="宋体" w:cs="宋体"/>
          <w:szCs w:val="21"/>
        </w:rPr>
      </w:pPr>
      <w:r>
        <w:rPr>
          <w:rFonts w:hint="eastAsia" w:ascii="宋体" w:hAnsi="宋体" w:cs="宋体"/>
          <w:szCs w:val="21"/>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22"/>
        <w:outlineLvl w:val="1"/>
        <w:rPr>
          <w:rFonts w:ascii="宋体" w:hAnsi="宋体" w:cs="宋体"/>
          <w:b/>
          <w:bCs/>
          <w:szCs w:val="21"/>
        </w:rPr>
      </w:pPr>
      <w:bookmarkStart w:id="133" w:name="_Toc21185"/>
      <w:bookmarkStart w:id="134" w:name="_Toc13407"/>
      <w:r>
        <w:rPr>
          <w:rFonts w:hint="eastAsia" w:ascii="宋体" w:hAnsi="宋体" w:cs="宋体"/>
          <w:b/>
          <w:bCs/>
          <w:szCs w:val="21"/>
        </w:rPr>
        <w:t>9、项目验收</w:t>
      </w:r>
      <w:bookmarkEnd w:id="130"/>
      <w:bookmarkEnd w:id="133"/>
      <w:bookmarkEnd w:id="134"/>
    </w:p>
    <w:p>
      <w:pPr>
        <w:pStyle w:val="45"/>
        <w:spacing w:after="0" w:line="360" w:lineRule="auto"/>
        <w:rPr>
          <w:rFonts w:ascii="宋体" w:hAnsi="宋体" w:cs="宋体"/>
          <w:szCs w:val="21"/>
        </w:rPr>
      </w:pPr>
      <w:r>
        <w:rPr>
          <w:rFonts w:hint="eastAsia" w:ascii="宋体" w:hAnsi="宋体" w:cs="宋体"/>
          <w:szCs w:val="21"/>
        </w:rPr>
        <w:t>乙方应按甲方规定的时间以书面形式提交维护保养报告，维护保养成果及维护保养报告经甲方确认达到本合同要求的技术及质量标准，视为验收合格。具体要求以用户需求书/技术规格书为准。</w:t>
      </w:r>
    </w:p>
    <w:bookmarkEnd w:id="131"/>
    <w:bookmarkEnd w:id="132"/>
    <w:p>
      <w:pPr>
        <w:pStyle w:val="45"/>
        <w:spacing w:after="0" w:line="360" w:lineRule="auto"/>
        <w:ind w:firstLine="422"/>
        <w:outlineLvl w:val="1"/>
        <w:rPr>
          <w:rFonts w:ascii="宋体" w:hAnsi="宋体" w:cs="宋体"/>
          <w:b/>
          <w:bCs/>
          <w:szCs w:val="21"/>
          <w:lang w:bidi="ar"/>
        </w:rPr>
      </w:pPr>
      <w:bookmarkStart w:id="135" w:name="_Toc368066696"/>
      <w:bookmarkStart w:id="136" w:name="_Toc2817"/>
      <w:bookmarkStart w:id="137" w:name="_Toc26125"/>
      <w:bookmarkStart w:id="138" w:name="_Toc136850808"/>
      <w:r>
        <w:rPr>
          <w:rFonts w:hint="eastAsia" w:ascii="宋体" w:hAnsi="宋体" w:cs="宋体"/>
          <w:b/>
          <w:bCs/>
          <w:szCs w:val="21"/>
          <w:lang w:bidi="ar"/>
        </w:rPr>
        <w:t>10、违约责任</w:t>
      </w:r>
      <w:bookmarkEnd w:id="135"/>
      <w:bookmarkEnd w:id="136"/>
      <w:bookmarkEnd w:id="137"/>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10.1人员管理不到位的违约责任</w:t>
      </w:r>
    </w:p>
    <w:p>
      <w:pPr>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合同履行期间，乙方确需更换项目负责人的，乙方应按甲方相关规定办理变更手续，且只能更换一次；经报甲方审批同意更换项目负责人的，乙方须支付10000元违约金。</w:t>
      </w:r>
      <w:r>
        <w:rPr>
          <w:rFonts w:hint="eastAsia" w:ascii="宋体" w:hAnsi="宋体" w:cs="宋体"/>
          <w:szCs w:val="21"/>
        </w:rPr>
        <w:t>未经甲方审批同意，乙方擅自变更项目负责人的，乙方须支付20000元违约金。</w:t>
      </w:r>
    </w:p>
    <w:p>
      <w:pPr>
        <w:snapToGrid w:val="0"/>
        <w:spacing w:line="360" w:lineRule="auto"/>
        <w:ind w:firstLine="420" w:firstLineChars="200"/>
        <w:rPr>
          <w:rFonts w:ascii="宋体" w:hAnsi="宋体" w:cs="宋体"/>
          <w:kern w:val="0"/>
          <w:szCs w:val="21"/>
        </w:rPr>
      </w:pPr>
      <w:r>
        <w:rPr>
          <w:rFonts w:hint="eastAsia" w:ascii="宋体" w:hAnsi="宋体" w:cs="宋体"/>
          <w:szCs w:val="21"/>
        </w:rPr>
        <w:t>（2）合同履行期间，</w:t>
      </w:r>
      <w:r>
        <w:rPr>
          <w:rFonts w:hint="eastAsia" w:ascii="宋体" w:hAnsi="宋体" w:cs="宋体"/>
          <w:kern w:val="0"/>
          <w:szCs w:val="21"/>
        </w:rPr>
        <w:t>乙方确需更换项目其他人员的，乙方应按甲方相关规定办理变更手续；经报甲方审批同意更换项目其他人员的，乙方须支付2000元/人的违约金。</w:t>
      </w:r>
      <w:r>
        <w:rPr>
          <w:rFonts w:hint="eastAsia" w:ascii="宋体" w:hAnsi="宋体" w:cs="宋体"/>
          <w:szCs w:val="21"/>
        </w:rPr>
        <w:t>未经甲方审批同意，乙方擅自变更项目其他人员的，乙方须支付4000元/人的违约金。</w:t>
      </w:r>
    </w:p>
    <w:p>
      <w:pPr>
        <w:pStyle w:val="45"/>
        <w:spacing w:after="0" w:line="360" w:lineRule="auto"/>
        <w:rPr>
          <w:rFonts w:ascii="宋体" w:hAnsi="宋体" w:cs="宋体"/>
          <w:szCs w:val="21"/>
        </w:rPr>
      </w:pPr>
      <w:r>
        <w:rPr>
          <w:rFonts w:hint="eastAsia" w:ascii="宋体" w:hAnsi="宋体" w:cs="宋体"/>
          <w:szCs w:val="21"/>
        </w:rPr>
        <w:t>（3）项目负责人缺勤的，乙方须支付500元/天的违约金；项目其他人员缺勤的，乙方须支付200元/人·天的违约金。缺勤以甲方不定时抽查和乙方内部审核的签到表或打卡记录为准。</w:t>
      </w:r>
    </w:p>
    <w:p>
      <w:pPr>
        <w:pStyle w:val="45"/>
        <w:spacing w:after="0" w:line="360" w:lineRule="auto"/>
        <w:rPr>
          <w:rFonts w:ascii="宋体" w:hAnsi="宋体" w:cs="宋体"/>
          <w:szCs w:val="21"/>
        </w:rPr>
      </w:pPr>
      <w:r>
        <w:rPr>
          <w:rFonts w:hint="eastAsia" w:ascii="宋体" w:hAnsi="宋体" w:cs="宋体"/>
          <w:szCs w:val="21"/>
        </w:rPr>
        <w:t>10.2 维保工作不到位的违约责任</w:t>
      </w:r>
    </w:p>
    <w:p>
      <w:pPr>
        <w:pStyle w:val="45"/>
        <w:spacing w:after="0" w:line="360" w:lineRule="auto"/>
        <w:rPr>
          <w:rFonts w:ascii="宋体" w:hAnsi="宋体" w:cs="宋体"/>
          <w:szCs w:val="21"/>
        </w:rPr>
      </w:pPr>
      <w:r>
        <w:rPr>
          <w:rFonts w:hint="eastAsia" w:ascii="宋体" w:hAnsi="宋体" w:cs="宋体"/>
          <w:szCs w:val="21"/>
        </w:rPr>
        <w:t>维保工作不到位的违约责任在用户需求书/技术规格书中明确的，按用户需求书/技术规格书执行，无明确约定的，按下述条款执行。</w:t>
      </w:r>
    </w:p>
    <w:p>
      <w:pPr>
        <w:pStyle w:val="45"/>
        <w:spacing w:after="0" w:line="360" w:lineRule="auto"/>
        <w:rPr>
          <w:rFonts w:ascii="宋体" w:hAnsi="宋体" w:cs="宋体"/>
          <w:szCs w:val="21"/>
        </w:rPr>
      </w:pPr>
      <w:r>
        <w:rPr>
          <w:rFonts w:hint="eastAsia" w:ascii="宋体" w:hAnsi="宋体" w:cs="宋体"/>
          <w:szCs w:val="21"/>
        </w:rPr>
        <w:t>（1）未经甲方书面同意，乙方在设备维保过程中使用不符合合同要求的备件和材料的，乙方应立即按甲方要求进行整改，且乙方须支付5000元/次的违约金。</w:t>
      </w:r>
    </w:p>
    <w:p>
      <w:pPr>
        <w:pStyle w:val="45"/>
        <w:spacing w:after="0" w:line="360" w:lineRule="auto"/>
        <w:rPr>
          <w:rFonts w:ascii="宋体" w:hAnsi="宋体" w:cs="宋体"/>
          <w:szCs w:val="21"/>
        </w:rPr>
      </w:pPr>
      <w:r>
        <w:rPr>
          <w:rFonts w:hint="eastAsia" w:ascii="宋体" w:hAnsi="宋体" w:cs="宋体"/>
          <w:szCs w:val="21"/>
        </w:rPr>
        <w:t>（2）乙方未采取严格的安全防护措施导致发生人员安全事故的，由乙方承担全部责任及由此而产生的一切费用。</w:t>
      </w:r>
    </w:p>
    <w:p>
      <w:pPr>
        <w:pStyle w:val="45"/>
        <w:spacing w:after="0" w:line="360" w:lineRule="auto"/>
        <w:rPr>
          <w:rFonts w:ascii="宋体" w:hAnsi="宋体" w:cs="宋体"/>
          <w:szCs w:val="21"/>
        </w:rPr>
      </w:pPr>
      <w:r>
        <w:rPr>
          <w:rFonts w:hint="eastAsia" w:ascii="宋体" w:hAnsi="宋体" w:cs="宋体"/>
          <w:szCs w:val="21"/>
        </w:rPr>
        <w:t>（3）乙方未按合同规定的时间对设备进行日常维护保养、特定日保障的（如有），乙方须支付2000元/次的违约金。</w:t>
      </w:r>
    </w:p>
    <w:p>
      <w:pPr>
        <w:pStyle w:val="45"/>
        <w:spacing w:after="0" w:line="360" w:lineRule="auto"/>
        <w:rPr>
          <w:rFonts w:ascii="宋体" w:hAnsi="宋体" w:cs="宋体"/>
          <w:szCs w:val="21"/>
        </w:rPr>
      </w:pPr>
      <w:r>
        <w:rPr>
          <w:rFonts w:hint="eastAsia" w:ascii="宋体" w:hAnsi="宋体" w:cs="宋体"/>
          <w:szCs w:val="21"/>
        </w:rPr>
        <w:t>（4）乙方接到甲方设备故障（缺陷）通知后，未按甲方要求的时间响应或到达现场进行维修处理的，乙方须支付1000元/次的违约金。</w:t>
      </w:r>
    </w:p>
    <w:p>
      <w:pPr>
        <w:pStyle w:val="45"/>
        <w:spacing w:after="0" w:line="360" w:lineRule="auto"/>
        <w:rPr>
          <w:rFonts w:ascii="宋体" w:hAnsi="宋体" w:cs="宋体"/>
          <w:szCs w:val="21"/>
        </w:rPr>
      </w:pPr>
      <w:r>
        <w:rPr>
          <w:rFonts w:hint="eastAsia" w:ascii="宋体" w:hAnsi="宋体" w:cs="宋体"/>
          <w:szCs w:val="21"/>
        </w:rPr>
        <w:t>（5）乙方未在本合同签订后15个工作日内提供履约担保的，每延迟一天乙方应按签约合同价的5‰向甲方支付违约金，违约金最高不超过签约合同价的10%。</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10.3违约金以现金或转账方式交纳，甲方开具收款收据、不提供发票，乙方不得因此冲减增值税专用发票金额。</w:t>
      </w:r>
    </w:p>
    <w:bookmarkEnd w:id="138"/>
    <w:p>
      <w:pPr>
        <w:pStyle w:val="45"/>
        <w:spacing w:after="0" w:line="360" w:lineRule="auto"/>
        <w:ind w:firstLine="422"/>
        <w:outlineLvl w:val="1"/>
        <w:rPr>
          <w:rFonts w:ascii="宋体" w:hAnsi="宋体" w:cs="宋体"/>
          <w:b/>
          <w:bCs/>
          <w:szCs w:val="21"/>
        </w:rPr>
      </w:pPr>
      <w:bookmarkStart w:id="139" w:name="_Toc368066697"/>
      <w:bookmarkStart w:id="140" w:name="_Toc12374"/>
      <w:bookmarkStart w:id="141" w:name="_Toc11534"/>
      <w:r>
        <w:rPr>
          <w:rFonts w:hint="eastAsia" w:ascii="宋体" w:hAnsi="宋体" w:cs="宋体"/>
          <w:b/>
          <w:bCs/>
          <w:szCs w:val="21"/>
        </w:rPr>
        <w:t>11、不可抗力</w:t>
      </w:r>
      <w:bookmarkEnd w:id="139"/>
      <w:bookmarkEnd w:id="140"/>
      <w:bookmarkEnd w:id="141"/>
    </w:p>
    <w:p>
      <w:pPr>
        <w:pStyle w:val="45"/>
        <w:spacing w:after="0" w:line="360" w:lineRule="auto"/>
        <w:rPr>
          <w:rFonts w:ascii="宋体" w:hAnsi="宋体" w:cs="宋体"/>
          <w:szCs w:val="21"/>
        </w:rPr>
      </w:pPr>
      <w:bookmarkStart w:id="142" w:name="_Toc136850809"/>
      <w:r>
        <w:rPr>
          <w:rFonts w:hint="eastAsia" w:ascii="宋体" w:hAnsi="宋体" w:cs="宋体"/>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bookmarkEnd w:id="142"/>
    <w:p>
      <w:pPr>
        <w:pStyle w:val="45"/>
        <w:spacing w:after="0" w:line="360" w:lineRule="auto"/>
        <w:ind w:firstLine="422"/>
        <w:outlineLvl w:val="1"/>
        <w:rPr>
          <w:rFonts w:ascii="宋体" w:hAnsi="宋体" w:cs="宋体"/>
          <w:b/>
          <w:bCs/>
          <w:szCs w:val="21"/>
        </w:rPr>
      </w:pPr>
      <w:bookmarkStart w:id="143" w:name="_Toc18270"/>
      <w:bookmarkStart w:id="144" w:name="_Toc368066698"/>
      <w:bookmarkStart w:id="145" w:name="_Toc20430"/>
      <w:r>
        <w:rPr>
          <w:rFonts w:hint="eastAsia" w:ascii="宋体" w:hAnsi="宋体" w:cs="宋体"/>
          <w:b/>
          <w:bCs/>
          <w:szCs w:val="21"/>
        </w:rPr>
        <w:t>12、争议解决</w:t>
      </w:r>
      <w:bookmarkEnd w:id="143"/>
      <w:bookmarkEnd w:id="144"/>
      <w:bookmarkEnd w:id="145"/>
    </w:p>
    <w:p>
      <w:pPr>
        <w:pStyle w:val="45"/>
        <w:spacing w:after="0" w:line="360" w:lineRule="auto"/>
        <w:rPr>
          <w:rFonts w:ascii="宋体" w:hAnsi="宋体" w:cs="宋体"/>
          <w:szCs w:val="21"/>
        </w:rPr>
      </w:pPr>
      <w:bookmarkStart w:id="146" w:name="_Toc368066699"/>
      <w:r>
        <w:rPr>
          <w:rFonts w:hint="eastAsia" w:ascii="宋体" w:hAnsi="宋体" w:cs="宋体"/>
          <w:szCs w:val="21"/>
        </w:rPr>
        <w:t>12.1合同双方在履行合同中发生争议的，先应友好协商解决或委托中介机构或专业部门进行鉴定，检测或审核，也可提请行政主管部门的专门机构进行调解。</w:t>
      </w:r>
    </w:p>
    <w:p>
      <w:pPr>
        <w:pStyle w:val="45"/>
        <w:spacing w:after="0" w:line="360" w:lineRule="auto"/>
        <w:rPr>
          <w:rFonts w:ascii="宋体" w:hAnsi="宋体" w:cs="宋体"/>
          <w:szCs w:val="21"/>
        </w:rPr>
      </w:pPr>
      <w:r>
        <w:rPr>
          <w:rFonts w:hint="eastAsia" w:ascii="宋体" w:hAnsi="宋体" w:cs="宋体"/>
          <w:szCs w:val="21"/>
        </w:rPr>
        <w:t>12.2合同当事人友好协商解决不成，不愿委托中介机构或专业部门鉴定、检测、审核、也不提请调解的，或不接受鉴定、检测、审核结论或调解意见的，可向工程所在地的人民法院提起诉讼。</w:t>
      </w:r>
    </w:p>
    <w:bookmarkEnd w:id="146"/>
    <w:p>
      <w:pPr>
        <w:pStyle w:val="45"/>
        <w:spacing w:after="0" w:line="360" w:lineRule="auto"/>
        <w:ind w:firstLine="422"/>
        <w:outlineLvl w:val="1"/>
        <w:rPr>
          <w:rFonts w:ascii="宋体" w:hAnsi="宋体" w:cs="宋体"/>
          <w:b/>
          <w:bCs/>
          <w:szCs w:val="21"/>
        </w:rPr>
      </w:pPr>
      <w:bookmarkStart w:id="147" w:name="_Toc5613"/>
      <w:bookmarkStart w:id="148" w:name="_Toc24616"/>
      <w:r>
        <w:rPr>
          <w:rFonts w:hint="eastAsia" w:ascii="宋体" w:hAnsi="宋体" w:cs="宋体"/>
          <w:b/>
          <w:bCs/>
          <w:szCs w:val="21"/>
        </w:rPr>
        <w:t>13、合同解除</w:t>
      </w:r>
      <w:bookmarkEnd w:id="147"/>
      <w:bookmarkEnd w:id="148"/>
    </w:p>
    <w:p>
      <w:pPr>
        <w:pStyle w:val="45"/>
        <w:spacing w:after="0" w:line="360" w:lineRule="auto"/>
        <w:rPr>
          <w:rFonts w:ascii="宋体" w:hAnsi="宋体" w:cs="宋体"/>
          <w:szCs w:val="21"/>
        </w:rPr>
      </w:pPr>
      <w:r>
        <w:rPr>
          <w:rFonts w:hint="eastAsia" w:ascii="宋体" w:hAnsi="宋体" w:cs="宋体"/>
          <w:szCs w:val="21"/>
        </w:rPr>
        <w:t>13.1 有下列情形之一的，合同当事人一方或双方可以解除合同：</w:t>
      </w:r>
    </w:p>
    <w:p>
      <w:pPr>
        <w:pStyle w:val="45"/>
        <w:spacing w:after="0" w:line="360" w:lineRule="auto"/>
        <w:rPr>
          <w:rFonts w:ascii="宋体" w:hAnsi="宋体" w:cs="宋体"/>
          <w:szCs w:val="21"/>
        </w:rPr>
      </w:pPr>
      <w:r>
        <w:rPr>
          <w:rFonts w:hint="eastAsia" w:ascii="宋体" w:hAnsi="宋体" w:cs="宋体"/>
          <w:szCs w:val="21"/>
        </w:rPr>
        <w:t>（1）乙方将本合同约定的工作全部或部分转包给他人，甲方可以解除合同；</w:t>
      </w:r>
    </w:p>
    <w:p>
      <w:pPr>
        <w:pStyle w:val="45"/>
        <w:spacing w:after="0" w:line="360" w:lineRule="auto"/>
        <w:rPr>
          <w:rFonts w:ascii="宋体" w:hAnsi="宋体" w:cs="宋体"/>
          <w:szCs w:val="21"/>
        </w:rPr>
      </w:pPr>
      <w:r>
        <w:rPr>
          <w:rFonts w:hint="eastAsia" w:ascii="宋体" w:hAnsi="宋体" w:cs="宋体"/>
          <w:szCs w:val="21"/>
        </w:rPr>
        <w:t>（2）因不可抗力致使合同无法履行；</w:t>
      </w:r>
    </w:p>
    <w:p>
      <w:pPr>
        <w:pStyle w:val="45"/>
        <w:spacing w:after="0" w:line="360" w:lineRule="auto"/>
        <w:rPr>
          <w:rFonts w:ascii="宋体" w:hAnsi="宋体" w:cs="宋体"/>
          <w:szCs w:val="21"/>
        </w:rPr>
      </w:pPr>
      <w:r>
        <w:rPr>
          <w:rFonts w:hint="eastAsia" w:ascii="宋体" w:hAnsi="宋体" w:cs="宋体"/>
          <w:szCs w:val="21"/>
        </w:rPr>
        <w:t>（3）因一方违约致使合同无法实际履行或实际履行已无必要。</w:t>
      </w:r>
    </w:p>
    <w:p>
      <w:pPr>
        <w:pStyle w:val="45"/>
        <w:spacing w:after="0" w:line="360" w:lineRule="auto"/>
        <w:rPr>
          <w:rFonts w:ascii="宋体" w:hAnsi="宋体" w:cs="宋体"/>
          <w:szCs w:val="21"/>
        </w:rPr>
      </w:pPr>
      <w:r>
        <w:rPr>
          <w:rFonts w:hint="eastAsia" w:ascii="宋体" w:hAnsi="宋体" w:cs="宋体"/>
          <w:szCs w:val="21"/>
        </w:rPr>
        <w:t>（4）违约金总额超过合同签约价的10%，甲方有权解除合同。</w:t>
      </w:r>
    </w:p>
    <w:p>
      <w:pPr>
        <w:pStyle w:val="45"/>
        <w:spacing w:after="0" w:line="360" w:lineRule="auto"/>
        <w:rPr>
          <w:rFonts w:ascii="宋体" w:hAnsi="宋体" w:cs="宋体"/>
          <w:szCs w:val="21"/>
        </w:rPr>
      </w:pPr>
      <w:r>
        <w:rPr>
          <w:rFonts w:hint="eastAsia" w:ascii="宋体" w:hAnsi="宋体" w:cs="宋体"/>
          <w:szCs w:val="21"/>
        </w:rPr>
        <w:t>13.2 任何一方提出解除合同的，应提前30天书面通知对方。</w:t>
      </w:r>
    </w:p>
    <w:p>
      <w:pPr>
        <w:pStyle w:val="45"/>
        <w:spacing w:after="0" w:line="360" w:lineRule="auto"/>
        <w:rPr>
          <w:rFonts w:ascii="宋体" w:hAnsi="宋体" w:cs="宋体"/>
          <w:szCs w:val="21"/>
        </w:rPr>
      </w:pPr>
      <w:r>
        <w:rPr>
          <w:rFonts w:hint="eastAsia" w:ascii="宋体" w:hAnsi="宋体" w:cs="宋体"/>
          <w:szCs w:val="21"/>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pPr>
        <w:pStyle w:val="45"/>
        <w:spacing w:after="0" w:line="360" w:lineRule="auto"/>
        <w:rPr>
          <w:rFonts w:ascii="宋体" w:hAnsi="宋体" w:cs="宋体"/>
          <w:szCs w:val="21"/>
        </w:rPr>
      </w:pPr>
      <w:r>
        <w:rPr>
          <w:rFonts w:hint="eastAsia" w:ascii="宋体" w:hAnsi="宋体" w:cs="宋体"/>
          <w:szCs w:val="21"/>
        </w:rPr>
        <w:t>13.4本合同解除后，本合同约定的有关结算、争议解决方式的条款仍然有效。</w:t>
      </w:r>
    </w:p>
    <w:p>
      <w:pPr>
        <w:pStyle w:val="45"/>
        <w:spacing w:after="0" w:line="360" w:lineRule="auto"/>
        <w:ind w:firstLine="422"/>
        <w:outlineLvl w:val="1"/>
        <w:rPr>
          <w:rFonts w:ascii="宋体" w:hAnsi="宋体" w:cs="宋体"/>
          <w:b/>
          <w:bCs/>
          <w:szCs w:val="21"/>
        </w:rPr>
      </w:pPr>
      <w:bookmarkStart w:id="149" w:name="_Toc7465"/>
      <w:bookmarkStart w:id="150" w:name="_Toc32137"/>
      <w:r>
        <w:rPr>
          <w:rFonts w:hint="eastAsia" w:ascii="宋体" w:hAnsi="宋体" w:cs="宋体"/>
          <w:b/>
          <w:bCs/>
          <w:szCs w:val="21"/>
        </w:rPr>
        <w:t>14、合同终止</w:t>
      </w:r>
      <w:bookmarkEnd w:id="149"/>
      <w:bookmarkEnd w:id="150"/>
    </w:p>
    <w:p>
      <w:pPr>
        <w:pStyle w:val="45"/>
        <w:spacing w:after="0" w:line="360" w:lineRule="auto"/>
        <w:rPr>
          <w:rFonts w:ascii="宋体" w:hAnsi="宋体" w:cs="宋体"/>
          <w:szCs w:val="21"/>
        </w:rPr>
      </w:pPr>
      <w:r>
        <w:rPr>
          <w:rFonts w:hint="eastAsia" w:ascii="宋体" w:hAnsi="宋体" w:cs="宋体"/>
          <w:szCs w:val="21"/>
        </w:rPr>
        <w:t>除合同解除外，以下条件全部满足时，本合同终止：</w:t>
      </w:r>
    </w:p>
    <w:p>
      <w:pPr>
        <w:pStyle w:val="45"/>
        <w:spacing w:after="0" w:line="360" w:lineRule="auto"/>
        <w:rPr>
          <w:rFonts w:ascii="宋体" w:hAnsi="宋体" w:cs="宋体"/>
          <w:szCs w:val="21"/>
        </w:rPr>
      </w:pPr>
      <w:r>
        <w:rPr>
          <w:rFonts w:hint="eastAsia" w:ascii="宋体" w:hAnsi="宋体" w:cs="宋体"/>
          <w:szCs w:val="21"/>
        </w:rPr>
        <w:t>（1）乙方完成本合同约定的全部工作；</w:t>
      </w:r>
    </w:p>
    <w:p>
      <w:pPr>
        <w:pStyle w:val="45"/>
        <w:spacing w:after="0" w:line="360" w:lineRule="auto"/>
        <w:rPr>
          <w:rFonts w:ascii="宋体" w:hAnsi="宋体" w:cs="宋体"/>
          <w:szCs w:val="21"/>
        </w:rPr>
      </w:pPr>
      <w:r>
        <w:rPr>
          <w:rFonts w:hint="eastAsia" w:ascii="宋体" w:hAnsi="宋体" w:cs="宋体"/>
          <w:szCs w:val="21"/>
        </w:rPr>
        <w:t>（2）甲方与乙方结清并支付服务费用；</w:t>
      </w:r>
    </w:p>
    <w:p>
      <w:pPr>
        <w:pStyle w:val="45"/>
        <w:spacing w:after="0" w:line="360" w:lineRule="auto"/>
        <w:rPr>
          <w:rFonts w:ascii="宋体" w:hAnsi="宋体" w:cs="宋体"/>
          <w:szCs w:val="21"/>
        </w:rPr>
      </w:pPr>
      <w:r>
        <w:rPr>
          <w:rFonts w:hint="eastAsia" w:ascii="宋体" w:hAnsi="宋体" w:cs="宋体"/>
          <w:szCs w:val="21"/>
        </w:rPr>
        <w:t>（3）乙方将甲方提供的资料交还。</w:t>
      </w:r>
    </w:p>
    <w:p>
      <w:pPr>
        <w:pStyle w:val="45"/>
        <w:spacing w:after="0" w:line="360" w:lineRule="auto"/>
        <w:ind w:firstLine="422"/>
        <w:outlineLvl w:val="1"/>
        <w:rPr>
          <w:rFonts w:ascii="宋体" w:hAnsi="宋体" w:cs="宋体"/>
          <w:b/>
          <w:bCs/>
          <w:szCs w:val="21"/>
        </w:rPr>
      </w:pPr>
      <w:bookmarkStart w:id="151" w:name="_Toc20824"/>
      <w:r>
        <w:rPr>
          <w:rFonts w:hint="eastAsia" w:ascii="宋体" w:hAnsi="宋体" w:cs="宋体"/>
          <w:b/>
          <w:bCs/>
          <w:szCs w:val="21"/>
        </w:rPr>
        <w:t>15、双方约定的其他事项</w:t>
      </w:r>
      <w:bookmarkEnd w:id="151"/>
    </w:p>
    <w:p>
      <w:pPr>
        <w:tabs>
          <w:tab w:val="left" w:pos="851"/>
          <w:tab w:val="left" w:pos="1440"/>
        </w:tabs>
        <w:adjustRightInd w:val="0"/>
        <w:snapToGrid w:val="0"/>
        <w:spacing w:before="156" w:beforeLines="50" w:after="156" w:afterLines="50" w:line="360" w:lineRule="auto"/>
        <w:ind w:firstLine="422" w:firstLineChars="200"/>
        <w:jc w:val="center"/>
        <w:outlineLvl w:val="0"/>
        <w:rPr>
          <w:rFonts w:ascii="宋体" w:hAnsi="宋体" w:cs="宋体"/>
          <w:b/>
          <w:kern w:val="0"/>
          <w:szCs w:val="21"/>
        </w:rPr>
      </w:pPr>
      <w:r>
        <w:rPr>
          <w:rFonts w:hint="eastAsia" w:ascii="宋体" w:hAnsi="宋体" w:cs="宋体"/>
          <w:b/>
          <w:bCs/>
          <w:szCs w:val="21"/>
          <w:u w:val="single"/>
        </w:rPr>
        <w:br w:type="page"/>
      </w:r>
      <w:bookmarkStart w:id="152" w:name="_Toc26755"/>
      <w:bookmarkStart w:id="153" w:name="_Toc25884"/>
      <w:r>
        <w:rPr>
          <w:rFonts w:hint="eastAsia" w:ascii="宋体" w:hAnsi="宋体" w:cs="宋体"/>
          <w:b/>
          <w:kern w:val="0"/>
          <w:szCs w:val="21"/>
        </w:rPr>
        <w:t>第四部分 技术规格书</w:t>
      </w:r>
      <w:bookmarkEnd w:id="152"/>
      <w:bookmarkEnd w:id="153"/>
    </w:p>
    <w:p>
      <w:pPr>
        <w:tabs>
          <w:tab w:val="left" w:pos="851"/>
          <w:tab w:val="left" w:pos="1440"/>
        </w:tabs>
        <w:adjustRightInd w:val="0"/>
        <w:snapToGrid w:val="0"/>
        <w:spacing w:before="156" w:beforeLines="50" w:after="156" w:afterLines="50" w:line="360" w:lineRule="auto"/>
        <w:ind w:firstLine="422" w:firstLineChars="200"/>
        <w:jc w:val="center"/>
        <w:outlineLvl w:val="0"/>
        <w:rPr>
          <w:rFonts w:ascii="宋体" w:hAnsi="宋体" w:cs="宋体"/>
          <w:szCs w:val="21"/>
        </w:rPr>
      </w:pPr>
      <w:r>
        <w:rPr>
          <w:rFonts w:hint="eastAsia" w:ascii="宋体" w:hAnsi="宋体" w:cs="宋体"/>
          <w:b/>
          <w:bCs/>
          <w:szCs w:val="21"/>
          <w:u w:val="single"/>
        </w:rPr>
        <w:br w:type="page"/>
      </w:r>
      <w:bookmarkStart w:id="154" w:name="_Toc26605"/>
      <w:bookmarkStart w:id="155" w:name="_Toc29947"/>
      <w:bookmarkStart w:id="156" w:name="_Toc437444975"/>
      <w:r>
        <w:rPr>
          <w:rFonts w:hint="eastAsia" w:ascii="宋体" w:hAnsi="宋体" w:cs="宋体"/>
          <w:b/>
          <w:kern w:val="0"/>
          <w:szCs w:val="21"/>
        </w:rPr>
        <w:t>第五部分 合同附件</w:t>
      </w:r>
      <w:bookmarkEnd w:id="154"/>
      <w:bookmarkEnd w:id="155"/>
      <w:r>
        <w:rPr>
          <w:rFonts w:hint="eastAsia" w:ascii="宋体" w:hAnsi="宋体" w:cs="宋体"/>
          <w:b/>
          <w:kern w:val="0"/>
          <w:szCs w:val="21"/>
        </w:rPr>
        <w:t xml:space="preserve"> </w:t>
      </w:r>
    </w:p>
    <w:p>
      <w:pPr>
        <w:tabs>
          <w:tab w:val="left" w:pos="540"/>
        </w:tabs>
        <w:spacing w:line="360" w:lineRule="auto"/>
        <w:ind w:firstLine="422" w:firstLineChars="200"/>
        <w:outlineLvl w:val="1"/>
        <w:rPr>
          <w:rFonts w:ascii="宋体" w:hAnsi="宋体" w:cs="宋体"/>
          <w:b/>
          <w:bCs/>
          <w:szCs w:val="21"/>
          <w:u w:val="single"/>
        </w:rPr>
      </w:pPr>
      <w:bookmarkStart w:id="157" w:name="_Toc25824"/>
      <w:bookmarkStart w:id="158" w:name="_Toc19384"/>
      <w:r>
        <w:rPr>
          <w:rFonts w:hint="eastAsia" w:ascii="宋体" w:hAnsi="宋体" w:cs="宋体"/>
          <w:b/>
          <w:bCs/>
          <w:szCs w:val="21"/>
        </w:rPr>
        <w:t>附件1 廉政合同</w:t>
      </w:r>
      <w:bookmarkEnd w:id="157"/>
      <w:bookmarkEnd w:id="158"/>
    </w:p>
    <w:p>
      <w:pPr>
        <w:autoSpaceDE w:val="0"/>
        <w:autoSpaceDN w:val="0"/>
        <w:adjustRightInd w:val="0"/>
        <w:snapToGrid w:val="0"/>
        <w:spacing w:line="360" w:lineRule="auto"/>
        <w:ind w:firstLine="422" w:firstLineChars="200"/>
        <w:jc w:val="center"/>
        <w:textAlignment w:val="bottom"/>
        <w:rPr>
          <w:rFonts w:ascii="宋体" w:hAnsi="宋体" w:cs="宋体"/>
          <w:snapToGrid w:val="0"/>
          <w:szCs w:val="21"/>
        </w:rPr>
      </w:pPr>
      <w:r>
        <w:rPr>
          <w:rFonts w:hint="eastAsia" w:ascii="宋体" w:hAnsi="宋体" w:cs="宋体"/>
          <w:b/>
          <w:snapToGrid w:val="0"/>
          <w:szCs w:val="21"/>
        </w:rPr>
        <w:t>廉政</w:t>
      </w:r>
      <w:bookmarkEnd w:id="156"/>
      <w:r>
        <w:rPr>
          <w:rFonts w:hint="eastAsia" w:ascii="宋体" w:hAnsi="宋体" w:cs="宋体"/>
          <w:b/>
          <w:snapToGrid w:val="0"/>
          <w:szCs w:val="21"/>
        </w:rPr>
        <w:t>合同</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根据国家法律、法规以及有关廉政的规定，为做好项目中的党风廉政建设，保证项目高效优质，保证项目资金的安全和有效使用以及投资效益，</w:t>
      </w:r>
      <w:r>
        <w:rPr>
          <w:rFonts w:hint="eastAsia" w:ascii="宋体" w:hAnsi="宋体" w:cs="宋体"/>
          <w:snapToGrid w:val="0"/>
          <w:szCs w:val="21"/>
          <w:u w:val="single"/>
        </w:rPr>
        <w:t xml:space="preserve">       </w:t>
      </w:r>
      <w:r>
        <w:rPr>
          <w:rFonts w:hint="eastAsia" w:ascii="宋体" w:hAnsi="宋体" w:cs="宋体"/>
          <w:snapToGrid w:val="0"/>
          <w:szCs w:val="21"/>
        </w:rPr>
        <w:t>的项目法人</w:t>
      </w:r>
      <w:r>
        <w:rPr>
          <w:rFonts w:hint="eastAsia" w:ascii="宋体" w:hAnsi="宋体" w:cs="宋体"/>
          <w:snapToGrid w:val="0"/>
          <w:szCs w:val="21"/>
          <w:u w:val="single"/>
        </w:rPr>
        <w:t xml:space="preserve">               </w:t>
      </w:r>
      <w:r>
        <w:rPr>
          <w:rFonts w:hint="eastAsia" w:ascii="宋体" w:hAnsi="宋体" w:cs="宋体"/>
          <w:snapToGrid w:val="0"/>
          <w:szCs w:val="21"/>
        </w:rPr>
        <w:t>(以下称“甲方”)与</w:t>
      </w:r>
      <w:r>
        <w:rPr>
          <w:rFonts w:hint="eastAsia" w:ascii="宋体" w:hAnsi="宋体" w:cs="宋体"/>
          <w:snapToGrid w:val="0"/>
          <w:szCs w:val="21"/>
          <w:u w:val="single"/>
        </w:rPr>
        <w:t xml:space="preserve">                  </w:t>
      </w:r>
      <w:r>
        <w:rPr>
          <w:rFonts w:hint="eastAsia" w:ascii="宋体" w:hAnsi="宋体" w:cs="宋体"/>
          <w:snapToGrid w:val="0"/>
          <w:szCs w:val="21"/>
        </w:rPr>
        <w:t>（以下称“乙方”），特订立如下合同。</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第一条 甲乙双方的权利和义务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（一）严格遵守党和国家有关法律法规及湖南省、长沙市的相关规定。</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（二）严格执行</w:t>
      </w:r>
      <w:r>
        <w:rPr>
          <w:rFonts w:hint="eastAsia" w:ascii="宋体" w:hAnsi="宋体" w:cs="宋体"/>
          <w:snapToGrid w:val="0"/>
          <w:szCs w:val="21"/>
          <w:u w:val="single"/>
        </w:rPr>
        <w:t xml:space="preserve">            </w:t>
      </w:r>
      <w:r>
        <w:rPr>
          <w:rFonts w:hint="eastAsia" w:ascii="宋体" w:hAnsi="宋体" w:cs="宋体"/>
          <w:snapToGrid w:val="0"/>
          <w:szCs w:val="21"/>
        </w:rPr>
        <w:t>的合同文件（以下简称主合同），自觉按合同办事。</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（三）双方的业务活动坚持公开、公正、诚信、透明的原则（除法律认定的商业秘密和合同文件另有规定之外），不得损害国家和集体利益，违反项目建设规章制度。</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（四）建立健全廉政制度，开展廉政教育，设立廉政告示牌，公布举报电话，监督并认真查处违法违纪行为。</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（五）发现对方在业务活动中有违反廉政规定的行为，有及时提醒对方纠正的权利和义务。</w:t>
      </w:r>
    </w:p>
    <w:p>
      <w:pPr>
        <w:tabs>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（六）发现对方严重违反本合同义务条款的行为，有向其上级有关部门举报、建议给予处理并要求告知处理结果的权利。</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第二条 甲方的义务</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（一）甲方及其工作人员不得索要或接受乙方的礼金、有价证券和贵重物品，不得在乙方报销任何应由甲方或个人支付的费用等。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（二）甲方工作人员不得参加乙方安排的超标准宴请和娱乐活动；不得接受乙方提供的通讯工具、交通工具和高档办公用品等。</w:t>
      </w:r>
    </w:p>
    <w:p>
      <w:pPr>
        <w:tabs>
          <w:tab w:val="left" w:pos="0"/>
          <w:tab w:val="left" w:pos="2115"/>
        </w:tabs>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（三）甲方及其工作人员不得要求或者接受乙方为其住房装修、婚丧嫁娶活动、配偶子女的工作安排以及出国出境、旅游等提供方便等。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第三条 乙方的义务</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（一）乙方不得以任何理由向甲方及其工作人员行贿或馈赠礼金、有价证券、贵重礼品。</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（二）乙方不得以任何名义为甲方及其工作人员报销应由甲方单位或个人支付的任何费用。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（三）乙方不得以任何理由安排甲方工作人员参加超标准宴请及娱乐活动。</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（四）乙方不得为甲方单位和个人购置或提供通讯工具、交通工具和高档办公用品等。</w:t>
      </w:r>
    </w:p>
    <w:p>
      <w:pPr>
        <w:adjustRightInd w:val="0"/>
        <w:snapToGrid w:val="0"/>
        <w:spacing w:line="360" w:lineRule="auto"/>
        <w:ind w:firstLine="422" w:firstLineChars="200"/>
        <w:rPr>
          <w:rFonts w:ascii="宋体" w:hAnsi="宋体" w:cs="宋体"/>
          <w:b/>
          <w:snapToGrid w:val="0"/>
          <w:szCs w:val="21"/>
        </w:rPr>
      </w:pPr>
      <w:r>
        <w:rPr>
          <w:rFonts w:hint="eastAsia" w:ascii="宋体" w:hAnsi="宋体" w:cs="宋体"/>
          <w:b/>
          <w:snapToGrid w:val="0"/>
          <w:szCs w:val="21"/>
        </w:rPr>
        <w:t>第四条 违约责任</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第五条</w:t>
      </w:r>
      <w:r>
        <w:rPr>
          <w:rFonts w:hint="eastAsia" w:ascii="宋体" w:hAnsi="宋体" w:cs="宋体"/>
          <w:snapToGrid w:val="0"/>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第六条</w:t>
      </w:r>
      <w:r>
        <w:rPr>
          <w:rFonts w:hint="eastAsia" w:ascii="宋体" w:hAnsi="宋体" w:cs="宋体"/>
          <w:snapToGrid w:val="0"/>
          <w:szCs w:val="21"/>
        </w:rPr>
        <w:t xml:space="preserve"> 本协议书有效期为甲乙双方签署之日起至合同完全履行完毕之日止。</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snapToGrid w:val="0"/>
          <w:szCs w:val="21"/>
        </w:rPr>
        <w:t>第七条</w:t>
      </w:r>
      <w:r>
        <w:rPr>
          <w:rFonts w:hint="eastAsia" w:ascii="宋体" w:hAnsi="宋体" w:cs="宋体"/>
          <w:snapToGrid w:val="0"/>
          <w:szCs w:val="21"/>
        </w:rPr>
        <w:t xml:space="preserve"> 本协议书作为主合同的附件，与主合同具有同等的法律效力，经合同双方签署立即生效。</w:t>
      </w:r>
    </w:p>
    <w:p>
      <w:pPr>
        <w:adjustRightInd w:val="0"/>
        <w:snapToGrid w:val="0"/>
        <w:spacing w:line="360" w:lineRule="auto"/>
        <w:ind w:firstLine="422" w:firstLineChars="200"/>
        <w:rPr>
          <w:rFonts w:ascii="宋体" w:hAnsi="宋体" w:cs="宋体"/>
          <w:snapToGrid w:val="0"/>
          <w:szCs w:val="21"/>
        </w:rPr>
      </w:pPr>
      <w:r>
        <w:rPr>
          <w:rFonts w:hint="eastAsia" w:ascii="宋体" w:hAnsi="宋体" w:cs="宋体"/>
          <w:b/>
          <w:bCs/>
          <w:snapToGrid w:val="0"/>
          <w:szCs w:val="21"/>
        </w:rPr>
        <w:t>第八条</w:t>
      </w:r>
      <w:r>
        <w:rPr>
          <w:rFonts w:hint="eastAsia" w:ascii="宋体" w:hAnsi="宋体" w:cs="宋体"/>
          <w:snapToGrid w:val="0"/>
          <w:szCs w:val="21"/>
        </w:rPr>
        <w:t xml:space="preserve"> 发现有违反相关要求的，可通过以下途径举报：</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（1）监督举报电话（限短信方式）：15367896029，15367896120。</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（2）举报邮箱：yygsjbyx2015@163.com。</w:t>
      </w:r>
    </w:p>
    <w:p>
      <w:pPr>
        <w:adjustRightInd w:val="0"/>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rPr>
        <w:t>甲方单位：</w:t>
      </w:r>
      <w:r>
        <w:rPr>
          <w:rFonts w:hint="eastAsia" w:ascii="宋体" w:hAnsi="宋体" w:cs="宋体"/>
          <w:snapToGrid w:val="0"/>
          <w:szCs w:val="21"/>
          <w:u w:val="single"/>
        </w:rPr>
        <w:t xml:space="preserve"> （盖章）       </w:t>
      </w:r>
      <w:r>
        <w:rPr>
          <w:rFonts w:hint="eastAsia" w:ascii="宋体" w:hAnsi="宋体" w:cs="宋体"/>
          <w:snapToGrid w:val="0"/>
          <w:szCs w:val="21"/>
        </w:rPr>
        <w:t xml:space="preserve">                 乙方单位：</w:t>
      </w:r>
      <w:r>
        <w:rPr>
          <w:rFonts w:hint="eastAsia" w:ascii="宋体" w:hAnsi="宋体" w:cs="宋体"/>
          <w:snapToGrid w:val="0"/>
          <w:szCs w:val="21"/>
          <w:u w:val="single"/>
        </w:rPr>
        <w:t xml:space="preserve"> （盖章）       </w:t>
      </w:r>
    </w:p>
    <w:p>
      <w:pPr>
        <w:adjustRightInd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 xml:space="preserve">法定代表人或授权代理人：（签字）          法定代表人或授权代理人：（签字）     </w:t>
      </w: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ind w:firstLine="420" w:firstLineChars="200"/>
        <w:rPr>
          <w:rFonts w:ascii="宋体" w:hAnsi="宋体" w:cs="宋体"/>
          <w:snapToGrid w:val="0"/>
          <w:szCs w:val="21"/>
          <w:u w:val="single"/>
        </w:rPr>
      </w:pPr>
      <w:r>
        <w:rPr>
          <w:rFonts w:hint="eastAsia" w:ascii="宋体" w:hAnsi="宋体" w:cs="宋体"/>
          <w:snapToGrid w:val="0"/>
          <w:szCs w:val="21"/>
          <w:u w:val="single"/>
        </w:rPr>
        <w:t xml:space="preserve">                          </w:t>
      </w:r>
      <w:r>
        <w:rPr>
          <w:rFonts w:hint="eastAsia" w:ascii="宋体" w:hAnsi="宋体" w:cs="宋体"/>
          <w:snapToGrid w:val="0"/>
          <w:szCs w:val="21"/>
        </w:rPr>
        <w:t xml:space="preserve">                  </w:t>
      </w:r>
      <w:r>
        <w:rPr>
          <w:rFonts w:hint="eastAsia" w:ascii="宋体" w:hAnsi="宋体" w:cs="宋体"/>
          <w:snapToGrid w:val="0"/>
          <w:szCs w:val="21"/>
          <w:u w:val="single"/>
        </w:rPr>
        <w:t xml:space="preserve">                          </w:t>
      </w:r>
    </w:p>
    <w:p>
      <w:pPr>
        <w:adjustRightInd w:val="0"/>
        <w:snapToGrid w:val="0"/>
        <w:spacing w:line="360" w:lineRule="auto"/>
        <w:ind w:firstLine="420" w:firstLineChars="200"/>
        <w:rPr>
          <w:rFonts w:ascii="宋体" w:hAnsi="宋体" w:cs="宋体"/>
          <w:snapToGrid w:val="0"/>
          <w:szCs w:val="21"/>
        </w:rPr>
        <w:sectPr>
          <w:headerReference r:id="rId18" w:type="default"/>
          <w:footerReference r:id="rId19" w:type="default"/>
          <w:pgSz w:w="12240" w:h="15840"/>
          <w:pgMar w:top="1440" w:right="1800" w:bottom="1157" w:left="1800" w:header="720" w:footer="720" w:gutter="0"/>
          <w:cols w:space="720" w:num="1"/>
          <w:docGrid w:type="lines" w:linePitch="312" w:charSpace="0"/>
        </w:sectPr>
      </w:pPr>
      <w:r>
        <w:rPr>
          <w:rFonts w:hint="eastAsia" w:ascii="宋体" w:hAnsi="宋体" w:cs="宋体"/>
          <w:snapToGrid w:val="0"/>
          <w:szCs w:val="21"/>
        </w:rPr>
        <w:t>电话：</w:t>
      </w:r>
      <w:r>
        <w:rPr>
          <w:rFonts w:hint="eastAsia" w:ascii="宋体" w:hAnsi="宋体" w:cs="宋体"/>
          <w:snapToGrid w:val="0"/>
          <w:szCs w:val="21"/>
          <w:u w:val="single"/>
        </w:rPr>
        <w:t xml:space="preserve">                    </w:t>
      </w:r>
      <w:r>
        <w:rPr>
          <w:rFonts w:hint="eastAsia" w:ascii="宋体" w:hAnsi="宋体" w:cs="宋体"/>
          <w:snapToGrid w:val="0"/>
          <w:szCs w:val="21"/>
        </w:rPr>
        <w:t xml:space="preserve">                 电话：</w:t>
      </w:r>
      <w:r>
        <w:rPr>
          <w:rFonts w:hint="eastAsia" w:ascii="宋体" w:hAnsi="宋体" w:cs="宋体"/>
          <w:snapToGrid w:val="0"/>
          <w:szCs w:val="21"/>
          <w:u w:val="single"/>
        </w:rPr>
        <w:t xml:space="preserve">                         </w:t>
      </w:r>
    </w:p>
    <w:p>
      <w:pPr>
        <w:tabs>
          <w:tab w:val="left" w:pos="540"/>
        </w:tabs>
        <w:spacing w:line="360" w:lineRule="auto"/>
        <w:ind w:firstLine="422" w:firstLineChars="200"/>
        <w:outlineLvl w:val="1"/>
        <w:rPr>
          <w:rFonts w:ascii="宋体" w:hAnsi="宋体" w:cs="宋体"/>
          <w:b/>
          <w:bCs/>
          <w:szCs w:val="21"/>
        </w:rPr>
      </w:pPr>
      <w:bookmarkStart w:id="159" w:name="_Toc454978188"/>
      <w:r>
        <w:rPr>
          <w:rFonts w:hint="eastAsia" w:ascii="宋体" w:hAnsi="宋体" w:cs="宋体"/>
          <w:b/>
          <w:bCs/>
          <w:szCs w:val="21"/>
        </w:rPr>
        <w:t>附件2 签约合同价清单</w:t>
      </w:r>
    </w:p>
    <w:tbl>
      <w:tblPr>
        <w:tblStyle w:val="46"/>
        <w:tblpPr w:leftFromText="180" w:rightFromText="180" w:vertAnchor="text" w:horzAnchor="page" w:tblpX="1590" w:tblpY="591"/>
        <w:tblOverlap w:val="never"/>
        <w:tblW w:w="8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526" w:type="dxa"/>
            <w:vAlign w:val="center"/>
          </w:tcPr>
          <w:p>
            <w:pPr>
              <w:adjustRightInd w:val="0"/>
              <w:snapToGrid w:val="0"/>
              <w:jc w:val="center"/>
              <w:rPr>
                <w:rFonts w:ascii="宋体" w:hAnsi="宋体" w:cs="宋体"/>
                <w:szCs w:val="21"/>
              </w:rPr>
            </w:pPr>
            <w:r>
              <w:rPr>
                <w:rFonts w:hint="eastAsia" w:ascii="宋体" w:hAnsi="宋体" w:cs="宋体"/>
                <w:szCs w:val="21"/>
              </w:rPr>
              <w:t>项目名称</w:t>
            </w:r>
          </w:p>
        </w:tc>
        <w:tc>
          <w:tcPr>
            <w:tcW w:w="7367" w:type="dxa"/>
            <w:vAlign w:val="center"/>
          </w:tcPr>
          <w:p>
            <w:pPr>
              <w:adjustRightInd w:val="0"/>
              <w:snapToGrid w:val="0"/>
              <w:spacing w:line="360" w:lineRule="auto"/>
              <w:ind w:firstLine="420" w:firstLineChars="200"/>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1526" w:type="dxa"/>
            <w:vAlign w:val="center"/>
          </w:tcPr>
          <w:p>
            <w:pPr>
              <w:adjustRightInd w:val="0"/>
              <w:snapToGrid w:val="0"/>
              <w:jc w:val="center"/>
              <w:rPr>
                <w:rFonts w:ascii="宋体" w:hAnsi="宋体" w:cs="宋体"/>
                <w:szCs w:val="21"/>
              </w:rPr>
            </w:pPr>
            <w:r>
              <w:rPr>
                <w:rFonts w:hint="eastAsia" w:ascii="宋体" w:hAnsi="宋体" w:cs="宋体"/>
                <w:szCs w:val="21"/>
              </w:rPr>
              <w:t>服务期限</w:t>
            </w:r>
          </w:p>
        </w:tc>
        <w:tc>
          <w:tcPr>
            <w:tcW w:w="7367" w:type="dxa"/>
            <w:vAlign w:val="center"/>
          </w:tcPr>
          <w:p>
            <w:pPr>
              <w:adjustRightInd w:val="0"/>
              <w:snapToGrid w:val="0"/>
              <w:spacing w:line="360" w:lineRule="auto"/>
              <w:ind w:firstLine="420" w:firstLineChars="200"/>
              <w:jc w:val="left"/>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526" w:type="dxa"/>
            <w:vAlign w:val="center"/>
          </w:tcPr>
          <w:p>
            <w:pPr>
              <w:adjustRightInd w:val="0"/>
              <w:snapToGrid w:val="0"/>
              <w:jc w:val="center"/>
              <w:rPr>
                <w:rFonts w:ascii="宋体" w:hAnsi="宋体" w:cs="宋体"/>
                <w:bCs/>
                <w:szCs w:val="21"/>
              </w:rPr>
            </w:pPr>
            <w:r>
              <w:rPr>
                <w:rFonts w:hint="eastAsia" w:ascii="宋体" w:hAnsi="宋体" w:cs="宋体"/>
                <w:bCs/>
                <w:szCs w:val="21"/>
              </w:rPr>
              <w:t>签约合同价</w:t>
            </w:r>
          </w:p>
        </w:tc>
        <w:tc>
          <w:tcPr>
            <w:tcW w:w="7367" w:type="dxa"/>
            <w:vAlign w:val="center"/>
          </w:tcPr>
          <w:p>
            <w:pPr>
              <w:adjustRightInd w:val="0"/>
              <w:snapToGrid w:val="0"/>
              <w:spacing w:line="360" w:lineRule="auto"/>
              <w:ind w:firstLine="420" w:firstLineChars="200"/>
              <w:jc w:val="left"/>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526" w:type="dxa"/>
            <w:vAlign w:val="center"/>
          </w:tcPr>
          <w:p>
            <w:pPr>
              <w:adjustRightInd w:val="0"/>
              <w:snapToGrid w:val="0"/>
              <w:jc w:val="center"/>
              <w:rPr>
                <w:rFonts w:ascii="宋体" w:hAnsi="宋体" w:cs="宋体"/>
                <w:bCs/>
                <w:szCs w:val="21"/>
              </w:rPr>
            </w:pPr>
            <w:r>
              <w:rPr>
                <w:rFonts w:hint="eastAsia" w:ascii="宋体" w:hAnsi="宋体" w:cs="宋体"/>
                <w:bCs/>
                <w:szCs w:val="21"/>
              </w:rPr>
              <w:t>备注</w:t>
            </w:r>
          </w:p>
        </w:tc>
        <w:tc>
          <w:tcPr>
            <w:tcW w:w="7367" w:type="dxa"/>
            <w:vAlign w:val="center"/>
          </w:tcPr>
          <w:p>
            <w:pPr>
              <w:adjustRightInd w:val="0"/>
              <w:snapToGrid w:val="0"/>
              <w:spacing w:line="360" w:lineRule="auto"/>
              <w:ind w:firstLine="420" w:firstLineChars="200"/>
              <w:jc w:val="left"/>
              <w:rPr>
                <w:rFonts w:ascii="宋体" w:hAnsi="宋体" w:cs="宋体"/>
                <w:bCs/>
                <w:szCs w:val="21"/>
              </w:rPr>
            </w:pPr>
          </w:p>
        </w:tc>
      </w:tr>
    </w:tbl>
    <w:p>
      <w:pPr>
        <w:pStyle w:val="4"/>
        <w:keepNext w:val="0"/>
        <w:keepLines w:val="0"/>
        <w:ind w:firstLine="422" w:firstLineChars="200"/>
        <w:rPr>
          <w:rFonts w:ascii="宋体" w:hAnsi="宋体" w:cs="宋体"/>
          <w:sz w:val="21"/>
          <w:szCs w:val="21"/>
        </w:rPr>
      </w:pPr>
    </w:p>
    <w:p>
      <w:pPr>
        <w:tabs>
          <w:tab w:val="left" w:pos="540"/>
        </w:tabs>
        <w:spacing w:line="360" w:lineRule="auto"/>
        <w:ind w:firstLine="422" w:firstLineChars="200"/>
        <w:outlineLvl w:val="1"/>
        <w:rPr>
          <w:rFonts w:ascii="宋体" w:hAnsi="宋体" w:cs="宋体"/>
          <w:b/>
          <w:bCs/>
          <w:szCs w:val="21"/>
        </w:rPr>
      </w:pPr>
    </w:p>
    <w:p>
      <w:pPr>
        <w:tabs>
          <w:tab w:val="left" w:pos="540"/>
        </w:tabs>
        <w:spacing w:line="360" w:lineRule="auto"/>
        <w:ind w:firstLine="422" w:firstLineChars="200"/>
        <w:outlineLvl w:val="1"/>
        <w:rPr>
          <w:rFonts w:ascii="宋体" w:hAnsi="宋体" w:cs="宋体"/>
          <w:b/>
          <w:bCs/>
          <w:szCs w:val="21"/>
        </w:rPr>
      </w:pPr>
      <w:r>
        <w:rPr>
          <w:rFonts w:hint="eastAsia" w:ascii="宋体" w:hAnsi="宋体" w:cs="宋体"/>
          <w:b/>
          <w:bCs/>
          <w:szCs w:val="21"/>
        </w:rPr>
        <w:t>附件3 澄清与答疑文件</w:t>
      </w:r>
    </w:p>
    <w:p>
      <w:pPr>
        <w:pStyle w:val="4"/>
        <w:keepNext w:val="0"/>
        <w:keepLines w:val="0"/>
        <w:ind w:firstLine="422" w:firstLineChars="200"/>
        <w:rPr>
          <w:rFonts w:ascii="宋体" w:hAnsi="宋体" w:cs="宋体"/>
          <w:bCs w:val="0"/>
          <w:sz w:val="21"/>
          <w:szCs w:val="21"/>
        </w:rPr>
      </w:pPr>
    </w:p>
    <w:p>
      <w:pPr>
        <w:spacing w:line="360" w:lineRule="auto"/>
        <w:ind w:firstLine="422" w:firstLineChars="200"/>
        <w:rPr>
          <w:rFonts w:ascii="宋体" w:hAnsi="宋体" w:cs="宋体"/>
          <w:b/>
          <w:bCs/>
          <w:szCs w:val="21"/>
        </w:rPr>
      </w:pPr>
    </w:p>
    <w:p>
      <w:pPr>
        <w:pStyle w:val="4"/>
        <w:keepNext w:val="0"/>
        <w:keepLines w:val="0"/>
        <w:ind w:firstLine="422" w:firstLineChars="200"/>
        <w:rPr>
          <w:rFonts w:ascii="宋体" w:hAnsi="宋体" w:cs="宋体"/>
          <w:bCs w:val="0"/>
          <w:sz w:val="21"/>
          <w:szCs w:val="21"/>
        </w:rPr>
      </w:pPr>
    </w:p>
    <w:p>
      <w:pPr>
        <w:spacing w:line="360" w:lineRule="auto"/>
        <w:ind w:firstLine="422" w:firstLineChars="200"/>
        <w:rPr>
          <w:rFonts w:ascii="宋体" w:hAnsi="宋体" w:cs="宋体"/>
          <w:b/>
          <w:bCs/>
          <w:szCs w:val="21"/>
        </w:rPr>
      </w:pPr>
    </w:p>
    <w:p>
      <w:pPr>
        <w:pStyle w:val="4"/>
        <w:keepNext w:val="0"/>
        <w:keepLines w:val="0"/>
        <w:ind w:firstLine="422" w:firstLineChars="200"/>
        <w:rPr>
          <w:rFonts w:ascii="宋体" w:hAnsi="宋体" w:cs="宋体"/>
          <w:bCs w:val="0"/>
          <w:sz w:val="21"/>
          <w:szCs w:val="21"/>
        </w:rPr>
      </w:pPr>
    </w:p>
    <w:p>
      <w:pPr>
        <w:pStyle w:val="4"/>
        <w:keepNext w:val="0"/>
        <w:keepLines w:val="0"/>
        <w:ind w:firstLine="422" w:firstLineChars="200"/>
        <w:rPr>
          <w:rFonts w:ascii="宋体" w:hAnsi="宋体" w:cs="宋体"/>
          <w:sz w:val="21"/>
          <w:szCs w:val="21"/>
        </w:rPr>
      </w:pPr>
      <w:r>
        <w:rPr>
          <w:rFonts w:hint="eastAsia" w:ascii="宋体" w:hAnsi="宋体" w:cs="宋体"/>
          <w:bCs w:val="0"/>
          <w:sz w:val="21"/>
          <w:szCs w:val="21"/>
        </w:rPr>
        <w:t>附件4  项目关键岗位人员表（如有）</w:t>
      </w:r>
    </w:p>
    <w:p>
      <w:pPr>
        <w:adjustRightInd w:val="0"/>
        <w:snapToGrid w:val="0"/>
        <w:spacing w:line="360" w:lineRule="auto"/>
        <w:ind w:firstLine="420" w:firstLineChars="200"/>
        <w:jc w:val="center"/>
        <w:outlineLvl w:val="0"/>
        <w:rPr>
          <w:rFonts w:ascii="宋体" w:hAnsi="宋体" w:cs="宋体"/>
          <w:b/>
          <w:snapToGrid w:val="0"/>
          <w:szCs w:val="21"/>
        </w:rPr>
      </w:pPr>
      <w:r>
        <w:rPr>
          <w:rFonts w:hint="eastAsia" w:ascii="宋体" w:hAnsi="宋体" w:cs="宋体"/>
          <w:szCs w:val="21"/>
        </w:rPr>
        <w:br w:type="page"/>
      </w:r>
      <w:r>
        <w:rPr>
          <w:rFonts w:hint="eastAsia" w:ascii="宋体" w:hAnsi="宋体" w:cs="宋体"/>
          <w:b/>
          <w:snapToGrid w:val="0"/>
          <w:szCs w:val="21"/>
        </w:rPr>
        <w:t>合同附录</w:t>
      </w:r>
      <w:bookmarkEnd w:id="159"/>
    </w:p>
    <w:p>
      <w:pPr>
        <w:adjustRightInd w:val="0"/>
        <w:snapToGrid w:val="0"/>
        <w:spacing w:line="360" w:lineRule="auto"/>
        <w:ind w:firstLine="422" w:firstLineChars="200"/>
        <w:outlineLvl w:val="1"/>
        <w:rPr>
          <w:rFonts w:ascii="宋体" w:hAnsi="宋体" w:cs="宋体"/>
          <w:b/>
          <w:snapToGrid w:val="0"/>
          <w:szCs w:val="21"/>
        </w:rPr>
      </w:pPr>
      <w:bookmarkStart w:id="160" w:name="_Toc454978189"/>
      <w:r>
        <w:rPr>
          <w:rFonts w:hint="eastAsia" w:ascii="宋体" w:hAnsi="宋体" w:cs="宋体"/>
          <w:b/>
          <w:snapToGrid w:val="0"/>
          <w:szCs w:val="21"/>
        </w:rPr>
        <w:t>附录一 授权委托书（格式）</w:t>
      </w:r>
      <w:bookmarkEnd w:id="160"/>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授权委托书</w:t>
      </w:r>
    </w:p>
    <w:p>
      <w:pPr>
        <w:adjustRightInd w:val="0"/>
        <w:snapToGrid w:val="0"/>
        <w:spacing w:line="360" w:lineRule="auto"/>
        <w:ind w:firstLine="422" w:firstLineChars="200"/>
        <w:rPr>
          <w:rFonts w:ascii="宋体" w:hAnsi="宋体" w:cs="宋体"/>
          <w:b/>
          <w:szCs w:val="21"/>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w:t>
      </w:r>
      <w:r>
        <w:rPr>
          <w:rFonts w:hint="eastAsia" w:ascii="宋体" w:hAnsi="宋体" w:cs="宋体"/>
          <w:szCs w:val="21"/>
        </w:rPr>
        <w:t>（国家名称）的</w:t>
      </w:r>
      <w:r>
        <w:rPr>
          <w:rFonts w:hint="eastAsia" w:ascii="宋体" w:hAnsi="宋体" w:cs="宋体"/>
          <w:szCs w:val="21"/>
          <w:u w:val="single"/>
        </w:rPr>
        <w:t xml:space="preserve">              </w:t>
      </w:r>
      <w:r>
        <w:rPr>
          <w:rFonts w:hint="eastAsia" w:ascii="宋体" w:hAnsi="宋体" w:cs="宋体"/>
          <w:szCs w:val="21"/>
        </w:rPr>
        <w:t>（乙方全称）在下面签字的</w:t>
      </w:r>
      <w:r>
        <w:rPr>
          <w:rFonts w:hint="eastAsia" w:ascii="宋体" w:hAnsi="宋体" w:cs="宋体"/>
          <w:szCs w:val="21"/>
          <w:u w:val="single"/>
        </w:rPr>
        <w:t xml:space="preserve">          </w:t>
      </w:r>
      <w:r>
        <w:rPr>
          <w:rFonts w:hint="eastAsia" w:ascii="宋体" w:hAnsi="宋体" w:cs="宋体"/>
          <w:szCs w:val="21"/>
        </w:rPr>
        <w:t>（法定代表人姓名、职务）代表本公司授权在下面签字的</w:t>
      </w:r>
      <w:r>
        <w:rPr>
          <w:rFonts w:hint="eastAsia" w:ascii="宋体" w:hAnsi="宋体" w:cs="宋体"/>
          <w:szCs w:val="21"/>
          <w:u w:val="single"/>
        </w:rPr>
        <w:t xml:space="preserve">       </w:t>
      </w:r>
      <w:r>
        <w:rPr>
          <w:rFonts w:hint="eastAsia" w:ascii="宋体" w:hAnsi="宋体" w:cs="宋体"/>
          <w:szCs w:val="21"/>
        </w:rPr>
        <w:t>（被授权人的姓名、职务）为本公司的合法代表，就合同编号</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合同》（以下简称“合同”）的签约，并以本公司名义处理一切与之有关的事务。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授权代表（被授权人，即授权代理人）签字：</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乙方全称（公章）：</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乙方地址：</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附：</w:t>
      </w:r>
      <w:r>
        <w:rPr>
          <w:rFonts w:hint="eastAsia" w:ascii="宋体" w:hAnsi="宋体" w:cs="宋体"/>
          <w:szCs w:val="21"/>
        </w:rPr>
        <w:t>授权人的法定代表人证明材料复印件（加盖单位公章）、授权人和被授权人的身份证彩色影印件（加盖单位公章）</w:t>
      </w:r>
    </w:p>
    <w:p>
      <w:pPr>
        <w:adjustRightInd w:val="0"/>
        <w:snapToGrid w:val="0"/>
        <w:spacing w:line="360" w:lineRule="auto"/>
        <w:ind w:firstLine="420" w:firstLineChars="200"/>
        <w:outlineLvl w:val="1"/>
        <w:rPr>
          <w:rFonts w:ascii="宋体" w:hAnsi="宋体" w:cs="宋体"/>
          <w:szCs w:val="21"/>
        </w:rPr>
      </w:pPr>
    </w:p>
    <w:p>
      <w:pPr>
        <w:adjustRightInd w:val="0"/>
        <w:snapToGrid w:val="0"/>
        <w:spacing w:line="360" w:lineRule="auto"/>
        <w:ind w:firstLine="420" w:firstLineChars="200"/>
        <w:rPr>
          <w:rFonts w:ascii="宋体" w:hAnsi="宋体" w:cs="宋体"/>
          <w:szCs w:val="21"/>
        </w:rPr>
      </w:pPr>
    </w:p>
    <w:p>
      <w:pPr>
        <w:tabs>
          <w:tab w:val="left" w:pos="540"/>
        </w:tabs>
        <w:adjustRightInd w:val="0"/>
        <w:snapToGrid w:val="0"/>
        <w:spacing w:line="360" w:lineRule="auto"/>
        <w:ind w:firstLine="422" w:firstLineChars="200"/>
        <w:outlineLvl w:val="1"/>
        <w:rPr>
          <w:rFonts w:ascii="宋体" w:hAnsi="宋体" w:cs="宋体"/>
          <w:b/>
          <w:szCs w:val="21"/>
        </w:rPr>
      </w:pPr>
    </w:p>
    <w:p>
      <w:pPr>
        <w:tabs>
          <w:tab w:val="left" w:pos="540"/>
        </w:tabs>
        <w:adjustRightInd w:val="0"/>
        <w:snapToGrid w:val="0"/>
        <w:spacing w:line="360" w:lineRule="auto"/>
        <w:ind w:firstLine="422" w:firstLineChars="200"/>
        <w:outlineLvl w:val="1"/>
        <w:rPr>
          <w:rFonts w:ascii="宋体" w:hAnsi="宋体" w:cs="宋体"/>
          <w:b/>
          <w:szCs w:val="21"/>
        </w:rPr>
      </w:pPr>
      <w:r>
        <w:rPr>
          <w:rFonts w:hint="eastAsia" w:ascii="宋体" w:hAnsi="宋体" w:cs="宋体"/>
          <w:b/>
          <w:szCs w:val="21"/>
        </w:rPr>
        <w:br w:type="page"/>
      </w:r>
      <w:bookmarkStart w:id="161" w:name="_Toc24929"/>
      <w:bookmarkStart w:id="162" w:name="_Toc22020_WPSOffice_Level2"/>
      <w:r>
        <w:rPr>
          <w:rFonts w:hint="eastAsia" w:ascii="宋体" w:hAnsi="宋体" w:cs="宋体"/>
          <w:b/>
          <w:szCs w:val="21"/>
        </w:rPr>
        <w:t>附录2 银行履约保函（格式）</w:t>
      </w:r>
      <w:bookmarkEnd w:id="161"/>
      <w:bookmarkEnd w:id="162"/>
    </w:p>
    <w:p>
      <w:pPr>
        <w:adjustRightInd w:val="0"/>
        <w:snapToGrid w:val="0"/>
        <w:spacing w:line="360" w:lineRule="auto"/>
        <w:ind w:firstLine="422" w:firstLineChars="200"/>
        <w:jc w:val="center"/>
        <w:rPr>
          <w:rFonts w:ascii="宋体" w:hAnsi="宋体" w:cs="宋体"/>
          <w:b/>
          <w:szCs w:val="21"/>
        </w:rPr>
      </w:pPr>
    </w:p>
    <w:p>
      <w:pPr>
        <w:adjustRightInd w:val="0"/>
        <w:snapToGrid w:val="0"/>
        <w:spacing w:line="360" w:lineRule="auto"/>
        <w:ind w:firstLine="422" w:firstLineChars="200"/>
        <w:jc w:val="center"/>
        <w:rPr>
          <w:rFonts w:ascii="宋体" w:hAnsi="宋体" w:cs="宋体"/>
          <w:b/>
          <w:szCs w:val="21"/>
        </w:rPr>
      </w:pPr>
      <w:r>
        <w:rPr>
          <w:rFonts w:hint="eastAsia" w:ascii="宋体" w:hAnsi="宋体" w:cs="宋体"/>
          <w:b/>
          <w:szCs w:val="21"/>
        </w:rPr>
        <w:t>银行履约保函</w:t>
      </w:r>
    </w:p>
    <w:p>
      <w:pPr>
        <w:adjustRightInd w:val="0"/>
        <w:snapToGrid w:val="0"/>
        <w:spacing w:line="360" w:lineRule="auto"/>
        <w:ind w:right="480" w:firstLine="420" w:firstLineChars="200"/>
        <w:jc w:val="center"/>
        <w:rPr>
          <w:rFonts w:ascii="宋体" w:hAnsi="宋体" w:cs="宋体"/>
          <w:szCs w:val="21"/>
        </w:rPr>
      </w:pPr>
      <w:r>
        <w:rPr>
          <w:rFonts w:hint="eastAsia" w:ascii="宋体" w:hAnsi="宋体" w:cs="宋体"/>
          <w:szCs w:val="21"/>
        </w:rPr>
        <w:t xml:space="preserve">                           </w:t>
      </w:r>
    </w:p>
    <w:p>
      <w:pPr>
        <w:adjustRightInd w:val="0"/>
        <w:snapToGrid w:val="0"/>
        <w:spacing w:line="360" w:lineRule="auto"/>
        <w:ind w:right="480" w:firstLine="420" w:firstLineChars="200"/>
        <w:rPr>
          <w:rFonts w:ascii="宋体" w:hAnsi="宋体" w:cs="宋体"/>
          <w:szCs w:val="21"/>
          <w:u w:val="single"/>
        </w:rPr>
      </w:pPr>
      <w:r>
        <w:rPr>
          <w:rFonts w:hint="eastAsia" w:ascii="宋体" w:hAnsi="宋体" w:cs="宋体"/>
          <w:szCs w:val="21"/>
        </w:rPr>
        <w:t xml:space="preserve">                                                   保函编号：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（甲方名称）：</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鉴于 </w:t>
      </w:r>
      <w:r>
        <w:rPr>
          <w:rFonts w:hint="eastAsia" w:ascii="宋体" w:hAnsi="宋体" w:cs="宋体"/>
          <w:szCs w:val="21"/>
          <w:u w:val="single"/>
        </w:rPr>
        <w:t xml:space="preserve">          </w:t>
      </w:r>
      <w:r>
        <w:rPr>
          <w:rFonts w:hint="eastAsia" w:ascii="宋体" w:hAnsi="宋体" w:cs="宋体"/>
          <w:szCs w:val="21"/>
        </w:rPr>
        <w:t>（甲方名称，以下简称“你方”）与</w:t>
      </w:r>
      <w:r>
        <w:rPr>
          <w:rFonts w:hint="eastAsia" w:ascii="宋体" w:hAnsi="宋体" w:cs="宋体"/>
          <w:szCs w:val="21"/>
          <w:u w:val="single"/>
        </w:rPr>
        <w:t xml:space="preserve">          </w:t>
      </w:r>
      <w:r>
        <w:rPr>
          <w:rFonts w:hint="eastAsia" w:ascii="宋体" w:hAnsi="宋体" w:cs="宋体"/>
          <w:szCs w:val="21"/>
        </w:rPr>
        <w:t>（乙方名称，以下简称“乙方”）于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日协商一致共同签订合同编号为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合同》（以下简称“合同”）。 我方愿意无条件地、不可撤销地就乙方履行与你方签订的合同，向你方提供连带责任担保。</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1.担保金额为人民币（大写）</w:t>
      </w:r>
      <w:r>
        <w:rPr>
          <w:rFonts w:hint="eastAsia" w:ascii="宋体" w:hAnsi="宋体" w:cs="宋体"/>
          <w:szCs w:val="21"/>
          <w:u w:val="single"/>
        </w:rPr>
        <w:t xml:space="preserve">           </w:t>
      </w:r>
      <w:r>
        <w:rPr>
          <w:rFonts w:hint="eastAsia" w:ascii="宋体" w:hAnsi="宋体" w:cs="宋体"/>
          <w:szCs w:val="21"/>
        </w:rPr>
        <w:t>元（小写：¥</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2. 担保有效期自本保函生效之日起至合同约定的服务期满之日止。</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4.你方和乙方按合同约定变更合同时，我方承担本担保规定的义务不变。</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 xml:space="preserve">    6.本保函自我方法定代表人或授权代理人签字并加盖公章之日起生效。</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（盖单位章）</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（签字）</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宋体" w:hAnsi="宋体" w:cs="宋体"/>
          <w:szCs w:val="21"/>
        </w:rPr>
      </w:pPr>
      <w:r>
        <w:rPr>
          <w:rFonts w:hint="eastAsia" w:ascii="宋体" w:hAnsi="宋体" w:cs="宋体"/>
          <w:szCs w:val="21"/>
        </w:rPr>
        <w:t>传真：</w:t>
      </w:r>
      <w:r>
        <w:rPr>
          <w:rFonts w:hint="eastAsia" w:ascii="宋体" w:hAnsi="宋体" w:cs="宋体"/>
          <w:szCs w:val="21"/>
          <w:u w:val="single"/>
        </w:rPr>
        <w:t xml:space="preserve">           </w:t>
      </w:r>
    </w:p>
    <w:p>
      <w:pPr>
        <w:adjustRightInd w:val="0"/>
        <w:snapToGrid w:val="0"/>
        <w:spacing w:line="360" w:lineRule="auto"/>
        <w:ind w:left="15" w:leftChars="7" w:firstLine="420" w:firstLineChars="200"/>
        <w:rPr>
          <w:rFonts w:ascii="仿宋_GB2312" w:hAnsi="仿宋_GB2312" w:eastAsia="仿宋_GB2312" w:cs="仿宋_GB2312"/>
          <w:sz w:val="24"/>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45"/>
        <w:spacing w:after="0" w:line="360" w:lineRule="auto"/>
        <w:ind w:firstLine="482"/>
        <w:outlineLvl w:val="1"/>
        <w:rPr>
          <w:rFonts w:ascii="仿宋" w:hAnsi="仿宋" w:eastAsia="仿宋" w:cs="仿宋"/>
          <w:b/>
          <w:bCs/>
          <w:sz w:val="24"/>
          <w:u w:val="single"/>
        </w:rPr>
      </w:pPr>
    </w:p>
    <w:p>
      <w:pPr>
        <w:adjustRightInd w:val="0"/>
        <w:snapToGrid w:val="0"/>
        <w:spacing w:line="360" w:lineRule="auto"/>
        <w:outlineLvl w:val="1"/>
        <w:rPr>
          <w:rFonts w:ascii="黑体" w:hAnsi="黑体" w:eastAsia="黑体"/>
          <w:sz w:val="32"/>
          <w:szCs w:val="32"/>
        </w:rPr>
      </w:pPr>
    </w:p>
    <w:p>
      <w:pPr>
        <w:pStyle w:val="3"/>
        <w:keepNext w:val="0"/>
        <w:spacing w:line="360" w:lineRule="auto"/>
        <w:ind w:firstLine="643" w:firstLineChars="200"/>
        <w:rPr>
          <w:rFonts w:ascii="宋体" w:hAnsi="宋体" w:cs="宋体"/>
          <w:bCs w:val="0"/>
          <w:sz w:val="32"/>
          <w:szCs w:val="32"/>
        </w:rPr>
        <w:sectPr>
          <w:headerReference r:id="rId20" w:type="default"/>
          <w:footerReference r:id="rId21" w:type="default"/>
          <w:pgSz w:w="12240" w:h="15840"/>
          <w:pgMar w:top="1440" w:right="1800" w:bottom="1440" w:left="1800" w:header="720" w:footer="720" w:gutter="0"/>
          <w:cols w:space="720" w:num="1"/>
          <w:titlePg/>
          <w:docGrid w:type="lines" w:linePitch="323" w:charSpace="0"/>
        </w:sectPr>
      </w:pPr>
      <w:bookmarkStart w:id="163" w:name="_Toc27097"/>
    </w:p>
    <w:p>
      <w:pPr>
        <w:pStyle w:val="3"/>
        <w:keepNext w:val="0"/>
        <w:spacing w:line="360" w:lineRule="auto"/>
        <w:ind w:firstLine="643" w:firstLineChars="200"/>
        <w:rPr>
          <w:rFonts w:ascii="宋体" w:hAnsi="宋体" w:cs="宋体"/>
          <w:bCs w:val="0"/>
          <w:sz w:val="32"/>
          <w:szCs w:val="32"/>
        </w:rPr>
      </w:pPr>
      <w:r>
        <w:rPr>
          <w:rFonts w:hint="eastAsia" w:ascii="宋体" w:hAnsi="宋体" w:cs="宋体"/>
          <w:bCs w:val="0"/>
          <w:sz w:val="32"/>
          <w:szCs w:val="32"/>
        </w:rPr>
        <w:t>第六章  响应文件组成</w:t>
      </w:r>
      <w:bookmarkEnd w:id="163"/>
    </w:p>
    <w:p>
      <w:pPr>
        <w:spacing w:line="360" w:lineRule="auto"/>
        <w:ind w:firstLine="422" w:firstLineChars="200"/>
        <w:jc w:val="center"/>
        <w:rPr>
          <w:rFonts w:ascii="宋体" w:hAnsi="宋体"/>
          <w:b/>
        </w:rPr>
      </w:pPr>
    </w:p>
    <w:p>
      <w:pPr>
        <w:spacing w:line="360" w:lineRule="auto"/>
        <w:ind w:firstLine="420" w:firstLineChars="200"/>
        <w:jc w:val="center"/>
        <w:rPr>
          <w:rFonts w:ascii="宋体" w:hAnsi="宋体"/>
          <w:b/>
        </w:rPr>
      </w:pPr>
      <w:r>
        <w:pict>
          <v:shape id="Quad Arrow 2" o:spid="_x0000_s1041" o:spt="202" type="#_x0000_t202" style="position:absolute;left:0pt;margin-left:333pt;margin-top:0pt;height:33pt;width:87.75pt;z-index:1024;mso-width-relative:page;mso-height-relative:page;" o:preferrelative="t" coordsize="21600,2160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ascii="宋体" w:hAnsi="宋体" w:cs="Courier New"/>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spacing w:line="360" w:lineRule="auto"/>
        <w:jc w:val="center"/>
        <w:rPr>
          <w:rFonts w:ascii="宋体" w:hAnsi="宋体"/>
          <w:b/>
          <w:bCs/>
          <w:sz w:val="52"/>
          <w:szCs w:val="52"/>
        </w:rPr>
      </w:pPr>
      <w:r>
        <w:rPr>
          <w:rFonts w:hint="eastAsia" w:ascii="宋体" w:hAnsi="宋体"/>
          <w:b/>
          <w:bCs/>
          <w:sz w:val="52"/>
          <w:szCs w:val="52"/>
        </w:rPr>
        <w:t>响应文件</w:t>
      </w:r>
    </w:p>
    <w:p/>
    <w:p>
      <w:pPr>
        <w:pStyle w:val="2"/>
        <w:ind w:left="0" w:leftChars="0"/>
      </w:pPr>
    </w:p>
    <w:p>
      <w:pPr>
        <w:pStyle w:val="2"/>
        <w:ind w:left="0" w:leftChars="0"/>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
        <w:spacing w:line="360" w:lineRule="auto"/>
        <w:ind w:left="0" w:leftChars="0"/>
        <w:rPr>
          <w:rFonts w:ascii="宋体" w:hAnsi="宋体"/>
          <w:b/>
          <w:bCs/>
          <w:sz w:val="32"/>
          <w:szCs w:val="32"/>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宋体" w:hAnsi="宋体"/>
          <w:b/>
          <w:bCs/>
          <w:sz w:val="44"/>
          <w:szCs w:val="44"/>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p>
    <w:p>
      <w:pPr>
        <w:pStyle w:val="25"/>
        <w:adjustRightInd w:val="0"/>
        <w:snapToGrid w:val="0"/>
        <w:spacing w:line="360" w:lineRule="auto"/>
        <w:jc w:val="center"/>
        <w:rPr>
          <w:rFonts w:hAnsi="宋体"/>
          <w:sz w:val="32"/>
          <w:szCs w:val="32"/>
        </w:rPr>
      </w:pPr>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p>
    <w:p>
      <w:pPr>
        <w:spacing w:line="360" w:lineRule="auto"/>
        <w:ind w:firstLine="883" w:firstLineChars="200"/>
        <w:jc w:val="center"/>
        <w:rPr>
          <w:rFonts w:ascii="宋体" w:hAnsi="宋体"/>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bookmarkStart w:id="164" w:name="_Toc27212"/>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ind w:firstLine="420" w:firstLineChars="200"/>
        <w:outlineLvl w:val="0"/>
        <w:rPr>
          <w:rFonts w:ascii="宋体" w:hAnsi="宋体"/>
          <w:szCs w:val="21"/>
        </w:rPr>
      </w:pPr>
      <w:r>
        <w:rPr>
          <w:rFonts w:hint="eastAsia" w:ascii="宋体" w:hAnsi="宋体"/>
          <w:szCs w:val="21"/>
        </w:rPr>
        <w:t>一、谈判承诺书</w:t>
      </w:r>
      <w:bookmarkEnd w:id="164"/>
    </w:p>
    <w:p>
      <w:pPr>
        <w:adjustRightInd w:val="0"/>
        <w:snapToGrid w:val="0"/>
        <w:spacing w:line="360" w:lineRule="auto"/>
        <w:ind w:firstLine="420" w:firstLineChars="200"/>
        <w:outlineLvl w:val="0"/>
        <w:rPr>
          <w:rFonts w:ascii="宋体" w:hAnsi="宋体"/>
          <w:szCs w:val="21"/>
        </w:rPr>
      </w:pPr>
      <w:bookmarkStart w:id="165" w:name="_Toc31855"/>
      <w:r>
        <w:rPr>
          <w:rFonts w:hint="eastAsia" w:ascii="宋体" w:hAnsi="宋体"/>
          <w:szCs w:val="21"/>
        </w:rPr>
        <w:t>二、法定代表人身份证明书</w:t>
      </w:r>
      <w:bookmarkEnd w:id="165"/>
    </w:p>
    <w:p>
      <w:pPr>
        <w:adjustRightInd w:val="0"/>
        <w:snapToGrid w:val="0"/>
        <w:spacing w:line="360" w:lineRule="auto"/>
        <w:ind w:firstLine="420" w:firstLineChars="200"/>
        <w:outlineLvl w:val="0"/>
        <w:rPr>
          <w:rFonts w:ascii="宋体" w:hAnsi="宋体"/>
          <w:szCs w:val="21"/>
        </w:rPr>
      </w:pPr>
      <w:bookmarkStart w:id="166" w:name="_Toc26247"/>
      <w:r>
        <w:rPr>
          <w:rFonts w:hint="eastAsia" w:ascii="宋体" w:hAnsi="宋体"/>
          <w:szCs w:val="21"/>
        </w:rPr>
        <w:t>三、授权委托书</w:t>
      </w:r>
      <w:bookmarkEnd w:id="166"/>
    </w:p>
    <w:p>
      <w:pPr>
        <w:adjustRightInd w:val="0"/>
        <w:snapToGrid w:val="0"/>
        <w:spacing w:line="360" w:lineRule="auto"/>
        <w:ind w:firstLine="420" w:firstLineChars="200"/>
        <w:outlineLvl w:val="0"/>
        <w:rPr>
          <w:rFonts w:ascii="宋体" w:hAnsi="宋体"/>
          <w:szCs w:val="21"/>
        </w:rPr>
      </w:pPr>
      <w:bookmarkStart w:id="167" w:name="_Toc30184"/>
      <w:r>
        <w:rPr>
          <w:rFonts w:hint="eastAsia" w:ascii="宋体" w:hAnsi="宋体"/>
          <w:szCs w:val="21"/>
        </w:rPr>
        <w:t>四、谈判单位资格条件证明文件</w:t>
      </w:r>
      <w:bookmarkEnd w:id="167"/>
    </w:p>
    <w:p>
      <w:pPr>
        <w:adjustRightInd w:val="0"/>
        <w:snapToGrid w:val="0"/>
        <w:spacing w:line="360" w:lineRule="auto"/>
        <w:ind w:firstLine="420" w:firstLineChars="200"/>
        <w:outlineLvl w:val="0"/>
        <w:rPr>
          <w:rFonts w:ascii="宋体" w:hAnsi="宋体"/>
          <w:szCs w:val="21"/>
        </w:rPr>
      </w:pPr>
      <w:bookmarkStart w:id="168" w:name="_Toc4407"/>
      <w:r>
        <w:rPr>
          <w:rFonts w:hint="eastAsia" w:ascii="宋体" w:hAnsi="宋体"/>
          <w:szCs w:val="21"/>
        </w:rPr>
        <w:t>五、服务方案</w:t>
      </w:r>
      <w:bookmarkEnd w:id="168"/>
      <w:r>
        <w:rPr>
          <w:rFonts w:hint="eastAsia" w:ascii="宋体" w:hAnsi="宋体"/>
          <w:szCs w:val="21"/>
        </w:rPr>
        <w:t>（如有）</w:t>
      </w:r>
    </w:p>
    <w:p>
      <w:pPr>
        <w:adjustRightInd w:val="0"/>
        <w:snapToGrid w:val="0"/>
        <w:spacing w:line="360" w:lineRule="auto"/>
        <w:ind w:firstLine="420" w:firstLineChars="200"/>
        <w:outlineLvl w:val="0"/>
        <w:rPr>
          <w:rFonts w:ascii="宋体" w:hAnsi="宋体"/>
          <w:szCs w:val="21"/>
        </w:rPr>
      </w:pPr>
      <w:bookmarkStart w:id="169" w:name="_Toc2978"/>
      <w:r>
        <w:rPr>
          <w:rFonts w:hint="eastAsia" w:ascii="宋体" w:hAnsi="宋体"/>
          <w:szCs w:val="21"/>
        </w:rPr>
        <w:t>六、报价一览表</w:t>
      </w:r>
      <w:bookmarkEnd w:id="169"/>
    </w:p>
    <w:p>
      <w:pPr>
        <w:adjustRightInd w:val="0"/>
        <w:snapToGrid w:val="0"/>
        <w:spacing w:line="360" w:lineRule="auto"/>
        <w:ind w:firstLine="420" w:firstLineChars="200"/>
        <w:outlineLvl w:val="0"/>
        <w:rPr>
          <w:rFonts w:ascii="宋体" w:hAnsi="宋体"/>
          <w:szCs w:val="21"/>
        </w:rPr>
      </w:pPr>
      <w:r>
        <w:rPr>
          <w:rFonts w:hint="eastAsia" w:ascii="宋体" w:hAnsi="宋体"/>
          <w:szCs w:val="21"/>
        </w:rPr>
        <w:t>七、其他资料（如有）</w:t>
      </w:r>
    </w:p>
    <w:p>
      <w:pPr>
        <w:spacing w:line="360" w:lineRule="auto"/>
        <w:ind w:firstLine="480" w:firstLineChars="200"/>
        <w:jc w:val="center"/>
        <w:rPr>
          <w:rFonts w:ascii="黑体" w:hAnsi="黑体" w:eastAsia="黑体"/>
          <w:b/>
          <w:sz w:val="32"/>
          <w:szCs w:val="32"/>
        </w:rPr>
      </w:pPr>
      <w:r>
        <w:rPr>
          <w:rFonts w:hint="eastAsia" w:ascii="宋体" w:hAnsi="宋体"/>
          <w:sz w:val="24"/>
        </w:rPr>
        <w:br w:type="page"/>
      </w:r>
      <w:r>
        <w:rPr>
          <w:rFonts w:hint="eastAsia" w:ascii="宋体" w:hAnsi="宋体" w:cs="宋体"/>
          <w:b/>
          <w:sz w:val="32"/>
          <w:szCs w:val="32"/>
        </w:rPr>
        <w:t>一、谈判承诺书</w:t>
      </w:r>
    </w:p>
    <w:p>
      <w:pPr>
        <w:adjustRightInd w:val="0"/>
        <w:snapToGrid w:val="0"/>
        <w:spacing w:line="360" w:lineRule="auto"/>
        <w:ind w:firstLine="480" w:firstLineChars="200"/>
        <w:rPr>
          <w:rFonts w:ascii="仿宋_GB2312" w:hAnsi="宋体" w:eastAsia="仿宋_GB2312"/>
          <w:sz w:val="24"/>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spacing w:line="360" w:lineRule="auto"/>
        <w:ind w:firstLine="420" w:firstLineChars="200"/>
        <w:rPr>
          <w:rFonts w:hAnsi="宋体"/>
        </w:rPr>
      </w:pPr>
      <w:r>
        <w:rPr>
          <w:rFonts w:hint="eastAsia"/>
        </w:rPr>
        <w:t>十一、如有违反本承诺书内容的行为，愿意承担由此产生的法律责任及后果。</w:t>
      </w: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szCs w:val="21"/>
          <w:u w:val="single"/>
        </w:rPr>
      </w:pPr>
      <w:r>
        <w:rPr>
          <w:rFonts w:hint="eastAsia"/>
          <w:szCs w:val="21"/>
        </w:rPr>
        <w:t>法定代表人(签字或盖章)：</w:t>
      </w:r>
      <w:r>
        <w:rPr>
          <w:rFonts w:hint="eastAsia"/>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20" w:firstLineChars="200"/>
        <w:rPr>
          <w:rFonts w:ascii="宋体" w:hAnsi="宋体"/>
          <w:bCs/>
          <w:szCs w:val="21"/>
        </w:rPr>
      </w:pPr>
    </w:p>
    <w:p>
      <w:pPr>
        <w:adjustRightInd w:val="0"/>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二、法定代表人身份证明书</w:t>
      </w:r>
    </w:p>
    <w:p>
      <w:pPr>
        <w:snapToGrid w:val="0"/>
        <w:spacing w:line="360" w:lineRule="auto"/>
        <w:ind w:firstLine="420" w:firstLineChars="200"/>
        <w:rPr>
          <w:rFonts w:ascii="宋体" w:hAnsi="宋体"/>
          <w:szCs w:val="21"/>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ind w:firstLine="420" w:firstLineChars="200"/>
        <w:jc w:val="left"/>
        <w:rPr>
          <w:rFonts w:ascii="宋体" w:hAnsi="宋体"/>
          <w:szCs w:val="21"/>
        </w:rPr>
      </w:pPr>
      <w:r>
        <w:rPr>
          <w:rFonts w:ascii="宋体" w:hAnsi="宋体"/>
          <w:szCs w:val="21"/>
        </w:rPr>
        <w:pict>
          <v:rect id="Rectangle 7" o:spid="_x0000_s1042" o:spt="1" style="position:absolute;left:0pt;margin-left:222.1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Rectangle 6" o:spid="_x0000_s1043" o:spt="1" style="position:absolute;left:0pt;margin-left:-8.8pt;margin-top:11.5pt;height:96.15pt;width:185.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0" w:firstLineChars="200"/>
        <w:jc w:val="left"/>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ind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cs="宋体"/>
          <w:b/>
          <w:sz w:val="32"/>
          <w:szCs w:val="32"/>
        </w:rPr>
        <w:t>三、授权委托书</w:t>
      </w:r>
    </w:p>
    <w:p>
      <w:pPr>
        <w:adjustRightInd w:val="0"/>
        <w:snapToGrid w:val="0"/>
        <w:spacing w:line="360" w:lineRule="auto"/>
        <w:ind w:firstLine="562" w:firstLineChars="200"/>
        <w:jc w:val="center"/>
        <w:rPr>
          <w:rFonts w:ascii="黑体" w:hAnsi="华文中宋" w:eastAsia="黑体"/>
          <w:b/>
          <w:sz w:val="28"/>
          <w:szCs w:val="28"/>
        </w:rPr>
      </w:pPr>
    </w:p>
    <w:p>
      <w:pPr>
        <w:autoSpaceDE w:val="0"/>
        <w:autoSpaceDN w:val="0"/>
        <w:adjustRightInd w:val="0"/>
        <w:snapToGrid w:val="0"/>
        <w:spacing w:before="161"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ind w:firstLine="420" w:firstLineChars="200"/>
        <w:rPr>
          <w:rFonts w:ascii="宋体" w:hAnsi="宋体"/>
          <w:szCs w:val="21"/>
        </w:rPr>
      </w:pPr>
      <w:r>
        <w:rPr>
          <w:rFonts w:hint="eastAsia" w:ascii="宋体" w:hAnsi="宋体"/>
          <w:szCs w:val="21"/>
        </w:rPr>
        <w:t>本授权书于年月日签字生效，特此声明。</w:t>
      </w:r>
    </w:p>
    <w:p>
      <w:pPr>
        <w:adjustRightInd w:val="0"/>
        <w:snapToGrid w:val="0"/>
        <w:spacing w:before="161" w:beforeLines="50" w:line="360" w:lineRule="auto"/>
        <w:ind w:firstLine="420" w:firstLineChars="200"/>
        <w:rPr>
          <w:rFonts w:ascii="宋体" w:hAnsi="宋体"/>
          <w:szCs w:val="21"/>
        </w:rPr>
      </w:pPr>
      <w:r>
        <w:rPr>
          <w:rFonts w:ascii="宋体" w:hAnsi="宋体"/>
          <w:szCs w:val="21"/>
        </w:rPr>
        <w:pict>
          <v:rect id="Rectangle 5" o:spid="_x0000_s1044" o:spt="1" style="position:absolute;left:0pt;margin-left:-9pt;margin-top:1.45pt;height:102.35pt;width:111.1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Rectangle 4" o:spid="_x0000_s1045" o:spt="1" style="position:absolute;left:0pt;margin-left:272.1pt;margin-top:0.3pt;height:100.1pt;width:122.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szCs w:val="21"/>
        </w:rPr>
        <w:pict>
          <v:rect id="Rectangle 3" o:spid="_x0000_s1046" o:spt="1" style="position:absolute;left:0pt;flip:x;margin-left:133.45pt;margin-top:1.35pt;height:100.65pt;width:112.85pt;z-index:-1024;mso-width-relative:page;mso-height-relative:page;" o:preferrelative="t" coordsize="21600,21600">
            <v:path/>
            <v:fill focussize="0,0"/>
            <v:stroke miterlimit="2"/>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utoSpaceDE w:val="0"/>
        <w:autoSpaceDN w:val="0"/>
        <w:adjustRightInd w:val="0"/>
        <w:snapToGrid w:val="0"/>
        <w:spacing w:line="360" w:lineRule="auto"/>
        <w:ind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ind w:firstLine="420" w:firstLineChars="200"/>
        <w:rPr>
          <w:rFonts w:ascii="宋体" w:hAnsi="宋体"/>
          <w:szCs w:val="21"/>
        </w:rPr>
        <w:sectPr>
          <w:pgSz w:w="12240" w:h="15840"/>
          <w:pgMar w:top="1440" w:right="1800" w:bottom="1440" w:left="1800" w:header="720" w:footer="720" w:gutter="0"/>
          <w:cols w:space="720" w:num="1"/>
          <w:titlePg/>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黑体" w:eastAsia="黑体"/>
          <w:sz w:val="24"/>
        </w:rPr>
      </w:pPr>
      <w:r>
        <w:rPr>
          <w:rFonts w:hint="eastAsia" w:ascii="黑体" w:hAnsi="宋体" w:eastAsia="黑体"/>
          <w:b/>
          <w:sz w:val="32"/>
          <w:szCs w:val="32"/>
        </w:rPr>
        <w:t>四、谈判单位资格证明文件</w:t>
      </w:r>
    </w:p>
    <w:p>
      <w:pPr>
        <w:adjustRightInd w:val="0"/>
        <w:snapToGrid w:val="0"/>
        <w:spacing w:line="360" w:lineRule="auto"/>
        <w:ind w:firstLine="420" w:firstLineChars="200"/>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spacing w:line="360" w:lineRule="auto"/>
        <w:ind w:firstLine="420" w:firstLineChars="200"/>
        <w:rPr>
          <w:rFonts w:hAnsi="宋体"/>
          <w:iCs/>
        </w:rPr>
      </w:pPr>
      <w:r>
        <w:rPr>
          <w:rFonts w:hint="eastAsia" w:ascii="宋体" w:hAnsi="宋体" w:cs="宋体"/>
          <w:iCs/>
        </w:rPr>
        <w:t>1.</w:t>
      </w:r>
      <w:r>
        <w:rPr>
          <w:rFonts w:hint="eastAsia" w:hAnsi="宋体"/>
          <w:iCs/>
        </w:rPr>
        <w:t>谈判单位须为具有独立法人资格、自主经营、独立核算的公司。须提供营业执照副本复印件（须加盖谈判单位公章）。</w:t>
      </w:r>
    </w:p>
    <w:p>
      <w:pPr>
        <w:spacing w:line="360" w:lineRule="auto"/>
        <w:ind w:firstLine="420" w:firstLineChars="200"/>
        <w:rPr>
          <w:rFonts w:hAnsi="宋体"/>
        </w:rPr>
      </w:pPr>
      <w:r>
        <w:rPr>
          <w:rFonts w:hint="eastAsia" w:ascii="宋体" w:hAnsi="宋体" w:cs="宋体"/>
          <w:iCs/>
        </w:rPr>
        <w:t>2.</w:t>
      </w:r>
      <w:r>
        <w:rPr>
          <w:rFonts w:hint="eastAsia" w:ascii="宋体" w:hAnsi="宋体"/>
          <w:szCs w:val="21"/>
        </w:rPr>
        <w:t>谈判单位须提供</w:t>
      </w:r>
      <w:r>
        <w:rPr>
          <w:rFonts w:hint="eastAsia" w:ascii="宋体" w:hAnsi="宋体" w:cs="宋体"/>
        </w:rPr>
        <w:t>ISO9000系列资质认证证书</w:t>
      </w:r>
      <w:r>
        <w:rPr>
          <w:rFonts w:hint="eastAsia" w:hAnsi="宋体"/>
        </w:rPr>
        <w:t>，须提供证书原件及复印件。</w:t>
      </w:r>
    </w:p>
    <w:p>
      <w:pPr>
        <w:spacing w:line="360" w:lineRule="auto"/>
        <w:ind w:firstLine="420" w:firstLineChars="200"/>
        <w:rPr>
          <w:rFonts w:ascii="宋体" w:hAnsi="宋体"/>
          <w:color w:val="000000"/>
          <w:szCs w:val="21"/>
        </w:rPr>
      </w:pPr>
      <w:r>
        <w:rPr>
          <w:rFonts w:hint="eastAsia" w:ascii="宋体" w:hAnsi="宋体"/>
          <w:color w:val="000000"/>
          <w:szCs w:val="21"/>
        </w:rPr>
        <w:t>3.谈判单位在本项目响应文件递交截止之日前36个月内须提供</w:t>
      </w:r>
      <w:r>
        <w:rPr>
          <w:rFonts w:hint="eastAsia" w:ascii="宋体" w:hAnsi="宋体" w:cs="宋体"/>
        </w:rPr>
        <w:t>单项合同金额不少于20万元的轨道交通AFC系统建设或改造工程或AFC系统维保服务相关业绩</w:t>
      </w:r>
      <w:r>
        <w:rPr>
          <w:rFonts w:hint="eastAsia" w:ascii="宋体" w:hAnsi="宋体"/>
          <w:color w:val="000000"/>
          <w:szCs w:val="21"/>
        </w:rPr>
        <w:t>。不接受联合体业绩、港澳台或境外业绩。</w:t>
      </w:r>
    </w:p>
    <w:p>
      <w:pPr>
        <w:spacing w:line="360" w:lineRule="auto"/>
        <w:ind w:firstLine="420" w:firstLineChars="200"/>
        <w:rPr>
          <w:rFonts w:ascii="宋体" w:hAnsi="宋体"/>
          <w:color w:val="000000"/>
          <w:szCs w:val="21"/>
        </w:rPr>
      </w:pPr>
      <w:r>
        <w:rPr>
          <w:rFonts w:hint="eastAsia" w:ascii="宋体" w:hAnsi="宋体"/>
          <w:color w:val="000000"/>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宋体" w:hAnsi="宋体" w:cs="宋体"/>
          <w:kern w:val="0"/>
          <w:szCs w:val="21"/>
        </w:rPr>
      </w:pPr>
      <w:r>
        <w:rPr>
          <w:rFonts w:hint="eastAsia" w:ascii="宋体" w:hAnsi="宋体"/>
          <w:color w:val="000000"/>
          <w:szCs w:val="21"/>
        </w:rPr>
        <w:t>4.谈判单位认为与本项目</w:t>
      </w:r>
      <w:r>
        <w:rPr>
          <w:rFonts w:hint="eastAsia" w:ascii="宋体" w:hAnsi="宋体" w:cs="宋体"/>
          <w:kern w:val="0"/>
          <w:szCs w:val="21"/>
        </w:rPr>
        <w:t>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sectPr>
          <w:pgSz w:w="12240" w:h="15840"/>
          <w:pgMar w:top="1440" w:right="1800" w:bottom="1440" w:left="1800" w:header="720" w:footer="720" w:gutter="0"/>
          <w:cols w:space="720" w:num="1"/>
          <w:titlePg/>
          <w:docGrid w:type="lines" w:linePitch="323" w:charSpace="0"/>
        </w:sectPr>
      </w:pPr>
      <w:r>
        <w:rPr>
          <w:rFonts w:hint="eastAsia" w:ascii="宋体" w:hAnsi="宋体"/>
          <w:b/>
          <w:bCs/>
          <w:szCs w:val="21"/>
        </w:rPr>
        <w:t>2.上述证明文件原件须用文件袋单独包装，在响应文件递交的同时一并提交。</w:t>
      </w:r>
    </w:p>
    <w:p>
      <w:pPr>
        <w:adjustRightInd w:val="0"/>
        <w:snapToGrid w:val="0"/>
        <w:spacing w:line="360" w:lineRule="auto"/>
        <w:ind w:firstLine="643" w:firstLineChars="200"/>
        <w:jc w:val="center"/>
        <w:rPr>
          <w:rFonts w:ascii="黑体" w:hAnsi="宋体" w:eastAsia="黑体"/>
          <w:b/>
          <w:bCs/>
          <w:sz w:val="32"/>
          <w:szCs w:val="32"/>
        </w:rPr>
      </w:pPr>
      <w:r>
        <w:rPr>
          <w:rFonts w:hint="eastAsia" w:ascii="黑体" w:hAnsi="宋体" w:eastAsia="黑体"/>
          <w:b/>
          <w:sz w:val="32"/>
          <w:szCs w:val="32"/>
        </w:rPr>
        <w:t>五、</w:t>
      </w:r>
      <w:r>
        <w:rPr>
          <w:rFonts w:hint="eastAsia" w:ascii="黑体" w:hAnsi="宋体" w:eastAsia="黑体"/>
          <w:b/>
          <w:bCs/>
          <w:sz w:val="32"/>
          <w:szCs w:val="32"/>
        </w:rPr>
        <w:t>服务方案（如有）</w:t>
      </w:r>
    </w:p>
    <w:p>
      <w:pPr>
        <w:adjustRightInd w:val="0"/>
        <w:snapToGrid w:val="0"/>
        <w:spacing w:line="360" w:lineRule="auto"/>
        <w:ind w:firstLine="643" w:firstLineChars="200"/>
        <w:jc w:val="center"/>
        <w:rPr>
          <w:rFonts w:ascii="黑体" w:hAnsi="宋体" w:eastAsia="黑体"/>
          <w:b/>
          <w:bCs/>
          <w:sz w:val="32"/>
          <w:szCs w:val="32"/>
        </w:rPr>
      </w:pPr>
    </w:p>
    <w:p>
      <w:pPr>
        <w:adjustRightInd w:val="0"/>
        <w:snapToGrid w:val="0"/>
        <w:spacing w:line="360" w:lineRule="auto"/>
        <w:ind w:firstLine="562" w:firstLineChars="200"/>
        <w:jc w:val="center"/>
        <w:rPr>
          <w:rFonts w:ascii="宋体" w:hAnsi="宋体"/>
          <w:b/>
          <w:bCs/>
          <w:sz w:val="28"/>
          <w:szCs w:val="28"/>
        </w:rPr>
      </w:pPr>
    </w:p>
    <w:p>
      <w:pPr>
        <w:adjustRightInd w:val="0"/>
        <w:snapToGrid w:val="0"/>
        <w:spacing w:line="360" w:lineRule="auto"/>
        <w:ind w:firstLine="422" w:firstLineChars="200"/>
        <w:rPr>
          <w:rFonts w:ascii="宋体" w:hAnsi="宋体"/>
          <w:b/>
          <w:szCs w:val="21"/>
        </w:rPr>
      </w:pPr>
      <w:r>
        <w:rPr>
          <w:rFonts w:hint="eastAsia" w:ascii="宋体" w:hAnsi="宋体"/>
          <w:b/>
          <w:szCs w:val="21"/>
        </w:rPr>
        <w:t>1．服务方案说明</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r>
        <w:rPr>
          <w:rFonts w:hint="eastAsia" w:ascii="宋体" w:hAnsi="宋体"/>
          <w:szCs w:val="21"/>
        </w:rPr>
        <w:t>1.1谈判单位应根据“用户需求书”规定编写服务方案或服务大纲。</w:t>
      </w:r>
    </w:p>
    <w:p>
      <w:pPr>
        <w:adjustRightInd w:val="0"/>
        <w:snapToGrid w:val="0"/>
        <w:spacing w:line="360" w:lineRule="auto"/>
        <w:ind w:firstLine="420" w:firstLineChars="200"/>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70" w:name="_Toc8554"/>
      <w:bookmarkStart w:id="171" w:name="_Toc29652"/>
      <w:bookmarkStart w:id="172" w:name="_Toc2524"/>
      <w:r>
        <w:rPr>
          <w:rFonts w:hint="eastAsia" w:ascii="宋体" w:hAnsi="宋体"/>
          <w:sz w:val="21"/>
          <w:szCs w:val="21"/>
        </w:rPr>
        <w:t>谈判单位名称：</w:t>
      </w:r>
      <w:r>
        <w:rPr>
          <w:rFonts w:hint="eastAsia" w:ascii="宋体" w:hAnsi="宋体"/>
          <w:sz w:val="21"/>
          <w:szCs w:val="21"/>
          <w:u w:val="single"/>
        </w:rPr>
        <w:t xml:space="preserve">    （盖单位章）</w:t>
      </w:r>
      <w:bookmarkEnd w:id="170"/>
      <w:bookmarkEnd w:id="171"/>
      <w:bookmarkEnd w:id="172"/>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73" w:name="_Toc8996"/>
      <w:bookmarkStart w:id="174" w:name="_Toc6287"/>
      <w:bookmarkStart w:id="175" w:name="_Toc10577"/>
      <w:r>
        <w:rPr>
          <w:rFonts w:hint="eastAsia" w:ascii="宋体" w:hAnsi="宋体"/>
          <w:szCs w:val="21"/>
        </w:rPr>
        <w:t>法定代表人或其委托代理人(签字或盖章)：</w:t>
      </w:r>
      <w:bookmarkEnd w:id="173"/>
      <w:bookmarkEnd w:id="174"/>
      <w:bookmarkEnd w:id="175"/>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黑体" w:hAnsi="宋体" w:eastAsia="黑体"/>
          <w:b/>
          <w:sz w:val="32"/>
          <w:szCs w:val="32"/>
        </w:rPr>
      </w:pPr>
      <w:r>
        <w:rPr>
          <w:rFonts w:ascii="宋体" w:hAnsi="宋体"/>
          <w:sz w:val="24"/>
        </w:rPr>
        <w:br w:type="page"/>
      </w:r>
      <w:r>
        <w:rPr>
          <w:rFonts w:hint="eastAsia" w:ascii="黑体" w:hAnsi="宋体" w:eastAsia="黑体"/>
          <w:b/>
          <w:bCs/>
          <w:sz w:val="32"/>
          <w:szCs w:val="32"/>
        </w:rPr>
        <w:t>六、报价一览表</w:t>
      </w:r>
    </w:p>
    <w:p>
      <w:pPr>
        <w:adjustRightInd w:val="0"/>
        <w:snapToGrid w:val="0"/>
        <w:spacing w:line="360" w:lineRule="auto"/>
        <w:ind w:firstLine="480" w:firstLineChars="200"/>
        <w:jc w:val="right"/>
        <w:rPr>
          <w:rFonts w:ascii="黑体" w:hAnsi="宋体" w:eastAsia="黑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元/年</w:t>
            </w:r>
          </w:p>
        </w:tc>
        <w:tc>
          <w:tcPr>
            <w:tcW w:w="4016" w:type="dxa"/>
            <w:vAlign w:val="center"/>
          </w:tcPr>
          <w:p>
            <w:pPr>
              <w:spacing w:line="360" w:lineRule="auto"/>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r>
              <w:rPr>
                <w:rFonts w:hint="eastAsia" w:ascii="宋体" w:hAnsi="宋体"/>
                <w:szCs w:val="21"/>
              </w:rPr>
              <w:t xml:space="preserve">  </w:t>
            </w:r>
          </w:p>
        </w:tc>
      </w:tr>
    </w:tbl>
    <w:p>
      <w:pPr>
        <w:adjustRightInd w:val="0"/>
        <w:snapToGrid w:val="0"/>
        <w:spacing w:line="360" w:lineRule="auto"/>
        <w:ind w:firstLine="422" w:firstLineChars="200"/>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27"/>
        <w:adjustRightInd w:val="0"/>
        <w:snapToGrid w:val="0"/>
        <w:spacing w:line="360" w:lineRule="auto"/>
        <w:ind w:firstLine="420" w:firstLineChars="200"/>
        <w:outlineLvl w:val="0"/>
        <w:rPr>
          <w:rFonts w:ascii="宋体" w:hAnsi="宋体"/>
          <w:bCs/>
          <w:sz w:val="21"/>
          <w:szCs w:val="21"/>
        </w:rPr>
      </w:pPr>
      <w:bookmarkStart w:id="176" w:name="_Toc15367"/>
      <w:bookmarkStart w:id="177" w:name="_Toc26371"/>
      <w:bookmarkStart w:id="178" w:name="_Toc22197"/>
      <w:r>
        <w:rPr>
          <w:rFonts w:hint="eastAsia" w:ascii="宋体" w:hAnsi="宋体"/>
          <w:sz w:val="21"/>
          <w:szCs w:val="21"/>
        </w:rPr>
        <w:t>谈判单位名称：</w:t>
      </w:r>
      <w:r>
        <w:rPr>
          <w:rFonts w:hint="eastAsia" w:ascii="宋体" w:hAnsi="宋体"/>
          <w:sz w:val="21"/>
          <w:szCs w:val="21"/>
          <w:u w:val="single"/>
        </w:rPr>
        <w:t xml:space="preserve">    （盖单位章）</w:t>
      </w:r>
      <w:bookmarkEnd w:id="176"/>
      <w:bookmarkEnd w:id="177"/>
      <w:bookmarkEnd w:id="178"/>
      <w:r>
        <w:rPr>
          <w:rFonts w:hint="eastAsia" w:ascii="宋体" w:hAnsi="宋体"/>
          <w:sz w:val="21"/>
          <w:szCs w:val="21"/>
          <w:u w:val="single"/>
        </w:rPr>
        <w:t xml:space="preserve">    </w:t>
      </w:r>
    </w:p>
    <w:p>
      <w:pPr>
        <w:adjustRightInd w:val="0"/>
        <w:snapToGrid w:val="0"/>
        <w:spacing w:line="360" w:lineRule="auto"/>
        <w:ind w:firstLine="420" w:firstLineChars="200"/>
        <w:outlineLvl w:val="0"/>
        <w:rPr>
          <w:rFonts w:ascii="宋体" w:hAnsi="宋体"/>
          <w:szCs w:val="21"/>
        </w:rPr>
      </w:pPr>
      <w:bookmarkStart w:id="179" w:name="_Toc14381"/>
      <w:bookmarkStart w:id="180" w:name="_Toc7637"/>
      <w:bookmarkStart w:id="181" w:name="_Toc26095"/>
      <w:r>
        <w:rPr>
          <w:rFonts w:hint="eastAsia" w:ascii="宋体" w:hAnsi="宋体"/>
          <w:szCs w:val="21"/>
        </w:rPr>
        <w:t>法定代表人或其委托代理人(签字或盖章)：</w:t>
      </w:r>
      <w:bookmarkEnd w:id="179"/>
      <w:bookmarkEnd w:id="180"/>
      <w:bookmarkEnd w:id="181"/>
      <w:r>
        <w:rPr>
          <w:rFonts w:hint="eastAsia" w:ascii="宋体" w:hAnsi="宋体"/>
          <w:szCs w:val="21"/>
          <w:u w:val="single"/>
        </w:rPr>
        <w:t xml:space="preserve">               </w:t>
      </w:r>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0"/>
        <w:rPr>
          <w:rFonts w:ascii="黑体" w:eastAsia="黑体"/>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420" w:firstLineChars="200"/>
        <w:rPr>
          <w:rFonts w:ascii="仿宋_GB2312" w:hAnsi="仿宋_GB2312" w:eastAsia="仿宋_GB2312" w:cs="仿宋_GB2312"/>
          <w:color w:val="000000"/>
        </w:rPr>
      </w:pPr>
    </w:p>
    <w:p>
      <w:pPr>
        <w:spacing w:line="360" w:lineRule="auto"/>
        <w:ind w:firstLine="643" w:firstLineChars="200"/>
        <w:jc w:val="center"/>
        <w:outlineLvl w:val="0"/>
        <w:rPr>
          <w:rFonts w:ascii="黑体" w:hAnsi="宋体" w:eastAsia="黑体"/>
          <w:b/>
          <w:sz w:val="32"/>
          <w:szCs w:val="32"/>
        </w:rPr>
      </w:pPr>
      <w:bookmarkStart w:id="182" w:name="_Toc8265"/>
      <w:r>
        <w:rPr>
          <w:rFonts w:hint="eastAsia" w:ascii="黑体" w:hAnsi="宋体" w:eastAsia="黑体"/>
          <w:b/>
          <w:sz w:val="32"/>
          <w:szCs w:val="32"/>
        </w:rPr>
        <w:t>七、其他资料(如有)</w:t>
      </w:r>
      <w:bookmarkEnd w:id="182"/>
    </w:p>
    <w:p>
      <w:pPr>
        <w:adjustRightInd w:val="0"/>
        <w:snapToGrid w:val="0"/>
        <w:spacing w:before="161" w:beforeLines="50" w:line="360" w:lineRule="auto"/>
        <w:ind w:firstLine="560" w:firstLineChars="200"/>
        <w:jc w:val="center"/>
        <w:outlineLvl w:val="0"/>
        <w:rPr>
          <w:rFonts w:ascii="宋体" w:hAnsi="宋体"/>
          <w:sz w:val="28"/>
          <w:szCs w:val="28"/>
        </w:rPr>
      </w:pPr>
    </w:p>
    <w:p>
      <w:pPr>
        <w:adjustRightInd w:val="0"/>
        <w:snapToGrid w:val="0"/>
        <w:spacing w:before="161" w:beforeLines="50" w:line="360" w:lineRule="auto"/>
        <w:ind w:firstLine="420" w:firstLineChars="200"/>
        <w:jc w:val="center"/>
        <w:outlineLvl w:val="0"/>
        <w:rPr>
          <w:rFonts w:ascii="宋体" w:hAnsi="宋体"/>
          <w:szCs w:val="21"/>
        </w:rPr>
      </w:pPr>
      <w:bookmarkStart w:id="183" w:name="_Toc3706"/>
      <w:bookmarkStart w:id="184" w:name="_Toc15601"/>
      <w:r>
        <w:rPr>
          <w:rFonts w:hint="eastAsia" w:ascii="宋体" w:hAnsi="宋体"/>
          <w:szCs w:val="21"/>
        </w:rPr>
        <w:t>谈判单位认为需要提供的其他报价资料，格式自拟。</w:t>
      </w:r>
      <w:bookmarkEnd w:id="183"/>
      <w:bookmarkEnd w:id="184"/>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宋体"/>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72" o:spid="_x0000_s2072"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 o:spid="_x0000_s2064"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4" o:spid="_x0000_s2051"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jc w:val="center"/>
                </w:pPr>
                <w:r>
                  <w:fldChar w:fldCharType="begin"/>
                </w:r>
                <w:r>
                  <w:instrText xml:space="preserve">PAGE   \* MERGEFORMAT</w:instrText>
                </w:r>
                <w:r>
                  <w:fldChar w:fldCharType="separate"/>
                </w:r>
                <w:r>
                  <w:rPr>
                    <w:lang w:val="zh-CN"/>
                  </w:rPr>
                  <w:t>2</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8" o:spid="_x0000_s2057"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Quad Arrow 14" o:spid="_x0000_s2053"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5" o:spid="_x0000_s2052"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13" o:spid="_x0000_s2056"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Quad Arrow 11" o:spid="_x0000_s2054"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45035"/>
    <w:rsid w:val="00052640"/>
    <w:rsid w:val="00063D15"/>
    <w:rsid w:val="00074928"/>
    <w:rsid w:val="00091C9D"/>
    <w:rsid w:val="000C106E"/>
    <w:rsid w:val="000D09CD"/>
    <w:rsid w:val="000E442D"/>
    <w:rsid w:val="00115FE6"/>
    <w:rsid w:val="001453A1"/>
    <w:rsid w:val="00162D59"/>
    <w:rsid w:val="00186162"/>
    <w:rsid w:val="0018730F"/>
    <w:rsid w:val="00195655"/>
    <w:rsid w:val="001C23BF"/>
    <w:rsid w:val="002069C8"/>
    <w:rsid w:val="002139EB"/>
    <w:rsid w:val="0022188F"/>
    <w:rsid w:val="00222DFA"/>
    <w:rsid w:val="00224DF9"/>
    <w:rsid w:val="00230A1A"/>
    <w:rsid w:val="002314A3"/>
    <w:rsid w:val="002523FD"/>
    <w:rsid w:val="00255546"/>
    <w:rsid w:val="00277576"/>
    <w:rsid w:val="00286014"/>
    <w:rsid w:val="002B09CE"/>
    <w:rsid w:val="002B1D56"/>
    <w:rsid w:val="003102A2"/>
    <w:rsid w:val="00331810"/>
    <w:rsid w:val="003422BF"/>
    <w:rsid w:val="00380064"/>
    <w:rsid w:val="00381105"/>
    <w:rsid w:val="003958B2"/>
    <w:rsid w:val="0039632C"/>
    <w:rsid w:val="003B1109"/>
    <w:rsid w:val="003D080C"/>
    <w:rsid w:val="003F46A7"/>
    <w:rsid w:val="004014FD"/>
    <w:rsid w:val="00423B85"/>
    <w:rsid w:val="00453EE9"/>
    <w:rsid w:val="00473865"/>
    <w:rsid w:val="004769D0"/>
    <w:rsid w:val="0048093D"/>
    <w:rsid w:val="00495DBC"/>
    <w:rsid w:val="00495F57"/>
    <w:rsid w:val="004D3DAF"/>
    <w:rsid w:val="00504DED"/>
    <w:rsid w:val="00526589"/>
    <w:rsid w:val="00545140"/>
    <w:rsid w:val="0055214F"/>
    <w:rsid w:val="005556A5"/>
    <w:rsid w:val="0056143E"/>
    <w:rsid w:val="00561B7A"/>
    <w:rsid w:val="00572DFC"/>
    <w:rsid w:val="0058754B"/>
    <w:rsid w:val="005A0970"/>
    <w:rsid w:val="005C688B"/>
    <w:rsid w:val="005E6BBB"/>
    <w:rsid w:val="00641E72"/>
    <w:rsid w:val="00661BEA"/>
    <w:rsid w:val="0068504A"/>
    <w:rsid w:val="0068515F"/>
    <w:rsid w:val="00687C87"/>
    <w:rsid w:val="006B6300"/>
    <w:rsid w:val="006C1A2D"/>
    <w:rsid w:val="006D0A13"/>
    <w:rsid w:val="006E025D"/>
    <w:rsid w:val="006F5FAC"/>
    <w:rsid w:val="0070784A"/>
    <w:rsid w:val="00730CC6"/>
    <w:rsid w:val="007365D9"/>
    <w:rsid w:val="00740D0D"/>
    <w:rsid w:val="00777175"/>
    <w:rsid w:val="00793ABB"/>
    <w:rsid w:val="0079784E"/>
    <w:rsid w:val="007D0446"/>
    <w:rsid w:val="007F3811"/>
    <w:rsid w:val="00802770"/>
    <w:rsid w:val="0081382B"/>
    <w:rsid w:val="008511F3"/>
    <w:rsid w:val="008B6242"/>
    <w:rsid w:val="008C658E"/>
    <w:rsid w:val="008C7C9F"/>
    <w:rsid w:val="008E5151"/>
    <w:rsid w:val="00915948"/>
    <w:rsid w:val="00923E97"/>
    <w:rsid w:val="00976388"/>
    <w:rsid w:val="009A5642"/>
    <w:rsid w:val="009B5270"/>
    <w:rsid w:val="009C10AF"/>
    <w:rsid w:val="009D41D7"/>
    <w:rsid w:val="009D7D4A"/>
    <w:rsid w:val="009E03FD"/>
    <w:rsid w:val="00A34DC1"/>
    <w:rsid w:val="00A41E73"/>
    <w:rsid w:val="00A618F2"/>
    <w:rsid w:val="00A61CCE"/>
    <w:rsid w:val="00A8428E"/>
    <w:rsid w:val="00A92B7C"/>
    <w:rsid w:val="00AA1709"/>
    <w:rsid w:val="00AB013C"/>
    <w:rsid w:val="00AD758B"/>
    <w:rsid w:val="00AF10BA"/>
    <w:rsid w:val="00AF11ED"/>
    <w:rsid w:val="00B01BA0"/>
    <w:rsid w:val="00B16AF5"/>
    <w:rsid w:val="00B51FCB"/>
    <w:rsid w:val="00B74689"/>
    <w:rsid w:val="00B82298"/>
    <w:rsid w:val="00C0069B"/>
    <w:rsid w:val="00C20479"/>
    <w:rsid w:val="00C532E5"/>
    <w:rsid w:val="00C57914"/>
    <w:rsid w:val="00C6008B"/>
    <w:rsid w:val="00C758E3"/>
    <w:rsid w:val="00CB534B"/>
    <w:rsid w:val="00CB5484"/>
    <w:rsid w:val="00CE51F2"/>
    <w:rsid w:val="00CE631C"/>
    <w:rsid w:val="00CE703D"/>
    <w:rsid w:val="00CF0192"/>
    <w:rsid w:val="00D164FE"/>
    <w:rsid w:val="00D31733"/>
    <w:rsid w:val="00D43330"/>
    <w:rsid w:val="00D54BFE"/>
    <w:rsid w:val="00D6726F"/>
    <w:rsid w:val="00D84A7F"/>
    <w:rsid w:val="00DA028F"/>
    <w:rsid w:val="00DA51BD"/>
    <w:rsid w:val="00DF363F"/>
    <w:rsid w:val="00E32EEF"/>
    <w:rsid w:val="00E77817"/>
    <w:rsid w:val="00E944EE"/>
    <w:rsid w:val="00EF6911"/>
    <w:rsid w:val="00F05F10"/>
    <w:rsid w:val="00F37996"/>
    <w:rsid w:val="00F410E0"/>
    <w:rsid w:val="00F579E9"/>
    <w:rsid w:val="00FA6734"/>
    <w:rsid w:val="00FE2B82"/>
    <w:rsid w:val="00FE3699"/>
    <w:rsid w:val="016E73A8"/>
    <w:rsid w:val="01DE6B70"/>
    <w:rsid w:val="02016232"/>
    <w:rsid w:val="028D51BD"/>
    <w:rsid w:val="03D609D8"/>
    <w:rsid w:val="03ED3E80"/>
    <w:rsid w:val="04072F21"/>
    <w:rsid w:val="04266FF5"/>
    <w:rsid w:val="05894214"/>
    <w:rsid w:val="06C32324"/>
    <w:rsid w:val="070C59FF"/>
    <w:rsid w:val="073C0D51"/>
    <w:rsid w:val="07476B29"/>
    <w:rsid w:val="08023E55"/>
    <w:rsid w:val="08C565F2"/>
    <w:rsid w:val="09664C98"/>
    <w:rsid w:val="097D1C20"/>
    <w:rsid w:val="097F42B9"/>
    <w:rsid w:val="09D61CB2"/>
    <w:rsid w:val="0A9A0228"/>
    <w:rsid w:val="0BA2673F"/>
    <w:rsid w:val="0BB21C70"/>
    <w:rsid w:val="0C164A2F"/>
    <w:rsid w:val="0D66668B"/>
    <w:rsid w:val="0E616540"/>
    <w:rsid w:val="0EE35C4D"/>
    <w:rsid w:val="0FEE6040"/>
    <w:rsid w:val="10703D88"/>
    <w:rsid w:val="110C2C29"/>
    <w:rsid w:val="11FB259E"/>
    <w:rsid w:val="12281DA5"/>
    <w:rsid w:val="136544CD"/>
    <w:rsid w:val="1411188B"/>
    <w:rsid w:val="14AB387C"/>
    <w:rsid w:val="15D00CD9"/>
    <w:rsid w:val="15DD7FEE"/>
    <w:rsid w:val="15ED6A1A"/>
    <w:rsid w:val="17A75EDC"/>
    <w:rsid w:val="18120B9A"/>
    <w:rsid w:val="184738E0"/>
    <w:rsid w:val="187B0481"/>
    <w:rsid w:val="1893797B"/>
    <w:rsid w:val="18EB4CFD"/>
    <w:rsid w:val="18EE3D3C"/>
    <w:rsid w:val="19035318"/>
    <w:rsid w:val="19630DF4"/>
    <w:rsid w:val="19F1690B"/>
    <w:rsid w:val="1A80468D"/>
    <w:rsid w:val="1B324E6A"/>
    <w:rsid w:val="1C3228C1"/>
    <w:rsid w:val="1D5C448C"/>
    <w:rsid w:val="1E981D4A"/>
    <w:rsid w:val="1EFC3574"/>
    <w:rsid w:val="1FD401CA"/>
    <w:rsid w:val="20512691"/>
    <w:rsid w:val="214931CD"/>
    <w:rsid w:val="219C6F36"/>
    <w:rsid w:val="21D905F3"/>
    <w:rsid w:val="22001CA7"/>
    <w:rsid w:val="22F82628"/>
    <w:rsid w:val="23217DAC"/>
    <w:rsid w:val="233E41F0"/>
    <w:rsid w:val="23540F1C"/>
    <w:rsid w:val="23F8119B"/>
    <w:rsid w:val="24967E12"/>
    <w:rsid w:val="24BC37AA"/>
    <w:rsid w:val="2658296F"/>
    <w:rsid w:val="26662701"/>
    <w:rsid w:val="267F0FB7"/>
    <w:rsid w:val="26B0428E"/>
    <w:rsid w:val="26D60619"/>
    <w:rsid w:val="273B23BD"/>
    <w:rsid w:val="27405291"/>
    <w:rsid w:val="2888133C"/>
    <w:rsid w:val="29210A38"/>
    <w:rsid w:val="2951072C"/>
    <w:rsid w:val="29FE6640"/>
    <w:rsid w:val="2AC97A0D"/>
    <w:rsid w:val="2B387C14"/>
    <w:rsid w:val="2C074F20"/>
    <w:rsid w:val="2C162F55"/>
    <w:rsid w:val="2C3C6E9F"/>
    <w:rsid w:val="2C5D4AA0"/>
    <w:rsid w:val="2C7627E2"/>
    <w:rsid w:val="2D8D261C"/>
    <w:rsid w:val="2DDB7325"/>
    <w:rsid w:val="2E5973A3"/>
    <w:rsid w:val="2EA33208"/>
    <w:rsid w:val="30920601"/>
    <w:rsid w:val="30F77CED"/>
    <w:rsid w:val="31B61A82"/>
    <w:rsid w:val="32B27CA8"/>
    <w:rsid w:val="32F7027C"/>
    <w:rsid w:val="3326112B"/>
    <w:rsid w:val="33AB69E0"/>
    <w:rsid w:val="33BD1A5D"/>
    <w:rsid w:val="343B7C3F"/>
    <w:rsid w:val="349537D0"/>
    <w:rsid w:val="359D78EF"/>
    <w:rsid w:val="36586AB4"/>
    <w:rsid w:val="36630339"/>
    <w:rsid w:val="36E403EC"/>
    <w:rsid w:val="38907664"/>
    <w:rsid w:val="38DE4586"/>
    <w:rsid w:val="392B2144"/>
    <w:rsid w:val="393442DF"/>
    <w:rsid w:val="39E27939"/>
    <w:rsid w:val="3B235613"/>
    <w:rsid w:val="3B59477E"/>
    <w:rsid w:val="3BC74370"/>
    <w:rsid w:val="3C263F3D"/>
    <w:rsid w:val="3CB459C9"/>
    <w:rsid w:val="3D350E98"/>
    <w:rsid w:val="3ECD75DF"/>
    <w:rsid w:val="3FED00A7"/>
    <w:rsid w:val="401F311B"/>
    <w:rsid w:val="408C5AEB"/>
    <w:rsid w:val="40BE1148"/>
    <w:rsid w:val="425B2511"/>
    <w:rsid w:val="42A637B4"/>
    <w:rsid w:val="434660D0"/>
    <w:rsid w:val="4431133A"/>
    <w:rsid w:val="450F3B16"/>
    <w:rsid w:val="4575004E"/>
    <w:rsid w:val="457B4715"/>
    <w:rsid w:val="45BD7EF6"/>
    <w:rsid w:val="469965DF"/>
    <w:rsid w:val="46E17929"/>
    <w:rsid w:val="4751366F"/>
    <w:rsid w:val="48605FB4"/>
    <w:rsid w:val="4A164FC6"/>
    <w:rsid w:val="4AC5638E"/>
    <w:rsid w:val="4CF400BB"/>
    <w:rsid w:val="4D40298C"/>
    <w:rsid w:val="4D6E4698"/>
    <w:rsid w:val="4DB24FC1"/>
    <w:rsid w:val="4E8548FC"/>
    <w:rsid w:val="4EC90D3E"/>
    <w:rsid w:val="4EEF295D"/>
    <w:rsid w:val="4F792F65"/>
    <w:rsid w:val="51322546"/>
    <w:rsid w:val="51482C9B"/>
    <w:rsid w:val="522D2330"/>
    <w:rsid w:val="52F421A7"/>
    <w:rsid w:val="5322696F"/>
    <w:rsid w:val="53CF0CFB"/>
    <w:rsid w:val="54127522"/>
    <w:rsid w:val="54305127"/>
    <w:rsid w:val="5444354A"/>
    <w:rsid w:val="548A000A"/>
    <w:rsid w:val="550C1056"/>
    <w:rsid w:val="56C20F2D"/>
    <w:rsid w:val="57477B2B"/>
    <w:rsid w:val="576C0569"/>
    <w:rsid w:val="57C86EED"/>
    <w:rsid w:val="583D5903"/>
    <w:rsid w:val="58F11BFD"/>
    <w:rsid w:val="596D221D"/>
    <w:rsid w:val="598409DC"/>
    <w:rsid w:val="59BC25A2"/>
    <w:rsid w:val="59D37CF1"/>
    <w:rsid w:val="5ADF6442"/>
    <w:rsid w:val="5B1146F6"/>
    <w:rsid w:val="5B1D7FDB"/>
    <w:rsid w:val="5B95287A"/>
    <w:rsid w:val="5C524815"/>
    <w:rsid w:val="5CDA0CDF"/>
    <w:rsid w:val="5D396783"/>
    <w:rsid w:val="5D481133"/>
    <w:rsid w:val="5D4F4FA5"/>
    <w:rsid w:val="5DA1750E"/>
    <w:rsid w:val="5E980AE5"/>
    <w:rsid w:val="5EAF6ADC"/>
    <w:rsid w:val="5EB1616D"/>
    <w:rsid w:val="5F6139E2"/>
    <w:rsid w:val="60F765D6"/>
    <w:rsid w:val="620D4160"/>
    <w:rsid w:val="624A6D8F"/>
    <w:rsid w:val="62A1064F"/>
    <w:rsid w:val="62A85CDD"/>
    <w:rsid w:val="62CC2A90"/>
    <w:rsid w:val="62E35C5C"/>
    <w:rsid w:val="62E60624"/>
    <w:rsid w:val="632A666E"/>
    <w:rsid w:val="6336440C"/>
    <w:rsid w:val="638024ED"/>
    <w:rsid w:val="643A1B9E"/>
    <w:rsid w:val="6451797B"/>
    <w:rsid w:val="64546A26"/>
    <w:rsid w:val="65E83D26"/>
    <w:rsid w:val="65FC519A"/>
    <w:rsid w:val="66585984"/>
    <w:rsid w:val="670D79CE"/>
    <w:rsid w:val="67392F67"/>
    <w:rsid w:val="673B1F5E"/>
    <w:rsid w:val="677F4A59"/>
    <w:rsid w:val="685925FD"/>
    <w:rsid w:val="69CE2E46"/>
    <w:rsid w:val="69EF1903"/>
    <w:rsid w:val="6A636C96"/>
    <w:rsid w:val="6A7C7C2D"/>
    <w:rsid w:val="6ABE21AD"/>
    <w:rsid w:val="6B776B5F"/>
    <w:rsid w:val="6B96184C"/>
    <w:rsid w:val="6B9A5005"/>
    <w:rsid w:val="6CF25E26"/>
    <w:rsid w:val="6F850583"/>
    <w:rsid w:val="6FBC3B21"/>
    <w:rsid w:val="6FF33E1A"/>
    <w:rsid w:val="702F5C21"/>
    <w:rsid w:val="7095454D"/>
    <w:rsid w:val="710E6F5D"/>
    <w:rsid w:val="71252D0C"/>
    <w:rsid w:val="7203188F"/>
    <w:rsid w:val="730A11F0"/>
    <w:rsid w:val="738F320C"/>
    <w:rsid w:val="73952AC6"/>
    <w:rsid w:val="74320B29"/>
    <w:rsid w:val="74410A18"/>
    <w:rsid w:val="760667A9"/>
    <w:rsid w:val="770C4A8E"/>
    <w:rsid w:val="77684BEC"/>
    <w:rsid w:val="781264F1"/>
    <w:rsid w:val="791D1490"/>
    <w:rsid w:val="79547B6C"/>
    <w:rsid w:val="79EE69A0"/>
    <w:rsid w:val="7A375F45"/>
    <w:rsid w:val="7A8377CB"/>
    <w:rsid w:val="7A851190"/>
    <w:rsid w:val="7AB93CAD"/>
    <w:rsid w:val="7AD51802"/>
    <w:rsid w:val="7B625890"/>
    <w:rsid w:val="7C996C5E"/>
    <w:rsid w:val="7D3149F1"/>
    <w:rsid w:val="7D673B84"/>
    <w:rsid w:val="7D9A4A5D"/>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link w:val="31"/>
    <w:qFormat/>
    <w:uiPriority w:val="0"/>
    <w:rPr>
      <w:sz w:val="18"/>
      <w:szCs w:val="18"/>
    </w:rPr>
  </w:style>
  <w:style w:type="character" w:customStyle="1" w:styleId="217">
    <w:name w:val="页脚 Char"/>
    <w:link w:val="30"/>
    <w:qFormat/>
    <w:uiPriority w:val="99"/>
    <w:rPr>
      <w:sz w:val="18"/>
      <w:szCs w:val="18"/>
    </w:rPr>
  </w:style>
  <w:style w:type="character" w:customStyle="1" w:styleId="218">
    <w:name w:val="标题 1 Char1"/>
    <w:link w:val="3"/>
    <w:qFormat/>
    <w:uiPriority w:val="0"/>
    <w:rPr>
      <w:rFonts w:ascii="Times New Roman" w:hAnsi="Times New Roman" w:eastAsia="宋体" w:cs="Times New Roman"/>
      <w:b/>
      <w:bCs/>
      <w:kern w:val="0"/>
      <w:sz w:val="24"/>
      <w:szCs w:val="20"/>
    </w:rPr>
  </w:style>
  <w:style w:type="character" w:customStyle="1" w:styleId="219">
    <w:name w:val="标题 2 Char1"/>
    <w:link w:val="4"/>
    <w:qFormat/>
    <w:uiPriority w:val="0"/>
    <w:rPr>
      <w:rFonts w:ascii="Arial" w:hAnsi="Arial" w:eastAsia="宋体" w:cs="Times New Roman"/>
      <w:b/>
      <w:bCs/>
      <w:kern w:val="0"/>
      <w:sz w:val="24"/>
      <w:szCs w:val="32"/>
    </w:rPr>
  </w:style>
  <w:style w:type="character" w:customStyle="1" w:styleId="220">
    <w:name w:val="标题 3 Char1"/>
    <w:link w:val="5"/>
    <w:qFormat/>
    <w:uiPriority w:val="0"/>
    <w:rPr>
      <w:rFonts w:ascii="Times New Roman" w:hAnsi="Times New Roman" w:eastAsia="宋体" w:cs="Times New Roman"/>
      <w:b/>
      <w:bCs/>
      <w:kern w:val="0"/>
      <w:sz w:val="32"/>
      <w:szCs w:val="32"/>
    </w:rPr>
  </w:style>
  <w:style w:type="character" w:customStyle="1" w:styleId="221">
    <w:name w:val="标题 4 Char1"/>
    <w:link w:val="6"/>
    <w:qFormat/>
    <w:uiPriority w:val="0"/>
    <w:rPr>
      <w:rFonts w:ascii="Arial" w:hAnsi="Arial" w:eastAsia="黑体" w:cs="Times New Roman"/>
      <w:b/>
      <w:bCs/>
      <w:kern w:val="0"/>
      <w:sz w:val="28"/>
      <w:szCs w:val="28"/>
    </w:rPr>
  </w:style>
  <w:style w:type="character" w:customStyle="1" w:styleId="222">
    <w:name w:val="标题 5 Char1"/>
    <w:link w:val="7"/>
    <w:qFormat/>
    <w:uiPriority w:val="0"/>
    <w:rPr>
      <w:rFonts w:ascii="Times New Roman" w:hAnsi="Times New Roman" w:eastAsia="宋体" w:cs="Times New Roman"/>
      <w:b/>
      <w:bCs/>
      <w:kern w:val="0"/>
      <w:sz w:val="28"/>
      <w:szCs w:val="28"/>
    </w:rPr>
  </w:style>
  <w:style w:type="character" w:customStyle="1" w:styleId="223">
    <w:name w:val="标题 6 Char1"/>
    <w:link w:val="8"/>
    <w:qFormat/>
    <w:uiPriority w:val="0"/>
    <w:rPr>
      <w:rFonts w:ascii="Arial" w:hAnsi="Arial" w:eastAsia="黑体" w:cs="Times New Roman"/>
      <w:b/>
      <w:bCs/>
      <w:kern w:val="0"/>
      <w:sz w:val="24"/>
      <w:szCs w:val="24"/>
    </w:rPr>
  </w:style>
  <w:style w:type="character" w:customStyle="1" w:styleId="224">
    <w:name w:val="标题 7 Char1"/>
    <w:link w:val="9"/>
    <w:qFormat/>
    <w:uiPriority w:val="0"/>
    <w:rPr>
      <w:rFonts w:ascii="Times New Roman" w:hAnsi="Times New Roman" w:eastAsia="宋体" w:cs="Times New Roman"/>
      <w:b/>
      <w:bCs/>
      <w:kern w:val="0"/>
      <w:sz w:val="24"/>
      <w:szCs w:val="24"/>
    </w:rPr>
  </w:style>
  <w:style w:type="character" w:customStyle="1" w:styleId="225">
    <w:name w:val="标题 8 Char1"/>
    <w:link w:val="10"/>
    <w:qFormat/>
    <w:uiPriority w:val="0"/>
    <w:rPr>
      <w:rFonts w:ascii="Arial" w:hAnsi="Arial" w:eastAsia="黑体" w:cs="Times New Roman"/>
      <w:kern w:val="0"/>
      <w:sz w:val="24"/>
      <w:szCs w:val="24"/>
    </w:rPr>
  </w:style>
  <w:style w:type="character" w:customStyle="1" w:styleId="226">
    <w:name w:val="标题 9 Char1"/>
    <w:link w:val="11"/>
    <w:qFormat/>
    <w:uiPriority w:val="0"/>
    <w:rPr>
      <w:rFonts w:ascii="Arial" w:hAnsi="Arial" w:eastAsia="黑体" w:cs="Times New Roman"/>
      <w:kern w:val="0"/>
      <w:sz w:val="20"/>
      <w:szCs w:val="21"/>
    </w:rPr>
  </w:style>
  <w:style w:type="character" w:customStyle="1" w:styleId="227">
    <w:name w:val="正文文本 2 Char"/>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qFormat/>
    <w:uiPriority w:val="0"/>
    <w:rPr>
      <w:rFonts w:ascii="Cambria" w:hAnsi="Cambria" w:eastAsia="宋体" w:cs="Times New Roman"/>
      <w:b/>
      <w:bCs/>
      <w:sz w:val="28"/>
      <w:szCs w:val="28"/>
    </w:rPr>
  </w:style>
  <w:style w:type="character" w:customStyle="1" w:styleId="232">
    <w:name w:val="日期 Char"/>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qFormat/>
    <w:uiPriority w:val="0"/>
    <w:rPr>
      <w:rFonts w:hint="eastAsia" w:ascii="宋体" w:hAnsi="宋体" w:eastAsia="宋体" w:cs="宋体"/>
      <w:color w:val="000000"/>
      <w:sz w:val="18"/>
      <w:szCs w:val="18"/>
      <w:u w:val="none"/>
    </w:rPr>
  </w:style>
  <w:style w:type="character" w:customStyle="1" w:styleId="246">
    <w:name w:val="font01"/>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link w:val="43"/>
    <w:qFormat/>
    <w:uiPriority w:val="0"/>
    <w:rPr>
      <w:rFonts w:ascii="Cambria" w:hAnsi="Cambria" w:eastAsia="宋体" w:cs="Times New Roman"/>
      <w:b/>
      <w:sz w:val="32"/>
      <w:szCs w:val="24"/>
    </w:rPr>
  </w:style>
  <w:style w:type="character" w:customStyle="1" w:styleId="255">
    <w:name w:val="正文文本缩进 2 Char"/>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qFormat/>
    <w:uiPriority w:val="0"/>
    <w:rPr>
      <w:rFonts w:ascii="Times New Roman" w:hAnsi="Times New Roman" w:eastAsia="宋体" w:cs="Times New Roman"/>
      <w:b/>
      <w:bCs/>
      <w:szCs w:val="24"/>
    </w:rPr>
  </w:style>
  <w:style w:type="character" w:customStyle="1" w:styleId="263">
    <w:name w:val="批注文字 Char"/>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link w:val="40"/>
    <w:qFormat/>
    <w:uiPriority w:val="0"/>
    <w:rPr>
      <w:rFonts w:ascii="Arial" w:hAnsi="Arial" w:eastAsia="宋体" w:cs="Arial"/>
      <w:kern w:val="0"/>
      <w:sz w:val="24"/>
      <w:szCs w:val="24"/>
    </w:rPr>
  </w:style>
  <w:style w:type="character" w:customStyle="1" w:styleId="268">
    <w:name w:val="称呼 Char"/>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link w:val="14"/>
    <w:qFormat/>
    <w:uiPriority w:val="0"/>
    <w:rPr>
      <w:rFonts w:ascii="Times New Roman" w:hAnsi="Times New Roman" w:eastAsia="宋体" w:cs="Times New Roman"/>
      <w:szCs w:val="24"/>
      <w:shd w:val="clear" w:color="auto" w:fill="000080"/>
    </w:rPr>
  </w:style>
  <w:style w:type="character" w:customStyle="1" w:styleId="282">
    <w:name w:val="标题 1 Char"/>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qFormat/>
    <w:uiPriority w:val="0"/>
    <w:rPr>
      <w:rFonts w:ascii="Cambria" w:hAnsi="Cambria" w:eastAsia="宋体" w:cs="Times New Roman"/>
      <w:b/>
      <w:bCs/>
      <w:sz w:val="32"/>
      <w:szCs w:val="32"/>
    </w:rPr>
  </w:style>
  <w:style w:type="character" w:customStyle="1" w:styleId="286">
    <w:name w:val="纯文本 Char1"/>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qFormat/>
    <w:uiPriority w:val="0"/>
    <w:rPr>
      <w:rFonts w:ascii="Cambria" w:hAnsi="Cambria" w:eastAsia="宋体" w:cs="Times New Roman"/>
      <w:b/>
      <w:bCs/>
      <w:sz w:val="32"/>
      <w:szCs w:val="32"/>
    </w:rPr>
  </w:style>
  <w:style w:type="character" w:customStyle="1" w:styleId="292">
    <w:name w:val="font41"/>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qFormat/>
    <w:uiPriority w:val="0"/>
    <w:rPr>
      <w:rFonts w:ascii="Cambria" w:hAnsi="Cambria" w:eastAsia="宋体" w:cs="Times New Roman"/>
      <w:sz w:val="24"/>
      <w:szCs w:val="24"/>
    </w:rPr>
  </w:style>
  <w:style w:type="character" w:customStyle="1" w:styleId="302">
    <w:name w:val="正文文本 3 Char"/>
    <w:link w:val="18"/>
    <w:qFormat/>
    <w:uiPriority w:val="0"/>
    <w:rPr>
      <w:rFonts w:ascii="宋体" w:hAnsi="Times New Roman" w:eastAsia="宋体" w:cs="Times New Roman"/>
      <w:color w:val="000000"/>
      <w:kern w:val="0"/>
      <w:sz w:val="24"/>
      <w:szCs w:val="20"/>
    </w:rPr>
  </w:style>
  <w:style w:type="character" w:customStyle="1" w:styleId="303">
    <w:name w:val="font71"/>
    <w:qFormat/>
    <w:uiPriority w:val="0"/>
    <w:rPr>
      <w:rFonts w:hint="eastAsia" w:ascii="宋体" w:hAnsi="宋体" w:eastAsia="宋体" w:cs="宋体"/>
      <w:b/>
      <w:color w:val="000000"/>
      <w:sz w:val="22"/>
      <w:szCs w:val="22"/>
      <w:u w:val="none"/>
    </w:rPr>
  </w:style>
  <w:style w:type="character" w:customStyle="1" w:styleId="304">
    <w:name w:val="font21"/>
    <w:qFormat/>
    <w:uiPriority w:val="0"/>
    <w:rPr>
      <w:rFonts w:hint="eastAsia" w:ascii="宋体" w:hAnsi="宋体" w:eastAsia="宋体" w:cs="宋体"/>
      <w:color w:val="000000"/>
      <w:sz w:val="18"/>
      <w:szCs w:val="18"/>
      <w:u w:val="none"/>
    </w:rPr>
  </w:style>
  <w:style w:type="character" w:customStyle="1" w:styleId="305">
    <w:name w:val="标题 9 Char"/>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semiHidden/>
    <w:qFormat/>
    <w:uiPriority w:val="99"/>
    <w:rPr>
      <w:rFonts w:ascii="Times New Roman" w:hAnsi="Times New Roman" w:eastAsia="宋体" w:cs="Times New Roman"/>
      <w:szCs w:val="24"/>
    </w:rPr>
  </w:style>
  <w:style w:type="character" w:customStyle="1" w:styleId="319">
    <w:name w:val="正文文本缩进 字符1"/>
    <w:semiHidden/>
    <w:qFormat/>
    <w:uiPriority w:val="99"/>
    <w:rPr>
      <w:rFonts w:ascii="Times New Roman" w:hAnsi="Times New Roman" w:eastAsia="宋体" w:cs="Times New Roman"/>
      <w:szCs w:val="24"/>
    </w:rPr>
  </w:style>
  <w:style w:type="character" w:customStyle="1" w:styleId="320">
    <w:name w:val="正文文本 3 字符1"/>
    <w:semiHidden/>
    <w:qFormat/>
    <w:uiPriority w:val="99"/>
    <w:rPr>
      <w:rFonts w:ascii="Times New Roman" w:hAnsi="Times New Roman" w:eastAsia="宋体" w:cs="Times New Roman"/>
      <w:sz w:val="16"/>
      <w:szCs w:val="16"/>
    </w:rPr>
  </w:style>
  <w:style w:type="character" w:customStyle="1" w:styleId="321">
    <w:name w:val="称呼 字符1"/>
    <w:semiHidden/>
    <w:qFormat/>
    <w:uiPriority w:val="99"/>
    <w:rPr>
      <w:rFonts w:ascii="Times New Roman" w:hAnsi="Times New Roman" w:eastAsia="宋体" w:cs="Times New Roman"/>
      <w:szCs w:val="24"/>
    </w:rPr>
  </w:style>
  <w:style w:type="character" w:customStyle="1" w:styleId="322">
    <w:name w:val="批注框文本 字符1"/>
    <w:semiHidden/>
    <w:qFormat/>
    <w:uiPriority w:val="99"/>
    <w:rPr>
      <w:rFonts w:ascii="Times New Roman" w:hAnsi="Times New Roman" w:eastAsia="宋体" w:cs="Times New Roman"/>
      <w:sz w:val="18"/>
      <w:szCs w:val="18"/>
    </w:rPr>
  </w:style>
  <w:style w:type="character" w:customStyle="1" w:styleId="323">
    <w:name w:val="正文文本缩进 3 字符1"/>
    <w:semiHidden/>
    <w:qFormat/>
    <w:uiPriority w:val="99"/>
    <w:rPr>
      <w:rFonts w:ascii="Times New Roman" w:hAnsi="Times New Roman" w:eastAsia="宋体" w:cs="Times New Roman"/>
      <w:sz w:val="16"/>
      <w:szCs w:val="16"/>
    </w:rPr>
  </w:style>
  <w:style w:type="character" w:customStyle="1" w:styleId="324">
    <w:name w:val="文档结构图 字符1"/>
    <w:semiHidden/>
    <w:qFormat/>
    <w:uiPriority w:val="99"/>
    <w:rPr>
      <w:rFonts w:ascii="Microsoft YaHei UI" w:hAnsi="Times New Roman" w:eastAsia="Microsoft YaHei UI" w:cs="Times New Roman"/>
      <w:sz w:val="18"/>
      <w:szCs w:val="18"/>
    </w:rPr>
  </w:style>
  <w:style w:type="character" w:customStyle="1" w:styleId="325">
    <w:name w:val="日期 字符1"/>
    <w:semiHidden/>
    <w:qFormat/>
    <w:uiPriority w:val="99"/>
    <w:rPr>
      <w:rFonts w:ascii="Times New Roman" w:hAnsi="Times New Roman" w:eastAsia="宋体" w:cs="Times New Roman"/>
      <w:szCs w:val="24"/>
    </w:rPr>
  </w:style>
  <w:style w:type="character" w:customStyle="1" w:styleId="326">
    <w:name w:val="正文文本 字符1"/>
    <w:semiHidden/>
    <w:qFormat/>
    <w:uiPriority w:val="99"/>
    <w:rPr>
      <w:rFonts w:ascii="Times New Roman" w:hAnsi="Times New Roman" w:eastAsia="宋体" w:cs="Times New Roman"/>
      <w:szCs w:val="24"/>
    </w:rPr>
  </w:style>
  <w:style w:type="character" w:customStyle="1" w:styleId="327">
    <w:name w:val="批注文字 字符1"/>
    <w:semiHidden/>
    <w:qFormat/>
    <w:uiPriority w:val="99"/>
    <w:rPr>
      <w:rFonts w:ascii="Times New Roman" w:hAnsi="Times New Roman" w:eastAsia="宋体" w:cs="Times New Roman"/>
      <w:szCs w:val="24"/>
    </w:rPr>
  </w:style>
  <w:style w:type="character" w:customStyle="1" w:styleId="328">
    <w:name w:val="HTML 预设格式 字符1"/>
    <w:semiHidden/>
    <w:qFormat/>
    <w:uiPriority w:val="99"/>
    <w:rPr>
      <w:rFonts w:ascii="Courier New" w:hAnsi="Courier New" w:eastAsia="宋体" w:cs="Courier New"/>
      <w:sz w:val="20"/>
      <w:szCs w:val="20"/>
    </w:rPr>
  </w:style>
  <w:style w:type="character" w:customStyle="1" w:styleId="329">
    <w:name w:val="正文首行缩进 Char"/>
    <w:link w:val="45"/>
    <w:qFormat/>
    <w:uiPriority w:val="0"/>
    <w:rPr>
      <w:rFonts w:ascii="Times New Roman" w:hAnsi="Times New Roman" w:eastAsia="宋体" w:cs="Times New Roman"/>
      <w:szCs w:val="24"/>
    </w:rPr>
  </w:style>
  <w:style w:type="character" w:customStyle="1" w:styleId="330">
    <w:name w:val="正文文本 2 字符1"/>
    <w:semiHidden/>
    <w:qFormat/>
    <w:uiPriority w:val="99"/>
    <w:rPr>
      <w:rFonts w:ascii="Times New Roman" w:hAnsi="Times New Roman" w:eastAsia="宋体" w:cs="Times New Roman"/>
      <w:szCs w:val="24"/>
    </w:rPr>
  </w:style>
  <w:style w:type="character" w:customStyle="1" w:styleId="331">
    <w:name w:val="副标题 字符1"/>
    <w:qFormat/>
    <w:uiPriority w:val="11"/>
    <w:rPr>
      <w:b/>
      <w:bCs/>
      <w:kern w:val="28"/>
      <w:sz w:val="32"/>
      <w:szCs w:val="32"/>
    </w:rPr>
  </w:style>
  <w:style w:type="character" w:customStyle="1" w:styleId="332">
    <w:name w:val="批注主题 字符1"/>
    <w:semiHidden/>
    <w:qFormat/>
    <w:uiPriority w:val="99"/>
    <w:rPr>
      <w:rFonts w:ascii="Times New Roman" w:hAnsi="Times New Roman" w:eastAsia="宋体" w:cs="Times New Roman"/>
      <w:b/>
      <w:bCs/>
      <w:szCs w:val="24"/>
    </w:rPr>
  </w:style>
  <w:style w:type="character" w:customStyle="1" w:styleId="333">
    <w:name w:val="标题 字符1"/>
    <w:qFormat/>
    <w:uiPriority w:val="10"/>
    <w:rPr>
      <w:rFonts w:ascii="等线 Light" w:hAnsi="等线 Light" w:eastAsia="等线 Light" w:cs="黑体"/>
      <w:b/>
      <w:bCs/>
      <w:sz w:val="32"/>
      <w:szCs w:val="32"/>
    </w:rPr>
  </w:style>
  <w:style w:type="character" w:customStyle="1" w:styleId="334">
    <w:name w:val="纯文本 字符1"/>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link w:val="177"/>
    <w:qFormat/>
    <w:uiPriority w:val="0"/>
    <w:rPr>
      <w:rFonts w:ascii="Arial" w:hAnsi="Arial" w:cs="宋体"/>
      <w:b/>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semiHidden/>
    <w:qFormat/>
    <w:uiPriority w:val="99"/>
    <w:rPr>
      <w:kern w:val="2"/>
      <w:sz w:val="18"/>
      <w:szCs w:val="18"/>
    </w:rPr>
  </w:style>
  <w:style w:type="character" w:customStyle="1" w:styleId="356">
    <w:name w:val="页眉 字符1"/>
    <w:semiHidden/>
    <w:qFormat/>
    <w:uiPriority w:val="99"/>
    <w:rPr>
      <w:kern w:val="2"/>
      <w:sz w:val="18"/>
      <w:szCs w:val="18"/>
    </w:rPr>
  </w:style>
  <w:style w:type="paragraph" w:customStyle="1" w:styleId="357">
    <w:name w:val="TOC 标题3"/>
    <w:basedOn w:val="3"/>
    <w:next w:val="1"/>
    <w:qFormat/>
    <w:uiPriority w:val="39"/>
    <w:pPr>
      <w:keepLines/>
      <w:widowControl/>
      <w:spacing w:before="240" w:line="259" w:lineRule="auto"/>
      <w:jc w:val="left"/>
      <w:outlineLvl w:val="9"/>
    </w:pPr>
    <w:rPr>
      <w:rFonts w:ascii="等线 Light" w:hAnsi="等线 Light" w:eastAsia="等线 Light"/>
      <w:b w:val="0"/>
      <w:bCs w:val="0"/>
      <w:color w:val="2F5496"/>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7"/>
    <customShpInfo spid="_x0000_s2053"/>
    <customShpInfo spid="_x0000_s2052"/>
    <customShpInfo spid="_x0000_s2056"/>
    <customShpInfo spid="_x0000_s2054"/>
    <customShpInfo spid="_x0000_s2072"/>
    <customShpInfo spid="_x0000_s2064"/>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59</Pages>
  <Words>5301</Words>
  <Characters>30219</Characters>
  <Lines>251</Lines>
  <Paragraphs>70</Paragraphs>
  <TotalTime>0</TotalTime>
  <ScaleCrop>false</ScaleCrop>
  <LinksUpToDate>false</LinksUpToDate>
  <CharactersWithSpaces>35450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shenbenqian</cp:lastModifiedBy>
  <cp:lastPrinted>2019-07-25T06:26:00Z</cp:lastPrinted>
  <dcterms:modified xsi:type="dcterms:W3CDTF">2019-11-20T06:53:09Z</dcterms:modified>
  <dc:title>长沙市轨道交通运营有限公司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