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cs="宋体"/>
          <w:b/>
          <w:sz w:val="52"/>
          <w:szCs w:val="52"/>
        </w:rPr>
      </w:pPr>
    </w:p>
    <w:p>
      <w:pPr>
        <w:pStyle w:val="25"/>
        <w:jc w:val="center"/>
        <w:rPr>
          <w:rFonts w:hAnsi="宋体" w:cs="宋体"/>
          <w:b/>
          <w:bCs/>
          <w:sz w:val="52"/>
          <w:szCs w:val="52"/>
        </w:rPr>
      </w:pPr>
      <w:r>
        <w:rPr>
          <w:rFonts w:hint="eastAsia" w:hAnsi="宋体" w:cs="宋体"/>
          <w:b/>
          <w:sz w:val="52"/>
          <w:szCs w:val="52"/>
        </w:rPr>
        <w:t>长沙市轨道交通运营有限公司</w:t>
      </w:r>
    </w:p>
    <w:p>
      <w:pPr>
        <w:pStyle w:val="25"/>
        <w:adjustRightInd w:val="0"/>
        <w:snapToGrid w:val="0"/>
        <w:spacing w:line="360" w:lineRule="auto"/>
        <w:jc w:val="center"/>
        <w:rPr>
          <w:rFonts w:hAnsi="宋体" w:cs="宋体"/>
          <w:b/>
          <w:sz w:val="52"/>
          <w:szCs w:val="52"/>
        </w:rPr>
      </w:pPr>
      <w:r>
        <w:rPr>
          <w:rFonts w:hint="eastAsia" w:hAnsi="宋体" w:cs="宋体"/>
          <w:b/>
          <w:sz w:val="52"/>
          <w:szCs w:val="52"/>
        </w:rPr>
        <w:t>自主竞争性谈判文件</w:t>
      </w:r>
    </w:p>
    <w:p>
      <w:pPr>
        <w:pStyle w:val="25"/>
        <w:adjustRightInd w:val="0"/>
        <w:snapToGrid w:val="0"/>
        <w:spacing w:before="161" w:beforeLines="50" w:line="360" w:lineRule="auto"/>
        <w:rPr>
          <w:rFonts w:hAnsi="宋体" w:cs="宋体"/>
          <w:b/>
          <w:sz w:val="32"/>
          <w:szCs w:val="32"/>
        </w:rPr>
      </w:pPr>
    </w:p>
    <w:p>
      <w:pPr>
        <w:pStyle w:val="25"/>
        <w:adjustRightInd w:val="0"/>
        <w:snapToGrid w:val="0"/>
        <w:spacing w:line="360" w:lineRule="auto"/>
        <w:rPr>
          <w:rFonts w:hAnsi="宋体" w:cs="宋体"/>
          <w:sz w:val="32"/>
          <w:szCs w:val="32"/>
        </w:rPr>
      </w:pPr>
    </w:p>
    <w:p>
      <w:pPr>
        <w:spacing w:line="480" w:lineRule="auto"/>
        <w:ind w:left="2249" w:hanging="2249" w:hangingChars="700"/>
        <w:jc w:val="left"/>
        <w:rPr>
          <w:rFonts w:hint="default" w:ascii="宋体" w:hAnsi="宋体" w:eastAsia="宋体" w:cs="宋体"/>
          <w:b/>
          <w:sz w:val="32"/>
          <w:szCs w:val="21"/>
          <w:lang w:val="en-US" w:eastAsia="zh-CN"/>
        </w:rPr>
      </w:pPr>
      <w:r>
        <w:rPr>
          <w:rFonts w:hint="eastAsia" w:ascii="宋体" w:hAnsi="宋体" w:cs="宋体"/>
          <w:b/>
          <w:sz w:val="32"/>
          <w:szCs w:val="21"/>
        </w:rPr>
        <w:t>谈判项目名称：</w:t>
      </w:r>
      <w:r>
        <w:rPr>
          <w:rFonts w:hint="eastAsia" w:ascii="宋体" w:hAnsi="宋体" w:cs="宋体"/>
          <w:b/>
          <w:sz w:val="32"/>
          <w:szCs w:val="21"/>
          <w:u w:val="single"/>
        </w:rPr>
        <w:t>长沙市轨道交通运营期4号线2019年度模拟驾驶器采购项目</w:t>
      </w:r>
      <w:r>
        <w:rPr>
          <w:rFonts w:hint="eastAsia" w:ascii="宋体" w:hAnsi="宋体" w:cs="宋体"/>
          <w:b/>
          <w:sz w:val="32"/>
          <w:szCs w:val="21"/>
          <w:u w:val="single"/>
          <w:lang w:val="en-US" w:eastAsia="zh-CN"/>
        </w:rPr>
        <w:t>(第二次)</w:t>
      </w:r>
    </w:p>
    <w:p>
      <w:pPr>
        <w:pStyle w:val="45"/>
        <w:ind w:firstLine="0" w:firstLineChars="0"/>
        <w:rPr>
          <w:rFonts w:ascii="宋体" w:hAnsi="宋体" w:cs="宋体"/>
        </w:rPr>
      </w:pPr>
    </w:p>
    <w:p>
      <w:pPr>
        <w:spacing w:line="480" w:lineRule="auto"/>
        <w:jc w:val="left"/>
        <w:rPr>
          <w:rFonts w:ascii="宋体" w:hAnsi="宋体" w:cs="宋体"/>
          <w:b/>
          <w:sz w:val="32"/>
          <w:szCs w:val="21"/>
        </w:rPr>
      </w:pPr>
      <w:r>
        <w:rPr>
          <w:rFonts w:hint="eastAsia" w:ascii="宋体" w:hAnsi="宋体" w:cs="宋体"/>
          <w:b/>
          <w:sz w:val="32"/>
          <w:szCs w:val="21"/>
        </w:rPr>
        <w:t>采购单位名称：</w:t>
      </w:r>
      <w:r>
        <w:rPr>
          <w:rFonts w:hint="eastAsia" w:ascii="宋体" w:hAnsi="宋体" w:cs="宋体"/>
          <w:b/>
          <w:sz w:val="32"/>
          <w:szCs w:val="21"/>
          <w:u w:val="single"/>
        </w:rPr>
        <w:t>长沙市轨道交通四号线建设发展有限公司</w:t>
      </w:r>
    </w:p>
    <w:p>
      <w:pPr>
        <w:pStyle w:val="45"/>
        <w:ind w:firstLine="0" w:firstLineChars="0"/>
        <w:rPr>
          <w:rFonts w:ascii="宋体" w:hAnsi="宋体" w:cs="宋体"/>
        </w:rPr>
      </w:pPr>
    </w:p>
    <w:p>
      <w:pPr>
        <w:spacing w:line="480" w:lineRule="auto"/>
        <w:jc w:val="left"/>
        <w:rPr>
          <w:rFonts w:ascii="宋体" w:hAnsi="宋体" w:cs="宋体"/>
          <w:b/>
          <w:sz w:val="32"/>
          <w:szCs w:val="21"/>
        </w:rPr>
      </w:pPr>
      <w:r>
        <w:rPr>
          <w:rFonts w:hint="eastAsia" w:ascii="宋体" w:hAnsi="宋体" w:cs="宋体"/>
          <w:b/>
          <w:sz w:val="32"/>
          <w:szCs w:val="21"/>
        </w:rPr>
        <w:t>谈判项目编号：</w:t>
      </w:r>
      <w:r>
        <w:rPr>
          <w:rFonts w:hint="eastAsia" w:ascii="宋体" w:hAnsi="宋体" w:cs="宋体"/>
          <w:b/>
          <w:sz w:val="32"/>
          <w:szCs w:val="21"/>
          <w:u w:val="single"/>
        </w:rPr>
        <w:t>长轨运物采【2019】31号</w:t>
      </w:r>
    </w:p>
    <w:p>
      <w:pPr>
        <w:pStyle w:val="25"/>
        <w:adjustRightInd w:val="0"/>
        <w:snapToGrid w:val="0"/>
        <w:spacing w:line="360" w:lineRule="auto"/>
        <w:rPr>
          <w:rFonts w:hAnsi="宋体" w:cs="宋体"/>
          <w:b/>
          <w:sz w:val="32"/>
        </w:rPr>
      </w:pPr>
    </w:p>
    <w:p>
      <w:pPr>
        <w:pStyle w:val="25"/>
        <w:adjustRightInd w:val="0"/>
        <w:snapToGrid w:val="0"/>
        <w:spacing w:line="360" w:lineRule="auto"/>
        <w:rPr>
          <w:rFonts w:hAnsi="宋体" w:cs="宋体"/>
          <w:b/>
          <w:sz w:val="32"/>
        </w:rPr>
      </w:pPr>
    </w:p>
    <w:p>
      <w:pPr>
        <w:pStyle w:val="25"/>
        <w:adjustRightInd w:val="0"/>
        <w:snapToGrid w:val="0"/>
        <w:spacing w:line="360" w:lineRule="auto"/>
        <w:rPr>
          <w:rFonts w:hAnsi="宋体" w:cs="宋体"/>
          <w:b/>
          <w:sz w:val="32"/>
        </w:rPr>
      </w:pPr>
    </w:p>
    <w:p>
      <w:pPr>
        <w:pStyle w:val="25"/>
        <w:adjustRightInd w:val="0"/>
        <w:snapToGrid w:val="0"/>
        <w:spacing w:line="360" w:lineRule="auto"/>
        <w:rPr>
          <w:rFonts w:hAnsi="宋体" w:cs="宋体"/>
          <w:b/>
          <w:sz w:val="32"/>
        </w:rPr>
      </w:pPr>
    </w:p>
    <w:p>
      <w:pPr>
        <w:pStyle w:val="25"/>
        <w:adjustRightInd w:val="0"/>
        <w:snapToGrid w:val="0"/>
        <w:spacing w:line="360" w:lineRule="auto"/>
        <w:jc w:val="center"/>
        <w:rPr>
          <w:rFonts w:hAnsi="宋体" w:cs="宋体"/>
          <w:b/>
          <w:sz w:val="32"/>
        </w:rPr>
      </w:pPr>
    </w:p>
    <w:p>
      <w:pPr>
        <w:pStyle w:val="25"/>
        <w:adjustRightInd w:val="0"/>
        <w:snapToGrid w:val="0"/>
        <w:spacing w:line="360" w:lineRule="auto"/>
        <w:jc w:val="center"/>
        <w:rPr>
          <w:rFonts w:hAnsi="宋体" w:cs="宋体"/>
          <w:b/>
          <w:sz w:val="32"/>
        </w:rPr>
      </w:pPr>
      <w:r>
        <w:rPr>
          <w:rFonts w:hint="eastAsia" w:hAnsi="宋体" w:cs="宋体"/>
          <w:b/>
          <w:sz w:val="32"/>
          <w:u w:val="single"/>
        </w:rPr>
        <w:t>二〇一九</w:t>
      </w:r>
      <w:r>
        <w:rPr>
          <w:rFonts w:hint="eastAsia" w:hAnsi="宋体" w:cs="宋体"/>
          <w:b/>
          <w:sz w:val="32"/>
        </w:rPr>
        <w:t>年</w:t>
      </w:r>
      <w:r>
        <w:rPr>
          <w:rFonts w:hint="eastAsia" w:hAnsi="宋体" w:cs="宋体"/>
          <w:b/>
          <w:sz w:val="32"/>
          <w:u w:val="single"/>
          <w:lang w:eastAsia="zh-CN"/>
        </w:rPr>
        <w:t>十</w:t>
      </w:r>
      <w:r>
        <w:rPr>
          <w:rFonts w:hint="eastAsia" w:hAnsi="宋体" w:cs="宋体"/>
          <w:b/>
          <w:sz w:val="32"/>
        </w:rPr>
        <w:t>月</w:t>
      </w:r>
    </w:p>
    <w:p>
      <w:pPr>
        <w:pStyle w:val="25"/>
        <w:adjustRightInd w:val="0"/>
        <w:snapToGrid w:val="0"/>
        <w:spacing w:line="360" w:lineRule="auto"/>
        <w:jc w:val="center"/>
        <w:rPr>
          <w:rFonts w:hAnsi="宋体" w:cs="宋体"/>
          <w:b/>
          <w:sz w:val="32"/>
        </w:rPr>
        <w:sectPr>
          <w:pgSz w:w="12240" w:h="15840"/>
          <w:pgMar w:top="1440" w:right="1800" w:bottom="1440" w:left="1800" w:header="720" w:footer="720" w:gutter="0"/>
          <w:pgNumType w:start="1"/>
          <w:cols w:space="720" w:num="1"/>
          <w:titlePg/>
          <w:docGrid w:type="lines" w:linePitch="323" w:charSpace="0"/>
        </w:sectPr>
      </w:pPr>
    </w:p>
    <w:p>
      <w:pPr>
        <w:jc w:val="center"/>
        <w:rPr>
          <w:rFonts w:ascii="宋体" w:hAnsi="宋体" w:cs="宋体"/>
          <w:b/>
          <w:bCs/>
          <w:sz w:val="32"/>
          <w:szCs w:val="32"/>
        </w:rPr>
      </w:pPr>
      <w:r>
        <w:rPr>
          <w:rFonts w:hint="eastAsia" w:ascii="宋体" w:hAnsi="宋体" w:cs="宋体"/>
          <w:b/>
          <w:bCs/>
          <w:sz w:val="32"/>
          <w:szCs w:val="32"/>
        </w:rPr>
        <w:t>目   录</w:t>
      </w:r>
    </w:p>
    <w:p>
      <w:pPr>
        <w:pStyle w:val="32"/>
        <w:tabs>
          <w:tab w:val="right" w:leader="dot" w:pos="9306"/>
        </w:tabs>
        <w:spacing w:line="360" w:lineRule="auto"/>
        <w:ind w:firstLine="420" w:firstLineChars="200"/>
        <w:rPr>
          <w:rFonts w:ascii="宋体" w:hAnsi="宋体" w:cs="宋体"/>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"_Toc10771" </w:instrText>
      </w:r>
      <w:r>
        <w:fldChar w:fldCharType="separate"/>
      </w:r>
      <w:r>
        <w:rPr>
          <w:rFonts w:hint="eastAsia" w:ascii="宋体" w:hAnsi="宋体" w:cs="宋体"/>
          <w:kern w:val="0"/>
          <w:szCs w:val="32"/>
        </w:rPr>
        <w:t>第一章  谈判邀请公告</w:t>
      </w:r>
      <w:r>
        <w:rPr>
          <w:rFonts w:hint="eastAsia" w:ascii="宋体" w:hAnsi="宋体" w:cs="宋体"/>
        </w:rPr>
        <w:tab/>
      </w:r>
      <w:r>
        <w:rPr>
          <w:rFonts w:hint="eastAsia" w:ascii="宋体" w:hAnsi="宋体" w:cs="宋体"/>
        </w:rPr>
        <w:t>1</w:t>
      </w:r>
      <w:r>
        <w:rPr>
          <w:rFonts w:hint="eastAsia" w:ascii="宋体" w:hAnsi="宋体" w:cs="宋体"/>
        </w:rPr>
        <w:fldChar w:fldCharType="end"/>
      </w:r>
    </w:p>
    <w:p>
      <w:pPr>
        <w:pStyle w:val="32"/>
        <w:tabs>
          <w:tab w:val="right" w:leader="dot" w:pos="9306"/>
        </w:tabs>
        <w:spacing w:line="360" w:lineRule="auto"/>
        <w:ind w:firstLine="420" w:firstLineChars="200"/>
        <w:rPr>
          <w:rFonts w:ascii="宋体" w:hAnsi="宋体" w:cs="宋体"/>
        </w:rPr>
      </w:pPr>
      <w:r>
        <w:fldChar w:fldCharType="begin"/>
      </w:r>
      <w:r>
        <w:instrText xml:space="preserve"> HYPERLINK \l "_Toc24224" </w:instrText>
      </w:r>
      <w:r>
        <w:fldChar w:fldCharType="separate"/>
      </w:r>
      <w:r>
        <w:rPr>
          <w:rFonts w:hint="eastAsia" w:ascii="宋体" w:hAnsi="宋体" w:cs="宋体"/>
          <w:szCs w:val="32"/>
        </w:rPr>
        <w:t>第二章  谈判须知</w:t>
      </w:r>
      <w:r>
        <w:rPr>
          <w:rFonts w:hint="eastAsia" w:ascii="宋体" w:hAnsi="宋体" w:cs="宋体"/>
        </w:rPr>
        <w:tab/>
      </w:r>
      <w:r>
        <w:rPr>
          <w:rFonts w:hint="eastAsia" w:ascii="宋体" w:hAnsi="宋体" w:cs="宋体"/>
        </w:rPr>
        <w:t>4</w:t>
      </w:r>
      <w:r>
        <w:rPr>
          <w:rFonts w:hint="eastAsia" w:ascii="宋体" w:hAnsi="宋体" w:cs="宋体"/>
        </w:rPr>
        <w:fldChar w:fldCharType="end"/>
      </w:r>
    </w:p>
    <w:p>
      <w:pPr>
        <w:pStyle w:val="37"/>
        <w:tabs>
          <w:tab w:val="right" w:leader="dot" w:pos="9306"/>
        </w:tabs>
        <w:spacing w:line="360" w:lineRule="auto"/>
        <w:ind w:firstLine="420" w:firstLineChars="200"/>
        <w:rPr>
          <w:rFonts w:ascii="宋体" w:hAnsi="宋体" w:cs="宋体"/>
        </w:rPr>
      </w:pPr>
      <w:r>
        <w:fldChar w:fldCharType="begin"/>
      </w:r>
      <w:r>
        <w:instrText xml:space="preserve"> HYPERLINK \l "_Toc19533" </w:instrText>
      </w:r>
      <w:r>
        <w:fldChar w:fldCharType="separate"/>
      </w:r>
      <w:r>
        <w:rPr>
          <w:rFonts w:hint="eastAsia" w:ascii="宋体" w:hAnsi="宋体" w:cs="宋体"/>
        </w:rPr>
        <w:t>谈判须知前附表</w:t>
      </w:r>
      <w:r>
        <w:rPr>
          <w:rFonts w:hint="eastAsia" w:ascii="宋体" w:hAnsi="宋体" w:cs="宋体"/>
        </w:rPr>
        <w:tab/>
      </w:r>
      <w:r>
        <w:rPr>
          <w:rFonts w:hint="eastAsia" w:ascii="宋体" w:hAnsi="宋体" w:cs="宋体"/>
        </w:rPr>
        <w:t>5</w:t>
      </w:r>
      <w:r>
        <w:rPr>
          <w:rFonts w:hint="eastAsia" w:ascii="宋体" w:hAnsi="宋体" w:cs="宋体"/>
        </w:rPr>
        <w:fldChar w:fldCharType="end"/>
      </w:r>
    </w:p>
    <w:p>
      <w:pPr>
        <w:pStyle w:val="37"/>
        <w:tabs>
          <w:tab w:val="right" w:leader="dot" w:pos="9306"/>
        </w:tabs>
        <w:spacing w:line="360" w:lineRule="auto"/>
        <w:ind w:firstLine="420" w:firstLineChars="200"/>
        <w:rPr>
          <w:rFonts w:ascii="宋体" w:hAnsi="宋体" w:cs="宋体"/>
        </w:rPr>
      </w:pPr>
      <w:r>
        <w:fldChar w:fldCharType="begin"/>
      </w:r>
      <w:r>
        <w:instrText xml:space="preserve"> HYPERLINK \l "_Toc3259" </w:instrText>
      </w:r>
      <w:r>
        <w:fldChar w:fldCharType="separate"/>
      </w:r>
      <w:r>
        <w:rPr>
          <w:rFonts w:hint="eastAsia" w:ascii="宋体" w:hAnsi="宋体" w:cs="宋体"/>
          <w:szCs w:val="30"/>
        </w:rPr>
        <w:t>谈判须知正文</w:t>
      </w:r>
      <w:r>
        <w:rPr>
          <w:rFonts w:hint="eastAsia" w:ascii="宋体" w:hAnsi="宋体" w:cs="宋体"/>
        </w:rPr>
        <w:tab/>
      </w:r>
      <w:r>
        <w:rPr>
          <w:rFonts w:hint="eastAsia" w:ascii="宋体" w:hAnsi="宋体" w:cs="宋体"/>
        </w:rPr>
        <w:t>7</w:t>
      </w:r>
      <w:r>
        <w:rPr>
          <w:rFonts w:hint="eastAsia" w:ascii="宋体" w:hAnsi="宋体" w:cs="宋体"/>
        </w:rPr>
        <w:fldChar w:fldCharType="end"/>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"_Toc27846" </w:instrText>
      </w:r>
      <w:r>
        <w:fldChar w:fldCharType="separate"/>
      </w:r>
      <w:r>
        <w:rPr>
          <w:rFonts w:hint="eastAsia" w:ascii="宋体" w:hAnsi="宋体" w:cs="宋体"/>
        </w:rPr>
        <w:t>一、说明</w:t>
      </w:r>
      <w:r>
        <w:rPr>
          <w:rFonts w:hint="eastAsia" w:ascii="宋体" w:hAnsi="宋体" w:cs="宋体"/>
        </w:rPr>
        <w:tab/>
      </w:r>
      <w:r>
        <w:rPr>
          <w:rFonts w:hint="eastAsia" w:ascii="宋体" w:hAnsi="宋体" w:cs="宋体"/>
        </w:rPr>
        <w:t>7</w:t>
      </w:r>
      <w:r>
        <w:rPr>
          <w:rFonts w:hint="eastAsia" w:ascii="宋体" w:hAnsi="宋体" w:cs="宋体"/>
        </w:rPr>
        <w:fldChar w:fldCharType="end"/>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"_Toc28566" </w:instrText>
      </w:r>
      <w:r>
        <w:fldChar w:fldCharType="separate"/>
      </w:r>
      <w:r>
        <w:rPr>
          <w:rFonts w:hint="eastAsia" w:ascii="宋体" w:hAnsi="宋体" w:cs="宋体"/>
        </w:rPr>
        <w:t>二、谈判文件</w:t>
      </w:r>
      <w:r>
        <w:rPr>
          <w:rFonts w:hint="eastAsia" w:ascii="宋体" w:hAnsi="宋体" w:cs="宋体"/>
        </w:rPr>
        <w:tab/>
      </w:r>
      <w:r>
        <w:rPr>
          <w:rFonts w:hint="eastAsia" w:ascii="宋体" w:hAnsi="宋体" w:cs="宋体"/>
        </w:rPr>
        <w:t>8</w:t>
      </w:r>
      <w:r>
        <w:rPr>
          <w:rFonts w:hint="eastAsia" w:ascii="宋体" w:hAnsi="宋体" w:cs="宋体"/>
        </w:rPr>
        <w:fldChar w:fldCharType="end"/>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"_Toc10627" </w:instrText>
      </w:r>
      <w:r>
        <w:fldChar w:fldCharType="separate"/>
      </w:r>
      <w:r>
        <w:rPr>
          <w:rFonts w:hint="eastAsia" w:ascii="宋体" w:hAnsi="宋体" w:cs="宋体"/>
        </w:rPr>
        <w:t>三、响应文件</w:t>
      </w:r>
      <w:r>
        <w:rPr>
          <w:rFonts w:hint="eastAsia" w:ascii="宋体" w:hAnsi="宋体" w:cs="宋体"/>
        </w:rPr>
        <w:tab/>
      </w:r>
      <w:r>
        <w:rPr>
          <w:rFonts w:hint="eastAsia" w:ascii="宋体" w:hAnsi="宋体" w:cs="宋体"/>
        </w:rPr>
        <w:t>8</w:t>
      </w:r>
      <w:r>
        <w:rPr>
          <w:rFonts w:hint="eastAsia" w:ascii="宋体" w:hAnsi="宋体" w:cs="宋体"/>
        </w:rPr>
        <w:fldChar w:fldCharType="end"/>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"_Toc29460" </w:instrText>
      </w:r>
      <w:r>
        <w:fldChar w:fldCharType="separate"/>
      </w:r>
      <w:r>
        <w:rPr>
          <w:rFonts w:hint="eastAsia" w:ascii="宋体" w:hAnsi="宋体" w:cs="宋体"/>
        </w:rPr>
        <w:t>四、响应文件的递交</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0</w:t>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"_Toc13572" </w:instrText>
      </w:r>
      <w:r>
        <w:fldChar w:fldCharType="separate"/>
      </w:r>
      <w:r>
        <w:rPr>
          <w:rFonts w:hint="eastAsia" w:ascii="宋体" w:hAnsi="宋体" w:cs="宋体"/>
        </w:rPr>
        <w:t>五、响应文件的评审</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1</w:t>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"_Toc17723" </w:instrText>
      </w:r>
      <w:r>
        <w:fldChar w:fldCharType="separate"/>
      </w:r>
      <w:r>
        <w:rPr>
          <w:rFonts w:hint="eastAsia" w:ascii="宋体" w:hAnsi="宋体" w:cs="宋体"/>
        </w:rPr>
        <w:t>六、响应文件的澄清、说明及补正</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1</w:t>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"_Toc15543" </w:instrText>
      </w:r>
      <w:r>
        <w:fldChar w:fldCharType="separate"/>
      </w:r>
      <w:r>
        <w:rPr>
          <w:rFonts w:hint="eastAsia" w:ascii="宋体" w:hAnsi="宋体" w:cs="宋体"/>
        </w:rPr>
        <w:t>七、中选结果与授予合同</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1</w:t>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"_Toc8013" </w:instrText>
      </w:r>
      <w:r>
        <w:fldChar w:fldCharType="separate"/>
      </w:r>
      <w:r>
        <w:rPr>
          <w:rFonts w:hint="eastAsia" w:ascii="宋体" w:hAnsi="宋体" w:cs="宋体"/>
        </w:rPr>
        <w:t>八、其他</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2</w:t>
      </w:r>
    </w:p>
    <w:p>
      <w:pPr>
        <w:pStyle w:val="32"/>
        <w:tabs>
          <w:tab w:val="right" w:leader="dot" w:pos="9306"/>
        </w:tabs>
        <w:spacing w:line="360" w:lineRule="auto"/>
        <w:ind w:firstLine="420" w:firstLineChars="200"/>
        <w:rPr>
          <w:rFonts w:ascii="宋体" w:hAnsi="宋体" w:cs="宋体"/>
        </w:rPr>
      </w:pPr>
      <w:r>
        <w:fldChar w:fldCharType="begin"/>
      </w:r>
      <w:r>
        <w:instrText xml:space="preserve"> HYPERLINK \l "_Toc6171" </w:instrText>
      </w:r>
      <w:r>
        <w:fldChar w:fldCharType="separate"/>
      </w:r>
      <w:r>
        <w:rPr>
          <w:rFonts w:hint="eastAsia" w:ascii="宋体" w:hAnsi="宋体" w:cs="宋体"/>
          <w:szCs w:val="32"/>
        </w:rPr>
        <w:t>第三章  评审办法及标准</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4</w:t>
      </w:r>
    </w:p>
    <w:p>
      <w:pPr>
        <w:pStyle w:val="32"/>
        <w:tabs>
          <w:tab w:val="right" w:leader="dot" w:pos="9306"/>
        </w:tabs>
        <w:spacing w:line="360" w:lineRule="auto"/>
        <w:ind w:firstLine="420" w:firstLineChars="200"/>
        <w:rPr>
          <w:rFonts w:ascii="宋体" w:hAnsi="宋体" w:cs="宋体"/>
        </w:rPr>
      </w:pPr>
      <w:r>
        <w:fldChar w:fldCharType="begin"/>
      </w:r>
      <w:r>
        <w:instrText xml:space="preserve"> HYPERLINK \l "_Toc23959" </w:instrText>
      </w:r>
      <w:r>
        <w:fldChar w:fldCharType="separate"/>
      </w:r>
      <w:r>
        <w:rPr>
          <w:rFonts w:hint="eastAsia" w:ascii="宋体" w:hAnsi="宋体" w:cs="宋体"/>
          <w:szCs w:val="32"/>
        </w:rPr>
        <w:t>第四章  用户需求书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_Toc23959 </w:instrText>
      </w:r>
      <w:r>
        <w:rPr>
          <w:rFonts w:hint="eastAsia" w:ascii="宋体" w:hAnsi="宋体" w:cs="宋体"/>
        </w:rPr>
        <w:fldChar w:fldCharType="separate"/>
      </w:r>
      <w:r>
        <w:rPr>
          <w:rFonts w:ascii="宋体" w:hAnsi="宋体" w:cs="宋体"/>
        </w:rPr>
        <w:t>16</w:t>
      </w:r>
      <w:r>
        <w:rPr>
          <w:rFonts w:hint="eastAsia" w:ascii="宋体" w:hAnsi="宋体" w:cs="宋体"/>
        </w:rPr>
        <w:fldChar w:fldCharType="end"/>
      </w:r>
      <w:r>
        <w:rPr>
          <w:rFonts w:hint="eastAsia" w:ascii="宋体" w:hAnsi="宋体" w:cs="宋体"/>
        </w:rPr>
        <w:fldChar w:fldCharType="end"/>
      </w:r>
    </w:p>
    <w:p>
      <w:pPr>
        <w:pStyle w:val="32"/>
        <w:tabs>
          <w:tab w:val="right" w:leader="dot" w:pos="9306"/>
        </w:tabs>
        <w:spacing w:line="360" w:lineRule="auto"/>
        <w:ind w:firstLine="420" w:firstLineChars="200"/>
        <w:rPr>
          <w:rFonts w:ascii="宋体" w:hAnsi="宋体" w:cs="宋体"/>
        </w:rPr>
      </w:pPr>
      <w:r>
        <w:fldChar w:fldCharType="begin"/>
      </w:r>
      <w:r>
        <w:instrText xml:space="preserve"> HYPERLINK \l "_Toc9727" </w:instrText>
      </w:r>
      <w:r>
        <w:fldChar w:fldCharType="separate"/>
      </w:r>
      <w:r>
        <w:rPr>
          <w:rFonts w:hint="eastAsia" w:ascii="宋体" w:hAnsi="宋体" w:cs="宋体"/>
          <w:szCs w:val="32"/>
        </w:rPr>
        <w:t>第五章  合同格式条款</w:t>
      </w:r>
      <w:r>
        <w:rPr>
          <w:rFonts w:hint="eastAsia" w:ascii="宋体" w:hAnsi="宋体" w:cs="宋体"/>
        </w:rPr>
        <w:tab/>
      </w:r>
      <w:r>
        <w:rPr>
          <w:rFonts w:hint="eastAsia" w:ascii="宋体" w:hAnsi="宋体" w:cs="宋体"/>
        </w:rPr>
        <w:t>2</w:t>
      </w:r>
      <w:r>
        <w:rPr>
          <w:rFonts w:hint="eastAsia" w:ascii="宋体" w:hAnsi="宋体" w:cs="宋体"/>
        </w:rPr>
        <w:fldChar w:fldCharType="end"/>
      </w:r>
      <w:r>
        <w:rPr>
          <w:rFonts w:hint="eastAsia" w:ascii="宋体" w:hAnsi="宋体" w:cs="宋体"/>
          <w:bCs/>
        </w:rPr>
        <w:t>6</w:t>
      </w:r>
    </w:p>
    <w:p>
      <w:pPr>
        <w:pStyle w:val="32"/>
        <w:tabs>
          <w:tab w:val="right" w:leader="dot" w:pos="9306"/>
        </w:tabs>
        <w:spacing w:line="360" w:lineRule="auto"/>
        <w:ind w:firstLine="420" w:firstLineChars="200"/>
        <w:rPr>
          <w:rFonts w:ascii="宋体" w:hAnsi="宋体" w:cs="宋体"/>
          <w:bCs/>
        </w:rPr>
      </w:pPr>
      <w:r>
        <w:fldChar w:fldCharType="begin"/>
      </w:r>
      <w:r>
        <w:instrText xml:space="preserve"> HYPERLINK \l "_Toc7480" </w:instrText>
      </w:r>
      <w:r>
        <w:fldChar w:fldCharType="separate"/>
      </w:r>
      <w:r>
        <w:rPr>
          <w:rFonts w:hint="eastAsia" w:ascii="宋体" w:hAnsi="宋体" w:cs="宋体"/>
          <w:szCs w:val="32"/>
        </w:rPr>
        <w:t>第六章  响应文件组成</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bCs/>
        </w:rPr>
        <w:t>5</w:t>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"_Toc8013" </w:instrText>
      </w:r>
      <w:r>
        <w:fldChar w:fldCharType="separate"/>
      </w:r>
      <w:r>
        <w:rPr>
          <w:rFonts w:hint="eastAsia" w:ascii="宋体" w:hAnsi="宋体" w:cs="宋体"/>
        </w:rPr>
        <w:t>一、谈判承诺书</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bCs/>
        </w:rPr>
        <w:t>7</w:t>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"_Toc8013" </w:instrText>
      </w:r>
      <w:r>
        <w:fldChar w:fldCharType="separate"/>
      </w:r>
      <w:r>
        <w:rPr>
          <w:rFonts w:hint="eastAsia" w:ascii="宋体" w:hAnsi="宋体" w:cs="宋体"/>
          <w:bCs/>
          <w:lang w:val="zh-CN"/>
        </w:rPr>
        <w:t>二</w:t>
      </w:r>
      <w:r>
        <w:rPr>
          <w:rFonts w:hint="eastAsia" w:ascii="宋体" w:hAnsi="宋体" w:cs="宋体"/>
        </w:rPr>
        <w:t>、法定代表人身份证明书</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bCs/>
        </w:rPr>
        <w:t>8</w:t>
      </w:r>
    </w:p>
    <w:p>
      <w:pPr>
        <w:pStyle w:val="24"/>
        <w:tabs>
          <w:tab w:val="right" w:leader="dot" w:pos="9306"/>
        </w:tabs>
        <w:spacing w:line="360" w:lineRule="auto"/>
        <w:ind w:left="0" w:leftChars="0" w:firstLine="840" w:firstLineChars="400"/>
        <w:rPr>
          <w:rFonts w:ascii="宋体" w:hAnsi="宋体" w:cs="宋体"/>
        </w:rPr>
      </w:pPr>
      <w:r>
        <w:rPr>
          <w:rFonts w:hint="eastAsia" w:ascii="宋体" w:hAnsi="宋体" w:cs="宋体"/>
          <w:bCs/>
          <w:lang w:val="zh-CN"/>
        </w:rPr>
        <w:fldChar w:fldCharType="end"/>
      </w:r>
      <w:r>
        <w:fldChar w:fldCharType="begin"/>
      </w:r>
      <w:r>
        <w:instrText xml:space="preserve"> HYPERLINK \l "_Toc8013" </w:instrText>
      </w:r>
      <w:r>
        <w:fldChar w:fldCharType="separate"/>
      </w:r>
      <w:r>
        <w:rPr>
          <w:rFonts w:hint="eastAsia" w:ascii="宋体" w:hAnsi="宋体" w:cs="宋体"/>
        </w:rPr>
        <w:t>三、授权委托书</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bCs/>
        </w:rPr>
        <w:t>9</w:t>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"_Toc8013" </w:instrText>
      </w:r>
      <w:r>
        <w:fldChar w:fldCharType="separate"/>
      </w:r>
      <w:r>
        <w:rPr>
          <w:rFonts w:hint="eastAsia" w:ascii="宋体" w:hAnsi="宋体" w:cs="宋体"/>
        </w:rPr>
        <w:t>四、谈判单位资格证明文件</w:t>
      </w:r>
      <w:r>
        <w:rPr>
          <w:rFonts w:hint="eastAsia" w:ascii="宋体" w:hAnsi="宋体" w:cs="宋体"/>
        </w:rPr>
        <w:tab/>
      </w:r>
      <w:r>
        <w:rPr>
          <w:rFonts w:hint="eastAsia" w:ascii="宋体" w:hAnsi="宋体" w:cs="宋体"/>
        </w:rPr>
        <w:t>5</w:t>
      </w:r>
      <w:r>
        <w:rPr>
          <w:rFonts w:hint="eastAsia" w:ascii="宋体" w:hAnsi="宋体" w:cs="宋体"/>
        </w:rPr>
        <w:fldChar w:fldCharType="end"/>
      </w:r>
      <w:r>
        <w:rPr>
          <w:rFonts w:hint="eastAsia" w:ascii="宋体" w:hAnsi="宋体" w:cs="宋体"/>
          <w:bCs/>
        </w:rPr>
        <w:t>0</w:t>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"_Toc8013" </w:instrText>
      </w:r>
      <w:r>
        <w:fldChar w:fldCharType="separate"/>
      </w:r>
      <w:r>
        <w:rPr>
          <w:rFonts w:hint="eastAsia" w:ascii="宋体" w:hAnsi="宋体" w:cs="宋体"/>
          <w:bCs/>
          <w:lang w:val="zh-CN"/>
        </w:rPr>
        <w:t>五</w:t>
      </w:r>
      <w:r>
        <w:rPr>
          <w:rFonts w:hint="eastAsia" w:ascii="宋体" w:hAnsi="宋体" w:cs="宋体"/>
        </w:rPr>
        <w:t>、服务方案（如有）</w:t>
      </w:r>
      <w:r>
        <w:rPr>
          <w:rFonts w:hint="eastAsia" w:ascii="宋体" w:hAnsi="宋体" w:cs="宋体"/>
        </w:rPr>
        <w:tab/>
      </w:r>
      <w:r>
        <w:rPr>
          <w:rFonts w:hint="eastAsia" w:ascii="宋体" w:hAnsi="宋体" w:cs="宋体"/>
        </w:rPr>
        <w:t>5</w:t>
      </w:r>
      <w:r>
        <w:rPr>
          <w:rFonts w:hint="eastAsia" w:ascii="宋体" w:hAnsi="宋体" w:cs="宋体"/>
        </w:rPr>
        <w:fldChar w:fldCharType="end"/>
      </w:r>
      <w:r>
        <w:rPr>
          <w:rFonts w:hint="eastAsia" w:ascii="宋体" w:hAnsi="宋体" w:cs="宋体"/>
          <w:bCs/>
        </w:rPr>
        <w:t>1</w:t>
      </w:r>
    </w:p>
    <w:p>
      <w:pPr>
        <w:pStyle w:val="24"/>
        <w:tabs>
          <w:tab w:val="right" w:leader="dot" w:pos="9306"/>
        </w:tabs>
        <w:spacing w:line="360" w:lineRule="auto"/>
        <w:ind w:left="0" w:leftChars="0" w:firstLine="840" w:firstLineChars="400"/>
        <w:rPr>
          <w:rFonts w:ascii="宋体" w:hAnsi="宋体" w:cs="宋体"/>
        </w:rPr>
      </w:pPr>
      <w:r>
        <w:fldChar w:fldCharType="begin"/>
      </w:r>
      <w:r>
        <w:instrText xml:space="preserve"> HYPERLINK \l "_Toc8013" </w:instrText>
      </w:r>
      <w:r>
        <w:fldChar w:fldCharType="separate"/>
      </w:r>
      <w:r>
        <w:rPr>
          <w:rFonts w:hint="eastAsia" w:ascii="宋体" w:hAnsi="宋体" w:cs="宋体"/>
        </w:rPr>
        <w:t>六、报价一览表</w:t>
      </w:r>
      <w:r>
        <w:rPr>
          <w:rFonts w:hint="eastAsia" w:ascii="宋体" w:hAnsi="宋体" w:cs="宋体"/>
        </w:rPr>
        <w:tab/>
      </w:r>
      <w:r>
        <w:rPr>
          <w:rFonts w:hint="eastAsia" w:ascii="宋体" w:hAnsi="宋体" w:cs="宋体"/>
        </w:rPr>
        <w:t>5</w:t>
      </w:r>
      <w:r>
        <w:rPr>
          <w:rFonts w:hint="eastAsia" w:ascii="宋体" w:hAnsi="宋体" w:cs="宋体"/>
        </w:rPr>
        <w:fldChar w:fldCharType="end"/>
      </w:r>
      <w:r>
        <w:rPr>
          <w:rFonts w:hint="eastAsia" w:ascii="宋体" w:hAnsi="宋体" w:cs="宋体"/>
          <w:bCs/>
        </w:rPr>
        <w:t>2</w:t>
      </w:r>
    </w:p>
    <w:p>
      <w:pPr>
        <w:pStyle w:val="24"/>
        <w:tabs>
          <w:tab w:val="right" w:leader="dot" w:pos="9306"/>
        </w:tabs>
        <w:spacing w:line="360" w:lineRule="auto"/>
        <w:ind w:left="0" w:leftChars="0" w:firstLine="840" w:firstLineChars="400"/>
        <w:rPr>
          <w:rFonts w:ascii="宋体" w:hAnsi="宋体" w:cs="宋体"/>
          <w:bCs/>
        </w:rPr>
      </w:pPr>
      <w:r>
        <w:fldChar w:fldCharType="begin"/>
      </w:r>
      <w:r>
        <w:instrText xml:space="preserve"> HYPERLINK \l "_Toc8013" </w:instrText>
      </w:r>
      <w:r>
        <w:fldChar w:fldCharType="separate"/>
      </w:r>
      <w:r>
        <w:rPr>
          <w:rFonts w:hint="eastAsia" w:ascii="宋体" w:hAnsi="宋体" w:cs="宋体"/>
        </w:rPr>
        <w:t>七、分项价格表</w:t>
      </w:r>
      <w:r>
        <w:rPr>
          <w:rFonts w:hint="eastAsia" w:ascii="宋体" w:hAnsi="宋体" w:cs="宋体"/>
        </w:rPr>
        <w:tab/>
      </w:r>
      <w:r>
        <w:rPr>
          <w:rFonts w:hint="eastAsia" w:ascii="宋体" w:hAnsi="宋体" w:cs="宋体"/>
        </w:rPr>
        <w:t>5</w:t>
      </w:r>
      <w:r>
        <w:rPr>
          <w:rFonts w:hint="eastAsia" w:ascii="宋体" w:hAnsi="宋体" w:cs="宋体"/>
        </w:rPr>
        <w:fldChar w:fldCharType="end"/>
      </w:r>
      <w:r>
        <w:rPr>
          <w:rFonts w:hint="eastAsia" w:ascii="宋体" w:hAnsi="宋体" w:cs="宋体"/>
          <w:bCs/>
        </w:rPr>
        <w:t>3</w:t>
      </w:r>
    </w:p>
    <w:p>
      <w:pPr>
        <w:pStyle w:val="24"/>
        <w:tabs>
          <w:tab w:val="right" w:leader="dot" w:pos="9306"/>
        </w:tabs>
        <w:spacing w:line="360" w:lineRule="auto"/>
        <w:ind w:left="0" w:leftChars="0" w:firstLine="840" w:firstLineChars="400"/>
        <w:rPr>
          <w:rFonts w:ascii="宋体" w:hAnsi="宋体" w:cs="宋体"/>
          <w:bCs/>
        </w:rPr>
      </w:pPr>
      <w:r>
        <w:fldChar w:fldCharType="begin"/>
      </w:r>
      <w:r>
        <w:instrText xml:space="preserve"> HYPERLINK \l "_Toc8013" </w:instrText>
      </w:r>
      <w:r>
        <w:fldChar w:fldCharType="separate"/>
      </w:r>
      <w:r>
        <w:rPr>
          <w:rFonts w:hint="eastAsia" w:ascii="宋体" w:hAnsi="宋体" w:cs="宋体"/>
        </w:rPr>
        <w:t>八、其他资料（如有）</w:t>
      </w:r>
      <w:r>
        <w:rPr>
          <w:rFonts w:hint="eastAsia" w:ascii="宋体" w:hAnsi="宋体" w:cs="宋体"/>
        </w:rPr>
        <w:tab/>
      </w:r>
      <w:r>
        <w:rPr>
          <w:rFonts w:hint="eastAsia" w:ascii="宋体" w:hAnsi="宋体" w:cs="宋体"/>
        </w:rPr>
        <w:t>5</w:t>
      </w:r>
      <w:r>
        <w:rPr>
          <w:rFonts w:hint="eastAsia" w:ascii="宋体" w:hAnsi="宋体" w:cs="宋体"/>
        </w:rPr>
        <w:fldChar w:fldCharType="end"/>
      </w:r>
      <w:r>
        <w:rPr>
          <w:rFonts w:hint="eastAsia" w:ascii="宋体" w:hAnsi="宋体" w:cs="宋体"/>
          <w:bCs/>
        </w:rPr>
        <w:t>7</w:t>
      </w:r>
    </w:p>
    <w:p>
      <w:pPr>
        <w:rPr>
          <w:rFonts w:ascii="宋体" w:hAnsi="宋体" w:cs="宋体"/>
          <w:b/>
          <w:sz w:val="32"/>
          <w:szCs w:val="32"/>
        </w:rPr>
        <w:sectPr>
          <w:footerReference r:id="rId4" w:type="first"/>
          <w:footerReference r:id="rId3" w:type="default"/>
          <w:pgSz w:w="12240" w:h="15840"/>
          <w:pgMar w:top="1440" w:right="1800" w:bottom="1440" w:left="1797" w:header="720" w:footer="720" w:gutter="0"/>
          <w:pgNumType w:start="1"/>
          <w:cols w:space="720" w:num="1"/>
          <w:titlePg/>
          <w:docGrid w:type="lines" w:linePitch="323" w:charSpace="0"/>
        </w:sectPr>
      </w:pPr>
    </w:p>
    <w:p>
      <w:pPr>
        <w:jc w:val="center"/>
        <w:outlineLvl w:val="0"/>
        <w:rPr>
          <w:rFonts w:ascii="宋体" w:hAnsi="宋体" w:cs="宋体"/>
          <w:b/>
          <w:kern w:val="0"/>
          <w:sz w:val="32"/>
          <w:szCs w:val="32"/>
        </w:rPr>
      </w:pPr>
      <w:bookmarkStart w:id="0" w:name="_Toc10771"/>
      <w:r>
        <w:rPr>
          <w:rFonts w:hint="eastAsia" w:ascii="宋体" w:hAnsi="宋体" w:cs="宋体"/>
          <w:b/>
          <w:kern w:val="0"/>
          <w:sz w:val="32"/>
          <w:szCs w:val="32"/>
        </w:rPr>
        <w:t>第一章  谈判邀请公告</w:t>
      </w:r>
      <w:bookmarkEnd w:id="0"/>
    </w:p>
    <w:p>
      <w:pPr>
        <w:pStyle w:val="25"/>
        <w:adjustRightInd w:val="0"/>
        <w:snapToGrid w:val="0"/>
        <w:spacing w:line="360" w:lineRule="auto"/>
        <w:rPr>
          <w:rFonts w:hAnsi="宋体" w:cs="宋体"/>
          <w:iCs/>
          <w:u w:val="single"/>
        </w:rPr>
      </w:pPr>
    </w:p>
    <w:p>
      <w:pPr>
        <w:spacing w:line="360" w:lineRule="auto"/>
        <w:ind w:firstLine="420" w:firstLineChars="200"/>
        <w:jc w:val="left"/>
        <w:rPr>
          <w:rFonts w:ascii="宋体" w:hAnsi="宋体" w:cs="宋体"/>
          <w:iCs/>
          <w:szCs w:val="21"/>
        </w:rPr>
      </w:pPr>
      <w:r>
        <w:rPr>
          <w:rFonts w:hint="eastAsia" w:ascii="宋体" w:hAnsi="宋体" w:cs="宋体"/>
          <w:iCs/>
          <w:szCs w:val="21"/>
          <w:u w:val="single"/>
        </w:rPr>
        <w:t>湖南正源项目管理咨询有限公司</w:t>
      </w:r>
      <w:r>
        <w:rPr>
          <w:rFonts w:hint="eastAsia" w:ascii="宋体" w:hAnsi="宋体" w:cs="宋体"/>
          <w:szCs w:val="21"/>
        </w:rPr>
        <w:t>受</w:t>
      </w:r>
      <w:r>
        <w:rPr>
          <w:rFonts w:hint="eastAsia" w:ascii="宋体" w:hAnsi="宋体" w:cs="宋体"/>
          <w:iCs/>
          <w:szCs w:val="21"/>
          <w:u w:val="single"/>
        </w:rPr>
        <w:t>长沙市轨道交通四号线建设发展有限公司</w:t>
      </w:r>
      <w:r>
        <w:rPr>
          <w:rFonts w:hint="eastAsia" w:ascii="宋体" w:hAnsi="宋体" w:cs="宋体"/>
          <w:szCs w:val="21"/>
        </w:rPr>
        <w:t>的委托，</w:t>
      </w:r>
      <w:r>
        <w:rPr>
          <w:rFonts w:hint="eastAsia" w:ascii="宋体" w:hAnsi="宋体" w:cs="宋体"/>
          <w:iCs/>
          <w:szCs w:val="21"/>
        </w:rPr>
        <w:t>对</w:t>
      </w:r>
      <w:r>
        <w:rPr>
          <w:rFonts w:hint="eastAsia" w:ascii="宋体" w:hAnsi="宋体" w:cs="宋体"/>
          <w:color w:val="000000"/>
        </w:rPr>
        <w:t>长沙市轨道交通运营期4号线2019年度模拟驾驶器采购项目</w:t>
      </w:r>
      <w:r>
        <w:rPr>
          <w:rFonts w:hint="eastAsia" w:ascii="宋体" w:hAnsi="宋体" w:cs="宋体"/>
          <w:color w:val="000000"/>
          <w:lang w:eastAsia="zh-CN"/>
        </w:rPr>
        <w:t>（第二次）</w:t>
      </w:r>
      <w:r>
        <w:rPr>
          <w:rFonts w:hint="eastAsia" w:ascii="宋体" w:hAnsi="宋体" w:cs="宋体"/>
          <w:iCs/>
          <w:szCs w:val="21"/>
        </w:rPr>
        <w:t>进行自主竞争性谈判采购，现发布公告，邀请符合条件的单位参与谈判采购活动。</w:t>
      </w:r>
    </w:p>
    <w:p>
      <w:pPr>
        <w:spacing w:line="360" w:lineRule="auto"/>
        <w:ind w:firstLine="422" w:firstLineChars="200"/>
        <w:jc w:val="left"/>
        <w:rPr>
          <w:rFonts w:ascii="宋体" w:hAnsi="宋体" w:cs="宋体"/>
          <w:b/>
          <w:iCs/>
        </w:rPr>
      </w:pPr>
      <w:r>
        <w:rPr>
          <w:rFonts w:hint="eastAsia" w:ascii="宋体" w:hAnsi="宋体" w:cs="宋体"/>
          <w:b/>
          <w:iCs/>
        </w:rPr>
        <w:t>一、项目概况</w:t>
      </w:r>
    </w:p>
    <w:p>
      <w:pPr>
        <w:spacing w:line="360" w:lineRule="auto"/>
        <w:ind w:firstLine="420" w:firstLineChars="200"/>
        <w:jc w:val="left"/>
        <w:rPr>
          <w:rFonts w:hint="eastAsia" w:ascii="宋体" w:hAnsi="宋体" w:eastAsia="宋体" w:cs="宋体"/>
          <w:iCs/>
          <w:lang w:eastAsia="zh-CN"/>
        </w:rPr>
      </w:pPr>
      <w:r>
        <w:rPr>
          <w:rFonts w:hint="eastAsia" w:ascii="宋体" w:hAnsi="宋体" w:cs="宋体"/>
          <w:iCs/>
        </w:rPr>
        <w:t>1.项目名称：</w:t>
      </w:r>
      <w:r>
        <w:rPr>
          <w:rFonts w:hint="eastAsia" w:ascii="宋体" w:hAnsi="宋体" w:cs="宋体"/>
          <w:color w:val="000000"/>
        </w:rPr>
        <w:t>长沙市轨道交通运营期4号线2019年度模拟驾驶器采购项目</w:t>
      </w:r>
      <w:r>
        <w:rPr>
          <w:rFonts w:hint="eastAsia" w:ascii="宋体" w:hAnsi="宋体" w:cs="宋体"/>
          <w:color w:val="000000"/>
          <w:lang w:eastAsia="zh-CN"/>
        </w:rPr>
        <w:t>（第二次）</w:t>
      </w:r>
    </w:p>
    <w:p>
      <w:pPr>
        <w:spacing w:line="360" w:lineRule="auto"/>
        <w:ind w:firstLine="420" w:firstLineChars="200"/>
        <w:jc w:val="left"/>
        <w:rPr>
          <w:rFonts w:ascii="宋体" w:hAnsi="宋体" w:cs="宋体"/>
          <w:iCs/>
          <w:szCs w:val="21"/>
          <w:u w:val="single"/>
        </w:rPr>
      </w:pPr>
      <w:r>
        <w:rPr>
          <w:rFonts w:hint="eastAsia" w:ascii="宋体" w:hAnsi="宋体" w:cs="宋体"/>
          <w:iCs/>
        </w:rPr>
        <w:t>2.项目</w:t>
      </w:r>
      <w:r>
        <w:rPr>
          <w:rFonts w:hint="eastAsia" w:ascii="宋体" w:hAnsi="宋体" w:cs="宋体"/>
          <w:iCs/>
          <w:lang w:eastAsia="zh-CN"/>
        </w:rPr>
        <w:t>预算</w:t>
      </w:r>
      <w:r>
        <w:rPr>
          <w:rFonts w:hint="eastAsia" w:ascii="宋体" w:hAnsi="宋体" w:cs="宋体"/>
          <w:iCs/>
        </w:rPr>
        <w:t>：900000.00元</w:t>
      </w:r>
    </w:p>
    <w:p>
      <w:pPr>
        <w:spacing w:line="360" w:lineRule="auto"/>
        <w:ind w:firstLine="420" w:firstLineChars="200"/>
        <w:jc w:val="left"/>
        <w:rPr>
          <w:rFonts w:ascii="宋体" w:hAnsi="宋体" w:cs="宋体"/>
          <w:iCs/>
          <w:u w:val="single"/>
        </w:rPr>
      </w:pPr>
      <w:r>
        <w:rPr>
          <w:rFonts w:hint="eastAsia" w:ascii="宋体" w:hAnsi="宋体" w:cs="宋体"/>
          <w:iCs/>
          <w:szCs w:val="21"/>
        </w:rPr>
        <w:t>3.</w:t>
      </w:r>
      <w:r>
        <w:rPr>
          <w:rFonts w:hint="eastAsia" w:ascii="宋体" w:hAnsi="宋体" w:cs="宋体"/>
          <w:iCs/>
        </w:rPr>
        <w:t>谈判内容：</w:t>
      </w:r>
      <w:r>
        <w:rPr>
          <w:rFonts w:hint="eastAsia" w:ascii="宋体" w:hAnsi="宋体" w:cs="宋体"/>
          <w:color w:val="000000"/>
          <w:szCs w:val="21"/>
        </w:rPr>
        <w:t>本项目主要为长沙市轨道交通4号线司机操纵台、行调控制台、前向视景显示器等22项模拟驾驶器物资进行采购，所购买的设备能用于电客车司机岗位的持证上岗、日常培训、技能鉴定及行业竞赛。（具体详见用户需求书）</w:t>
      </w:r>
    </w:p>
    <w:p>
      <w:pPr>
        <w:spacing w:line="360" w:lineRule="auto"/>
        <w:ind w:firstLine="420" w:firstLineChars="200"/>
        <w:jc w:val="left"/>
        <w:rPr>
          <w:rFonts w:ascii="宋体" w:hAnsi="宋体" w:cs="宋体"/>
          <w:iCs/>
          <w:u w:val="single"/>
        </w:rPr>
      </w:pPr>
      <w:r>
        <w:rPr>
          <w:rFonts w:hint="eastAsia" w:ascii="宋体" w:hAnsi="宋体" w:cs="宋体"/>
          <w:iCs/>
        </w:rPr>
        <w:t>4</w:t>
      </w:r>
      <w:r>
        <w:rPr>
          <w:rFonts w:hint="eastAsia" w:ascii="宋体" w:hAnsi="宋体" w:cs="宋体"/>
          <w:iCs/>
          <w:szCs w:val="21"/>
        </w:rPr>
        <w:t>.</w:t>
      </w:r>
      <w:r>
        <w:rPr>
          <w:rFonts w:hint="eastAsia" w:ascii="宋体" w:hAnsi="宋体" w:cs="宋体"/>
          <w:iCs/>
        </w:rPr>
        <w:t>标段划分：共划分1个标段。</w:t>
      </w:r>
    </w:p>
    <w:p>
      <w:pPr>
        <w:spacing w:line="360" w:lineRule="auto"/>
        <w:ind w:firstLine="420" w:firstLineChars="200"/>
        <w:jc w:val="left"/>
        <w:rPr>
          <w:rFonts w:ascii="宋体" w:hAnsi="宋体" w:cs="宋体"/>
          <w:iCs/>
        </w:rPr>
      </w:pPr>
      <w:r>
        <w:rPr>
          <w:rFonts w:hint="eastAsia" w:ascii="宋体" w:hAnsi="宋体" w:cs="宋体"/>
          <w:iCs/>
        </w:rPr>
        <w:t>5</w:t>
      </w:r>
      <w:r>
        <w:rPr>
          <w:rFonts w:hint="eastAsia" w:ascii="宋体" w:hAnsi="宋体" w:cs="宋体"/>
          <w:iCs/>
          <w:szCs w:val="21"/>
        </w:rPr>
        <w:t>.</w:t>
      </w:r>
      <w:r>
        <w:rPr>
          <w:rFonts w:hint="eastAsia" w:ascii="宋体" w:hAnsi="宋体" w:cs="宋体"/>
          <w:iCs/>
        </w:rPr>
        <w:t>供货期：</w:t>
      </w:r>
      <w:bookmarkStart w:id="1" w:name="_Toc26748"/>
      <w:bookmarkStart w:id="2" w:name="_Toc12768"/>
      <w:bookmarkStart w:id="3" w:name="_Toc26083"/>
      <w:r>
        <w:rPr>
          <w:rFonts w:hint="eastAsia" w:ascii="宋体" w:hAnsi="宋体" w:cs="宋体"/>
          <w:color w:val="000000"/>
          <w:szCs w:val="21"/>
        </w:rPr>
        <w:t>从甲方发出书面供货通知之日起30个自然日内完成供货及安装、调试工作。</w:t>
      </w:r>
      <w:bookmarkEnd w:id="1"/>
      <w:bookmarkEnd w:id="2"/>
      <w:bookmarkEnd w:id="3"/>
      <w:r>
        <w:rPr>
          <w:rFonts w:hint="eastAsia" w:ascii="宋体" w:hAnsi="宋体" w:cs="宋体"/>
          <w:color w:val="000000"/>
          <w:szCs w:val="21"/>
        </w:rPr>
        <w:t>（具体详见用户需求书）</w:t>
      </w:r>
    </w:p>
    <w:p>
      <w:pPr>
        <w:spacing w:line="360" w:lineRule="auto"/>
        <w:ind w:firstLine="420" w:firstLineChars="200"/>
        <w:jc w:val="left"/>
        <w:rPr>
          <w:rFonts w:ascii="宋体" w:hAnsi="宋体" w:cs="宋体"/>
          <w:iCs/>
          <w:strike w:val="0"/>
          <w:dstrike w:val="0"/>
        </w:rPr>
      </w:pPr>
      <w:r>
        <w:rPr>
          <w:rFonts w:hint="eastAsia" w:ascii="宋体" w:hAnsi="宋体" w:cs="宋体"/>
          <w:iCs/>
          <w:strike w:val="0"/>
          <w:dstrike w:val="0"/>
        </w:rPr>
        <w:t>6</w:t>
      </w:r>
      <w:r>
        <w:rPr>
          <w:rFonts w:hint="eastAsia" w:ascii="宋体" w:hAnsi="宋体" w:cs="宋体"/>
          <w:iCs/>
          <w:strike w:val="0"/>
          <w:dstrike w:val="0"/>
          <w:szCs w:val="21"/>
        </w:rPr>
        <w:t>.</w:t>
      </w:r>
      <w:r>
        <w:rPr>
          <w:rFonts w:hint="eastAsia" w:ascii="宋体" w:hAnsi="宋体" w:cs="宋体"/>
          <w:iCs/>
          <w:strike w:val="0"/>
          <w:dstrike w:val="0"/>
        </w:rPr>
        <w:t>采购范围：</w:t>
      </w:r>
      <w:r>
        <w:rPr>
          <w:rFonts w:hint="eastAsia" w:ascii="宋体" w:hAnsi="宋体" w:cs="宋体"/>
          <w:strike w:val="0"/>
          <w:dstrike w:val="0"/>
          <w:color w:val="000000"/>
          <w:szCs w:val="21"/>
        </w:rPr>
        <w:t>本项目主要为长沙市轨道交通4号线司机操纵台、行调控制台、前向视景显示器等22项模拟驾驶器物资进行采购，所购买的设备能用于电客车司机岗位的持证上岗、日常培训、技能鉴定及行业竞赛。（具体详见用户需求书）</w:t>
      </w:r>
    </w:p>
    <w:p>
      <w:pPr>
        <w:spacing w:line="360" w:lineRule="auto"/>
        <w:ind w:firstLine="422" w:firstLineChars="200"/>
        <w:jc w:val="left"/>
        <w:rPr>
          <w:rFonts w:ascii="宋体" w:hAnsi="宋体" w:cs="宋体"/>
          <w:bCs/>
          <w:u w:val="single"/>
        </w:rPr>
      </w:pPr>
      <w:r>
        <w:rPr>
          <w:rFonts w:hint="eastAsia" w:ascii="宋体" w:hAnsi="宋体" w:cs="宋体"/>
          <w:b/>
          <w:iCs/>
        </w:rPr>
        <w:t>二、资格要求</w:t>
      </w:r>
    </w:p>
    <w:p>
      <w:pPr>
        <w:spacing w:line="360" w:lineRule="auto"/>
        <w:ind w:firstLine="420" w:firstLineChars="200"/>
        <w:rPr>
          <w:rFonts w:ascii="宋体" w:hAnsi="宋体" w:cs="宋体"/>
          <w:iCs/>
        </w:rPr>
      </w:pPr>
      <w:r>
        <w:rPr>
          <w:rFonts w:hint="eastAsia" w:ascii="宋体" w:hAnsi="宋体" w:cs="宋体"/>
          <w:szCs w:val="21"/>
        </w:rPr>
        <w:t>1.</w:t>
      </w:r>
      <w:r>
        <w:rPr>
          <w:rFonts w:hint="eastAsia" w:ascii="宋体" w:hAnsi="宋体" w:cs="宋体"/>
          <w:color w:val="000000"/>
        </w:rPr>
        <w:t>谈判单位须为具有独立法人资格、自主经营、独立核算的</w:t>
      </w:r>
      <w:r>
        <w:rPr>
          <w:rFonts w:hint="eastAsia" w:ascii="宋体" w:hAnsi="宋体" w:cs="宋体"/>
          <w:color w:val="000000"/>
          <w:szCs w:val="21"/>
        </w:rPr>
        <w:t>公司，须提供营业执照副本原件。</w:t>
      </w:r>
    </w:p>
    <w:p>
      <w:pPr>
        <w:spacing w:line="360" w:lineRule="auto"/>
        <w:ind w:firstLine="420" w:firstLineChars="200"/>
        <w:rPr>
          <w:rFonts w:ascii="宋体" w:hAnsi="宋体" w:cs="宋体"/>
        </w:rPr>
      </w:pPr>
      <w:r>
        <w:rPr>
          <w:rFonts w:hint="eastAsia" w:ascii="宋体" w:hAnsi="宋体" w:cs="宋体"/>
          <w:szCs w:val="21"/>
        </w:rPr>
        <w:t>2.</w:t>
      </w:r>
      <w:r>
        <w:rPr>
          <w:rFonts w:hint="eastAsia" w:ascii="宋体" w:hAnsi="宋体" w:cs="宋体"/>
          <w:color w:val="000000"/>
        </w:rPr>
        <w:t>谈判单位须为经国家交通运输部认可的交通运输行业研发中心认定单位（须提供国家交通运输部公布的研发中心认定结果通知文件的复印件，并</w:t>
      </w:r>
      <w:r>
        <w:rPr>
          <w:rFonts w:hint="eastAsia" w:ascii="宋体" w:hAnsi="宋体" w:cs="宋体"/>
          <w:szCs w:val="21"/>
        </w:rPr>
        <w:t>加盖谈判单位公章</w:t>
      </w:r>
      <w:r>
        <w:rPr>
          <w:rFonts w:hint="eastAsia" w:ascii="宋体" w:hAnsi="宋体" w:cs="宋体"/>
          <w:color w:val="000000"/>
        </w:rPr>
        <w:t>）</w:t>
      </w:r>
      <w:r>
        <w:rPr>
          <w:rFonts w:hint="eastAsia" w:ascii="宋体" w:hAnsi="宋体" w:cs="宋体"/>
        </w:rPr>
        <w:t>。</w:t>
      </w:r>
    </w:p>
    <w:p>
      <w:pPr>
        <w:spacing w:line="360" w:lineRule="auto"/>
        <w:ind w:firstLine="420" w:firstLineChars="200"/>
        <w:jc w:val="left"/>
        <w:rPr>
          <w:rFonts w:ascii="宋体" w:hAnsi="宋体" w:cs="宋体"/>
        </w:rPr>
      </w:pPr>
      <w:r>
        <w:rPr>
          <w:rFonts w:hint="eastAsia" w:ascii="宋体" w:hAnsi="宋体" w:cs="宋体"/>
        </w:rPr>
        <w:t>3.谈判单位须提供所投产品（模拟驾驶器）经国家认监委认可的第三方检验机构出具的检验报告复印件，</w:t>
      </w:r>
      <w:r>
        <w:rPr>
          <w:rFonts w:hint="eastAsia" w:ascii="宋体" w:hAnsi="宋体" w:cs="宋体"/>
          <w:color w:val="000000"/>
        </w:rPr>
        <w:t>并</w:t>
      </w:r>
      <w:r>
        <w:rPr>
          <w:rFonts w:hint="eastAsia" w:ascii="宋体" w:hAnsi="宋体" w:cs="宋体"/>
          <w:szCs w:val="21"/>
        </w:rPr>
        <w:t>加盖谈判单位公章</w:t>
      </w:r>
      <w:r>
        <w:rPr>
          <w:rFonts w:hint="eastAsia" w:ascii="宋体" w:hAnsi="宋体" w:cs="宋体"/>
        </w:rPr>
        <w:t>。</w:t>
      </w:r>
    </w:p>
    <w:p>
      <w:pPr>
        <w:spacing w:line="360" w:lineRule="auto"/>
        <w:ind w:firstLine="420" w:firstLineChars="200"/>
        <w:rPr>
          <w:rFonts w:ascii="宋体" w:hAnsi="宋体" w:cs="宋体"/>
          <w:szCs w:val="21"/>
        </w:rPr>
      </w:pPr>
      <w:r>
        <w:rPr>
          <w:rFonts w:hint="eastAsia" w:ascii="宋体" w:hAnsi="宋体" w:cs="宋体"/>
          <w:szCs w:val="21"/>
        </w:rPr>
        <w:t>4.谈判单位</w:t>
      </w:r>
      <w:r>
        <w:rPr>
          <w:rFonts w:hint="eastAsia" w:ascii="宋体" w:hAnsi="宋体" w:cs="宋体"/>
        </w:rPr>
        <w:t>在本项目响应文件递交截止之日前36个月内须具有单项合同金额不少于45万元的</w:t>
      </w:r>
      <w:r>
        <w:rPr>
          <w:rFonts w:hint="eastAsia" w:ascii="宋体" w:hAnsi="宋体" w:cs="宋体"/>
          <w:color w:val="000000"/>
          <w:szCs w:val="21"/>
        </w:rPr>
        <w:t>城市轨道交通列车司机竞赛设备</w:t>
      </w:r>
      <w:r>
        <w:rPr>
          <w:rFonts w:hint="eastAsia" w:ascii="宋体" w:hAnsi="宋体" w:cs="宋体"/>
        </w:rPr>
        <w:t>相关供货业绩</w:t>
      </w:r>
      <w:r>
        <w:rPr>
          <w:rFonts w:hint="eastAsia" w:ascii="宋体" w:hAnsi="宋体" w:cs="宋体"/>
          <w:color w:val="000000"/>
        </w:rPr>
        <w:t>。</w:t>
      </w:r>
    </w:p>
    <w:p>
      <w:pPr>
        <w:spacing w:line="360" w:lineRule="auto"/>
        <w:ind w:firstLine="420" w:firstLineChars="200"/>
        <w:rPr>
          <w:rFonts w:ascii="宋体" w:hAnsi="宋体" w:cs="宋体"/>
          <w:kern w:val="0"/>
          <w:szCs w:val="21"/>
        </w:rPr>
      </w:pPr>
      <w:r>
        <w:rPr>
          <w:rFonts w:hint="eastAsia" w:ascii="宋体" w:hAnsi="宋体" w:cs="宋体"/>
          <w:szCs w:val="21"/>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420" w:firstLineChars="200"/>
        <w:rPr>
          <w:rFonts w:ascii="宋体" w:hAnsi="宋体" w:cs="宋体"/>
          <w:szCs w:val="21"/>
        </w:rPr>
      </w:pPr>
      <w:r>
        <w:rPr>
          <w:rFonts w:hint="eastAsia" w:ascii="宋体" w:hAnsi="宋体" w:cs="宋体"/>
          <w:szCs w:val="21"/>
        </w:rPr>
        <w:t>5.本次谈判不接受联合体形式参与谈判。</w:t>
      </w:r>
    </w:p>
    <w:p>
      <w:pPr>
        <w:spacing w:line="360" w:lineRule="auto"/>
        <w:ind w:firstLine="420" w:firstLineChars="200"/>
        <w:rPr>
          <w:rFonts w:ascii="宋体" w:hAnsi="宋体" w:cs="宋体"/>
          <w:iCs/>
          <w:szCs w:val="21"/>
        </w:rPr>
      </w:pPr>
      <w:r>
        <w:rPr>
          <w:rFonts w:hint="eastAsia" w:ascii="宋体" w:hAnsi="宋体" w:cs="宋体"/>
          <w:szCs w:val="21"/>
        </w:rPr>
        <w:t>6.</w:t>
      </w:r>
      <w:r>
        <w:rPr>
          <w:rFonts w:hint="eastAsia" w:ascii="宋体" w:hAnsi="宋体" w:cs="宋体"/>
          <w:iCs/>
          <w:szCs w:val="21"/>
        </w:rPr>
        <w:t>被长沙市轨道交通集团函告禁止在一定期限内参与轨道公司项目投标或谈判的单位按函告内容执行。</w:t>
      </w:r>
    </w:p>
    <w:p>
      <w:pPr>
        <w:spacing w:line="360" w:lineRule="auto"/>
        <w:ind w:firstLine="422" w:firstLineChars="200"/>
        <w:jc w:val="left"/>
        <w:rPr>
          <w:rFonts w:ascii="宋体" w:hAnsi="宋体" w:cs="宋体"/>
          <w:b/>
          <w:iCs/>
        </w:rPr>
      </w:pPr>
      <w:r>
        <w:rPr>
          <w:rFonts w:hint="eastAsia" w:ascii="宋体" w:hAnsi="宋体" w:cs="宋体"/>
          <w:b/>
          <w:iCs/>
        </w:rPr>
        <w:t>三、评审办法</w:t>
      </w:r>
    </w:p>
    <w:p>
      <w:pPr>
        <w:spacing w:line="360" w:lineRule="auto"/>
        <w:ind w:firstLine="420" w:firstLineChars="200"/>
        <w:jc w:val="left"/>
        <w:rPr>
          <w:rFonts w:ascii="宋体" w:hAnsi="宋体" w:cs="宋体"/>
          <w:szCs w:val="21"/>
        </w:rPr>
      </w:pPr>
      <w:r>
        <w:rPr>
          <w:rFonts w:hint="eastAsia" w:ascii="宋体" w:hAnsi="宋体" w:cs="宋体"/>
          <w:iCs/>
          <w:szCs w:val="21"/>
        </w:rPr>
        <w:t>本项目评审办法采用经符合性审查合格后的最低价法。</w:t>
      </w:r>
    </w:p>
    <w:p>
      <w:pPr>
        <w:spacing w:line="360" w:lineRule="auto"/>
        <w:ind w:firstLine="422" w:firstLineChars="200"/>
        <w:rPr>
          <w:rFonts w:ascii="宋体" w:hAnsi="宋体" w:cs="宋体"/>
          <w:b/>
          <w:bCs/>
          <w:szCs w:val="21"/>
        </w:rPr>
      </w:pPr>
      <w:r>
        <w:rPr>
          <w:rFonts w:hint="eastAsia" w:ascii="宋体" w:hAnsi="宋体" w:cs="宋体"/>
          <w:b/>
          <w:bCs/>
          <w:szCs w:val="21"/>
        </w:rPr>
        <w:t>四、自主竞争性谈判文件的获取</w:t>
      </w:r>
    </w:p>
    <w:p>
      <w:pPr>
        <w:spacing w:line="360" w:lineRule="auto"/>
        <w:ind w:firstLine="420" w:firstLineChars="200"/>
        <w:rPr>
          <w:rFonts w:ascii="宋体" w:hAnsi="宋体" w:cs="宋体"/>
          <w:szCs w:val="21"/>
        </w:rPr>
      </w:pPr>
      <w:r>
        <w:rPr>
          <w:rFonts w:hint="eastAsia" w:ascii="宋体" w:hAnsi="宋体" w:cs="宋体"/>
          <w:szCs w:val="21"/>
        </w:rPr>
        <w:t>凡有意参加谈判的单位，请于2019年</w:t>
      </w:r>
      <w:r>
        <w:rPr>
          <w:rFonts w:hint="eastAsia" w:ascii="宋体" w:hAnsi="宋体" w:cs="宋体"/>
          <w:szCs w:val="21"/>
          <w:u w:val="single"/>
          <w:lang w:val="en-US" w:eastAsia="zh-CN"/>
        </w:rPr>
        <w:t>10</w:t>
      </w:r>
      <w:r>
        <w:rPr>
          <w:rFonts w:hint="eastAsia" w:ascii="宋体" w:hAnsi="宋体" w:cs="宋体"/>
          <w:szCs w:val="21"/>
        </w:rPr>
        <w:t>月</w:t>
      </w:r>
      <w:r>
        <w:rPr>
          <w:rFonts w:hint="eastAsia" w:ascii="宋体" w:hAnsi="宋体" w:cs="宋体"/>
          <w:szCs w:val="21"/>
          <w:u w:val="single"/>
          <w:lang w:val="en-US" w:eastAsia="zh-CN"/>
        </w:rPr>
        <w:t>17</w:t>
      </w:r>
      <w:r>
        <w:rPr>
          <w:rFonts w:hint="eastAsia" w:ascii="宋体" w:hAnsi="宋体" w:cs="宋体"/>
          <w:szCs w:val="21"/>
        </w:rPr>
        <w:t>日至2019年</w:t>
      </w:r>
      <w:r>
        <w:rPr>
          <w:rFonts w:hint="eastAsia" w:ascii="宋体" w:hAnsi="宋体" w:cs="宋体"/>
          <w:szCs w:val="21"/>
          <w:u w:val="single"/>
          <w:lang w:val="en-US" w:eastAsia="zh-CN"/>
        </w:rPr>
        <w:t>10</w:t>
      </w:r>
      <w:r>
        <w:rPr>
          <w:rFonts w:hint="eastAsia" w:ascii="宋体" w:hAnsi="宋体" w:cs="宋体"/>
          <w:szCs w:val="21"/>
        </w:rPr>
        <w:t>月</w:t>
      </w:r>
      <w:r>
        <w:rPr>
          <w:rFonts w:hint="eastAsia" w:ascii="宋体" w:hAnsi="宋体" w:cs="宋体"/>
          <w:szCs w:val="21"/>
          <w:u w:val="single"/>
          <w:lang w:val="en-US" w:eastAsia="zh-CN"/>
        </w:rPr>
        <w:t>23</w:t>
      </w:r>
      <w:r>
        <w:rPr>
          <w:rFonts w:hint="eastAsia" w:ascii="宋体" w:hAnsi="宋体" w:cs="宋体"/>
          <w:szCs w:val="21"/>
        </w:rPr>
        <w:t>日登录长沙市轨道交通集团有限公司官方网站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p>
    <w:p>
      <w:pPr>
        <w:spacing w:line="360" w:lineRule="auto"/>
        <w:ind w:firstLine="422" w:firstLineChars="200"/>
        <w:rPr>
          <w:rFonts w:ascii="宋体" w:hAnsi="宋体" w:cs="宋体"/>
          <w:b/>
          <w:bCs/>
          <w:szCs w:val="21"/>
        </w:rPr>
      </w:pPr>
      <w:r>
        <w:rPr>
          <w:rFonts w:hint="eastAsia" w:ascii="宋体" w:hAnsi="宋体" w:cs="宋体"/>
          <w:b/>
          <w:bCs/>
          <w:szCs w:val="21"/>
        </w:rPr>
        <w:t>五、</w:t>
      </w:r>
      <w:r>
        <w:rPr>
          <w:rFonts w:hint="eastAsia" w:ascii="宋体" w:hAnsi="宋体" w:cs="宋体"/>
          <w:b/>
          <w:bCs/>
          <w:iCs/>
        </w:rPr>
        <w:t>谈判文件的</w:t>
      </w:r>
      <w:r>
        <w:rPr>
          <w:rFonts w:hint="eastAsia" w:ascii="宋体" w:hAnsi="宋体" w:cs="宋体"/>
          <w:b/>
          <w:bCs/>
          <w:szCs w:val="21"/>
        </w:rPr>
        <w:t>澄清与答疑</w:t>
      </w:r>
    </w:p>
    <w:p>
      <w:pPr>
        <w:spacing w:line="360" w:lineRule="auto"/>
        <w:ind w:firstLine="420" w:firstLineChars="200"/>
        <w:rPr>
          <w:rFonts w:ascii="宋体" w:hAnsi="宋体" w:cs="宋体"/>
          <w:iCs/>
          <w:szCs w:val="21"/>
        </w:rPr>
      </w:pPr>
      <w:r>
        <w:rPr>
          <w:rFonts w:hint="eastAsia" w:ascii="宋体" w:hAnsi="宋体" w:cs="宋体"/>
          <w:szCs w:val="21"/>
        </w:rPr>
        <w:t>1.</w:t>
      </w:r>
      <w:r>
        <w:rPr>
          <w:rFonts w:hint="eastAsia" w:ascii="宋体" w:hAnsi="宋体" w:cs="宋体"/>
          <w:iCs/>
          <w:szCs w:val="21"/>
        </w:rPr>
        <w:t>本项目不组织答疑会和现场踏勘。</w:t>
      </w:r>
    </w:p>
    <w:p>
      <w:pPr>
        <w:spacing w:line="360" w:lineRule="auto"/>
        <w:ind w:firstLine="420" w:firstLineChars="200"/>
        <w:rPr>
          <w:rFonts w:ascii="宋体" w:hAnsi="宋体" w:cs="宋体"/>
          <w:iCs/>
          <w:szCs w:val="21"/>
        </w:rPr>
      </w:pPr>
      <w:r>
        <w:rPr>
          <w:rFonts w:hint="eastAsia" w:ascii="宋体" w:hAnsi="宋体" w:cs="宋体"/>
          <w:iCs/>
          <w:szCs w:val="21"/>
        </w:rPr>
        <w:t>2.谈判单位若对谈判文件有任何疑问，</w:t>
      </w:r>
      <w:r>
        <w:rPr>
          <w:rFonts w:hint="eastAsia" w:ascii="宋体" w:hAnsi="宋体" w:cs="宋体"/>
          <w:szCs w:val="21"/>
        </w:rPr>
        <w:t>应于</w:t>
      </w:r>
      <w:r>
        <w:rPr>
          <w:rFonts w:hint="eastAsia" w:ascii="宋体" w:hAnsi="宋体" w:cs="宋体"/>
          <w:szCs w:val="21"/>
          <w:u w:val="single"/>
          <w:lang w:val="en-US" w:eastAsia="zh-CN"/>
        </w:rPr>
        <w:t>2019</w:t>
      </w:r>
      <w:r>
        <w:rPr>
          <w:rFonts w:hint="eastAsia" w:ascii="宋体" w:hAnsi="宋体" w:cs="宋体"/>
          <w:szCs w:val="21"/>
        </w:rPr>
        <w:t>年</w:t>
      </w:r>
      <w:r>
        <w:rPr>
          <w:rFonts w:hint="eastAsia" w:ascii="宋体" w:hAnsi="宋体" w:cs="宋体"/>
          <w:szCs w:val="21"/>
          <w:u w:val="single"/>
          <w:lang w:val="en-US" w:eastAsia="zh-CN"/>
        </w:rPr>
        <w:t>10</w:t>
      </w:r>
      <w:r>
        <w:rPr>
          <w:rFonts w:hint="eastAsia" w:ascii="宋体" w:hAnsi="宋体" w:cs="宋体"/>
          <w:szCs w:val="21"/>
        </w:rPr>
        <w:t>月</w:t>
      </w:r>
      <w:r>
        <w:rPr>
          <w:rFonts w:hint="eastAsia" w:ascii="宋体" w:hAnsi="宋体" w:cs="宋体"/>
          <w:szCs w:val="21"/>
          <w:u w:val="single"/>
          <w:lang w:val="en-US" w:eastAsia="zh-CN"/>
        </w:rPr>
        <w:t>24</w:t>
      </w:r>
      <w:r>
        <w:rPr>
          <w:rFonts w:hint="eastAsia" w:ascii="宋体" w:hAnsi="宋体" w:cs="宋体"/>
          <w:szCs w:val="21"/>
        </w:rPr>
        <w:t>日</w:t>
      </w:r>
      <w:r>
        <w:rPr>
          <w:rFonts w:hint="eastAsia" w:ascii="宋体" w:hAnsi="宋体" w:cs="宋体"/>
          <w:iCs/>
          <w:szCs w:val="21"/>
        </w:rPr>
        <w:t>17：00时（含）前（节假日除外）以书面形式（经法定代表人签字或盖章，并加盖单位公章）递交至采购代理机构。</w:t>
      </w:r>
    </w:p>
    <w:p>
      <w:pPr>
        <w:spacing w:line="360" w:lineRule="auto"/>
        <w:ind w:firstLine="420" w:firstLineChars="200"/>
        <w:rPr>
          <w:rFonts w:ascii="宋体" w:hAnsi="宋体" w:cs="宋体"/>
          <w:iCs/>
          <w:szCs w:val="21"/>
        </w:rPr>
      </w:pPr>
      <w:r>
        <w:rPr>
          <w:rFonts w:hint="eastAsia" w:ascii="宋体" w:hAnsi="宋体" w:cs="宋体"/>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宋体"/>
          <w:iCs/>
          <w:szCs w:val="21"/>
        </w:rPr>
        <w:t>4.</w:t>
      </w:r>
      <w:r>
        <w:rPr>
          <w:rFonts w:hint="eastAsia" w:ascii="宋体" w:hAnsi="宋体" w:cs="宋体"/>
          <w:kern w:val="0"/>
          <w:szCs w:val="21"/>
        </w:rPr>
        <w:t>澄清或者修改的内容可能影响响应文件编制的，采购单位或采购代理机构应当在提交响应文件截止之日3个工作日前，</w:t>
      </w:r>
      <w:r>
        <w:rPr>
          <w:rFonts w:hint="eastAsia" w:ascii="宋体" w:hAnsi="宋体" w:cs="宋体"/>
          <w:kern w:val="0"/>
        </w:rPr>
        <w:t>在长沙市轨道交通集团有限公司官</w:t>
      </w:r>
      <w:r>
        <w:rPr>
          <w:rFonts w:hint="eastAsia" w:ascii="宋体" w:hAnsi="宋体" w:cs="宋体"/>
          <w:kern w:val="0"/>
          <w:szCs w:val="21"/>
        </w:rPr>
        <w:t>（http://www.hncsmtr.com/）</w:t>
      </w:r>
      <w:r>
        <w:rPr>
          <w:rFonts w:hint="eastAsia" w:ascii="宋体" w:hAnsi="宋体" w:cs="宋体"/>
          <w:kern w:val="0"/>
        </w:rPr>
        <w:t>发布澄清或答疑文件及顺延谈判时间，敬请获得谈判文件的所有谈判单位关注，恕不另行通知，如有遗漏采购单位或代理机构不负任何责任。</w:t>
      </w:r>
    </w:p>
    <w:p>
      <w:pPr>
        <w:spacing w:line="360" w:lineRule="auto"/>
        <w:ind w:firstLine="422" w:firstLineChars="200"/>
        <w:rPr>
          <w:rFonts w:ascii="宋体" w:hAnsi="宋体" w:cs="宋体"/>
          <w:b/>
          <w:iCs/>
        </w:rPr>
      </w:pPr>
      <w:r>
        <w:rPr>
          <w:rFonts w:hint="eastAsia" w:ascii="宋体" w:hAnsi="宋体" w:cs="宋体"/>
          <w:b/>
          <w:bCs/>
          <w:kern w:val="0"/>
          <w:szCs w:val="21"/>
        </w:rPr>
        <w:t>六</w:t>
      </w:r>
      <w:r>
        <w:rPr>
          <w:rFonts w:hint="eastAsia" w:ascii="宋体" w:hAnsi="宋体" w:cs="宋体"/>
          <w:kern w:val="0"/>
          <w:szCs w:val="21"/>
        </w:rPr>
        <w:t>、</w:t>
      </w:r>
      <w:r>
        <w:rPr>
          <w:rFonts w:hint="eastAsia" w:ascii="宋体" w:hAnsi="宋体" w:cs="宋体"/>
          <w:b/>
          <w:iCs/>
        </w:rPr>
        <w:t>响应文件的递交</w:t>
      </w:r>
    </w:p>
    <w:p>
      <w:pPr>
        <w:spacing w:line="360" w:lineRule="auto"/>
        <w:ind w:firstLine="420" w:firstLineChars="200"/>
        <w:rPr>
          <w:rFonts w:ascii="宋体" w:hAnsi="宋体" w:cs="宋体"/>
          <w:color w:val="0000FF"/>
          <w:szCs w:val="21"/>
        </w:rPr>
      </w:pPr>
      <w:r>
        <w:rPr>
          <w:rFonts w:hint="eastAsia" w:ascii="宋体" w:hAnsi="宋体" w:cs="宋体"/>
          <w:bCs/>
          <w:szCs w:val="21"/>
        </w:rPr>
        <w:t>1.响应文件递交的截止时间及谈判时间为</w:t>
      </w:r>
      <w:r>
        <w:rPr>
          <w:rFonts w:hint="eastAsia" w:ascii="宋体" w:hAnsi="宋体" w:cs="宋体"/>
          <w:bCs/>
          <w:szCs w:val="21"/>
          <w:highlight w:val="none"/>
        </w:rPr>
        <w:t>2019年</w:t>
      </w:r>
      <w:r>
        <w:rPr>
          <w:rFonts w:hint="eastAsia" w:ascii="宋体" w:hAnsi="宋体" w:cs="宋体"/>
          <w:bCs/>
          <w:szCs w:val="21"/>
          <w:highlight w:val="none"/>
          <w:u w:val="single"/>
          <w:lang w:val="en-US" w:eastAsia="zh-CN"/>
        </w:rPr>
        <w:t>10</w:t>
      </w:r>
      <w:r>
        <w:rPr>
          <w:rFonts w:hint="eastAsia" w:ascii="宋体" w:hAnsi="宋体" w:cs="宋体"/>
          <w:bCs/>
          <w:szCs w:val="21"/>
          <w:highlight w:val="none"/>
        </w:rPr>
        <w:t>月</w:t>
      </w:r>
      <w:r>
        <w:rPr>
          <w:rFonts w:hint="eastAsia" w:ascii="宋体" w:hAnsi="宋体" w:cs="宋体"/>
          <w:bCs/>
          <w:szCs w:val="21"/>
          <w:highlight w:val="none"/>
          <w:u w:val="single"/>
          <w:lang w:val="en-US" w:eastAsia="zh-CN"/>
        </w:rPr>
        <w:t>31</w:t>
      </w:r>
      <w:r>
        <w:rPr>
          <w:rFonts w:hint="eastAsia" w:ascii="宋体" w:hAnsi="宋体" w:cs="宋体"/>
          <w:bCs/>
          <w:szCs w:val="21"/>
          <w:highlight w:val="none"/>
        </w:rPr>
        <w:t>日</w:t>
      </w:r>
      <w:r>
        <w:rPr>
          <w:rFonts w:hint="eastAsia" w:ascii="宋体" w:hAnsi="宋体" w:cs="宋体"/>
          <w:bCs/>
          <w:szCs w:val="21"/>
          <w:highlight w:val="none"/>
          <w:u w:val="single"/>
          <w:lang w:val="en-US" w:eastAsia="zh-CN"/>
        </w:rPr>
        <w:t>14</w:t>
      </w:r>
      <w:r>
        <w:rPr>
          <w:rFonts w:hint="eastAsia" w:ascii="宋体" w:hAnsi="宋体" w:cs="宋体"/>
          <w:bCs/>
          <w:szCs w:val="21"/>
          <w:highlight w:val="none"/>
        </w:rPr>
        <w:t>时</w:t>
      </w:r>
      <w:r>
        <w:rPr>
          <w:rFonts w:hint="eastAsia" w:ascii="宋体" w:hAnsi="宋体" w:cs="宋体"/>
          <w:bCs/>
          <w:szCs w:val="21"/>
          <w:highlight w:val="none"/>
          <w:u w:val="single"/>
          <w:lang w:val="en-US" w:eastAsia="zh-CN"/>
        </w:rPr>
        <w:t>30</w:t>
      </w:r>
      <w:r>
        <w:rPr>
          <w:rFonts w:hint="eastAsia" w:ascii="宋体" w:hAnsi="宋体" w:cs="宋体"/>
          <w:bCs/>
          <w:szCs w:val="21"/>
          <w:highlight w:val="none"/>
        </w:rPr>
        <w:t>分</w:t>
      </w:r>
      <w:r>
        <w:rPr>
          <w:rFonts w:hint="eastAsia" w:ascii="宋体" w:hAnsi="宋体" w:cs="宋体"/>
          <w:bCs/>
          <w:szCs w:val="21"/>
        </w:rPr>
        <w:t>，地点为</w:t>
      </w:r>
      <w:r>
        <w:rPr>
          <w:rFonts w:hint="eastAsia" w:ascii="宋体" w:hAnsi="宋体" w:cs="宋体"/>
          <w:szCs w:val="21"/>
        </w:rPr>
        <w:t>长沙市劳动东路二段48号长沙市轨道交通运营有限公司综合楼910室。</w:t>
      </w:r>
    </w:p>
    <w:p>
      <w:pPr>
        <w:spacing w:line="360" w:lineRule="auto"/>
        <w:ind w:firstLine="420" w:firstLineChars="200"/>
        <w:rPr>
          <w:rFonts w:ascii="宋体" w:hAnsi="宋体" w:cs="宋体"/>
          <w:szCs w:val="21"/>
        </w:rPr>
      </w:pPr>
      <w:r>
        <w:rPr>
          <w:rFonts w:hint="eastAsia" w:ascii="宋体" w:hAnsi="宋体" w:cs="宋体"/>
          <w:szCs w:val="21"/>
        </w:rPr>
        <w:t>2.逾期送达的或者未送达指定地点的或者未密封的响应文件，采购单位或采购代理机构将予以拒收。</w:t>
      </w:r>
    </w:p>
    <w:p>
      <w:pPr>
        <w:spacing w:line="360" w:lineRule="auto"/>
        <w:ind w:firstLine="422" w:firstLineChars="200"/>
        <w:rPr>
          <w:rFonts w:ascii="宋体" w:hAnsi="宋体" w:cs="宋体"/>
          <w:b/>
          <w:sz w:val="24"/>
        </w:rPr>
      </w:pPr>
      <w:r>
        <w:rPr>
          <w:rFonts w:hint="eastAsia" w:ascii="宋体" w:hAnsi="宋体" w:cs="宋体"/>
          <w:b/>
          <w:iCs/>
          <w:szCs w:val="21"/>
        </w:rPr>
        <w:t>七、采购单位及其委托的采购代理机构的名称、地址和联系方法</w:t>
      </w:r>
    </w:p>
    <w:p>
      <w:pPr>
        <w:spacing w:line="360" w:lineRule="auto"/>
        <w:ind w:firstLine="422" w:firstLineChars="200"/>
        <w:rPr>
          <w:rFonts w:ascii="宋体" w:hAnsi="宋体" w:cs="宋体"/>
          <w:b/>
          <w:szCs w:val="21"/>
        </w:rPr>
      </w:pPr>
      <w:r>
        <w:rPr>
          <w:rFonts w:hint="eastAsia" w:ascii="宋体" w:hAnsi="宋体" w:cs="宋体"/>
          <w:b/>
          <w:bCs/>
          <w:szCs w:val="21"/>
        </w:rPr>
        <w:t>采购单位：</w:t>
      </w:r>
      <w:r>
        <w:rPr>
          <w:rFonts w:hint="eastAsia" w:ascii="宋体" w:hAnsi="宋体" w:cs="宋体"/>
          <w:szCs w:val="21"/>
        </w:rPr>
        <w:t>长沙市轨道交通四号线建设发展有限公司</w:t>
      </w:r>
    </w:p>
    <w:p>
      <w:pPr>
        <w:spacing w:line="360" w:lineRule="auto"/>
        <w:ind w:firstLine="420" w:firstLineChars="200"/>
        <w:rPr>
          <w:rFonts w:ascii="宋体" w:hAnsi="宋体" w:cs="宋体"/>
          <w:b/>
          <w:szCs w:val="21"/>
        </w:rPr>
      </w:pPr>
      <w:r>
        <w:rPr>
          <w:rFonts w:hint="eastAsia" w:ascii="宋体" w:hAnsi="宋体" w:cs="宋体"/>
          <w:szCs w:val="21"/>
        </w:rPr>
        <w:t>地  址：长沙市劳动东路二段48号长沙市轨道交通运营有限公司综合楼910室。</w:t>
      </w:r>
    </w:p>
    <w:p>
      <w:pPr>
        <w:spacing w:line="360" w:lineRule="auto"/>
        <w:ind w:firstLine="420" w:firstLineChars="200"/>
        <w:rPr>
          <w:rFonts w:ascii="宋体" w:hAnsi="宋体" w:cs="宋体"/>
          <w:b/>
          <w:szCs w:val="21"/>
        </w:rPr>
      </w:pPr>
      <w:r>
        <w:rPr>
          <w:rFonts w:hint="eastAsia" w:ascii="宋体" w:hAnsi="宋体" w:cs="宋体"/>
          <w:bCs/>
          <w:szCs w:val="21"/>
        </w:rPr>
        <w:t>联系人：</w:t>
      </w:r>
      <w:r>
        <w:rPr>
          <w:rFonts w:hint="eastAsia" w:ascii="宋体" w:hAnsi="宋体" w:cs="宋体"/>
          <w:szCs w:val="21"/>
        </w:rPr>
        <w:t>沈工</w:t>
      </w:r>
    </w:p>
    <w:p>
      <w:pPr>
        <w:spacing w:line="360" w:lineRule="auto"/>
        <w:ind w:firstLine="420" w:firstLineChars="200"/>
        <w:rPr>
          <w:rFonts w:ascii="宋体" w:hAnsi="宋体" w:cs="宋体"/>
          <w:b/>
          <w:szCs w:val="21"/>
        </w:rPr>
      </w:pPr>
      <w:r>
        <w:rPr>
          <w:rFonts w:hint="eastAsia" w:ascii="宋体" w:hAnsi="宋体" w:cs="宋体"/>
          <w:bCs/>
          <w:szCs w:val="21"/>
        </w:rPr>
        <w:t>电  话：</w:t>
      </w:r>
      <w:r>
        <w:rPr>
          <w:rFonts w:hint="eastAsia" w:ascii="宋体" w:hAnsi="宋体" w:cs="宋体"/>
          <w:szCs w:val="21"/>
        </w:rPr>
        <w:t>0731-86852347</w:t>
      </w:r>
    </w:p>
    <w:p>
      <w:pPr>
        <w:adjustRightInd w:val="0"/>
        <w:snapToGrid w:val="0"/>
        <w:spacing w:line="360" w:lineRule="auto"/>
        <w:ind w:firstLine="420" w:firstLineChars="200"/>
        <w:rPr>
          <w:rFonts w:hint="eastAsia" w:ascii="宋体" w:hAnsi="宋体" w:eastAsia="宋体" w:cs="宋体"/>
          <w:szCs w:val="21"/>
          <w:lang w:eastAsia="zh-CN"/>
        </w:rPr>
      </w:pPr>
      <w:r>
        <w:rPr>
          <w:rFonts w:hint="eastAsia" w:ascii="宋体" w:hAnsi="宋体" w:cs="宋体"/>
          <w:bCs/>
          <w:szCs w:val="21"/>
        </w:rPr>
        <w:t>监督举报电话：</w:t>
      </w:r>
      <w:r>
        <w:rPr>
          <w:rFonts w:hint="eastAsia" w:ascii="宋体" w:hAnsi="宋体" w:cs="宋体"/>
          <w:szCs w:val="21"/>
        </w:rPr>
        <w:t>0731-8685224</w:t>
      </w:r>
      <w:r>
        <w:rPr>
          <w:rFonts w:hint="eastAsia" w:ascii="宋体" w:hAnsi="宋体" w:cs="宋体"/>
          <w:szCs w:val="21"/>
          <w:lang w:val="en-US" w:eastAsia="zh-CN"/>
        </w:rPr>
        <w:t>7</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联系人：文工</w:t>
      </w:r>
    </w:p>
    <w:p>
      <w:pPr>
        <w:adjustRightInd w:val="0"/>
        <w:snapToGrid w:val="0"/>
        <w:spacing w:line="360" w:lineRule="auto"/>
        <w:ind w:firstLine="422" w:firstLineChars="200"/>
        <w:rPr>
          <w:rFonts w:ascii="宋体" w:hAnsi="宋体" w:cs="宋体"/>
          <w:szCs w:val="21"/>
        </w:rPr>
      </w:pPr>
      <w:r>
        <w:rPr>
          <w:rFonts w:hint="eastAsia" w:ascii="宋体" w:hAnsi="宋体" w:cs="宋体"/>
          <w:b/>
          <w:bCs/>
          <w:szCs w:val="21"/>
        </w:rPr>
        <w:t>采购代理机构：湖南正源项目管理咨询有限公司</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地  址：长沙市雨花区韶山北路488号东一国际南栋1128室</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联系人：佘东麟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电  话：0731-85328332</w:t>
      </w:r>
    </w:p>
    <w:p>
      <w:pPr>
        <w:spacing w:line="360" w:lineRule="auto"/>
        <w:ind w:firstLine="420" w:firstLineChars="200"/>
        <w:jc w:val="right"/>
        <w:rPr>
          <w:rFonts w:ascii="宋体" w:hAnsi="宋体" w:cs="宋体"/>
          <w:szCs w:val="21"/>
        </w:rPr>
      </w:pPr>
      <w:r>
        <w:rPr>
          <w:rFonts w:hint="eastAsia" w:ascii="宋体" w:hAnsi="宋体" w:cs="宋体"/>
          <w:szCs w:val="21"/>
        </w:rPr>
        <w:t>2019年</w:t>
      </w:r>
      <w:r>
        <w:rPr>
          <w:rFonts w:hint="eastAsia" w:ascii="宋体" w:hAnsi="宋体" w:cs="宋体"/>
          <w:szCs w:val="21"/>
          <w:u w:val="single"/>
          <w:lang w:val="en-US" w:eastAsia="zh-CN"/>
        </w:rPr>
        <w:t>10</w:t>
      </w:r>
      <w:r>
        <w:rPr>
          <w:rFonts w:hint="eastAsia" w:ascii="宋体" w:hAnsi="宋体" w:cs="宋体"/>
          <w:szCs w:val="21"/>
        </w:rPr>
        <w:t>月</w:t>
      </w:r>
      <w:r>
        <w:rPr>
          <w:rFonts w:hint="eastAsia" w:ascii="宋体" w:hAnsi="宋体" w:cs="宋体"/>
          <w:szCs w:val="21"/>
          <w:u w:val="single"/>
          <w:lang w:val="en-US" w:eastAsia="zh-CN"/>
        </w:rPr>
        <w:t>17</w:t>
      </w:r>
      <w:r>
        <w:rPr>
          <w:rFonts w:hint="eastAsia" w:ascii="宋体" w:hAnsi="宋体" w:cs="宋体"/>
          <w:szCs w:val="21"/>
        </w:rPr>
        <w:t>日</w:t>
      </w:r>
    </w:p>
    <w:p>
      <w:pPr>
        <w:pStyle w:val="3"/>
        <w:keepNext w:val="0"/>
        <w:spacing w:after="240"/>
        <w:rPr>
          <w:rFonts w:ascii="宋体" w:hAnsi="宋体" w:cs="宋体"/>
          <w:bCs w:val="0"/>
          <w:sz w:val="32"/>
          <w:szCs w:val="32"/>
        </w:rPr>
      </w:pPr>
      <w:r>
        <w:rPr>
          <w:rFonts w:hint="eastAsia" w:ascii="宋体" w:hAnsi="宋体" w:cs="宋体"/>
          <w:b w:val="0"/>
          <w:bCs w:val="0"/>
          <w:sz w:val="32"/>
          <w:szCs w:val="32"/>
        </w:rPr>
        <w:br w:type="page"/>
      </w:r>
      <w:bookmarkStart w:id="4" w:name="_Toc24224"/>
      <w:r>
        <w:rPr>
          <w:rFonts w:hint="eastAsia" w:ascii="宋体" w:hAnsi="宋体" w:cs="宋体"/>
          <w:bCs w:val="0"/>
          <w:sz w:val="32"/>
          <w:szCs w:val="32"/>
        </w:rPr>
        <w:t>第二章 谈判须知</w:t>
      </w:r>
      <w:bookmarkEnd w:id="4"/>
    </w:p>
    <w:p>
      <w:pPr>
        <w:pStyle w:val="4"/>
        <w:keepNext w:val="0"/>
        <w:keepLines w:val="0"/>
        <w:jc w:val="center"/>
        <w:rPr>
          <w:rFonts w:ascii="宋体" w:hAnsi="宋体" w:cs="宋体"/>
          <w:sz w:val="32"/>
        </w:rPr>
      </w:pPr>
      <w:bookmarkStart w:id="5" w:name="_Toc19533"/>
      <w:r>
        <w:rPr>
          <w:rFonts w:hint="eastAsia" w:ascii="宋体" w:hAnsi="宋体" w:cs="宋体"/>
          <w:sz w:val="32"/>
        </w:rPr>
        <w:t>谈判须知前附表</w:t>
      </w:r>
      <w:bookmarkEnd w:id="5"/>
    </w:p>
    <w:tbl>
      <w:tblPr>
        <w:tblStyle w:val="46"/>
        <w:tblW w:w="937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5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名  称</w:t>
            </w:r>
          </w:p>
        </w:tc>
        <w:tc>
          <w:tcPr>
            <w:tcW w:w="751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2"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采购项目</w:t>
            </w:r>
          </w:p>
        </w:tc>
        <w:tc>
          <w:tcPr>
            <w:tcW w:w="7514" w:type="dxa"/>
            <w:vAlign w:val="center"/>
          </w:tcPr>
          <w:p>
            <w:pPr>
              <w:pStyle w:val="25"/>
              <w:adjustRightInd w:val="0"/>
              <w:snapToGrid w:val="0"/>
              <w:spacing w:line="360" w:lineRule="auto"/>
              <w:rPr>
                <w:rFonts w:hint="eastAsia" w:hAnsi="宋体" w:eastAsia="宋体" w:cs="宋体"/>
                <w:lang w:eastAsia="zh-CN"/>
              </w:rPr>
            </w:pPr>
            <w:r>
              <w:rPr>
                <w:rFonts w:hint="eastAsia" w:hAnsi="宋体" w:cs="宋体"/>
                <w:color w:val="000000"/>
              </w:rPr>
              <w:t>长沙市轨道交通运营期4号线2019年度模拟驾驶器采购项目</w:t>
            </w:r>
            <w:r>
              <w:rPr>
                <w:rFonts w:hint="eastAsia" w:hAnsi="宋体" w:cs="宋体"/>
                <w:color w:val="000000"/>
                <w:lang w:eastAsia="zh-CN"/>
              </w:rPr>
              <w:t>（第二次</w:t>
            </w:r>
            <w:bookmarkStart w:id="199" w:name="_GoBack"/>
            <w:bookmarkEnd w:id="199"/>
            <w:r>
              <w:rPr>
                <w:rFonts w:hint="eastAsia" w:hAnsi="宋体" w:cs="宋体"/>
                <w:color w:val="000000"/>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采购单位</w:t>
            </w:r>
          </w:p>
        </w:tc>
        <w:tc>
          <w:tcPr>
            <w:tcW w:w="7514" w:type="dxa"/>
            <w:vAlign w:val="center"/>
          </w:tcPr>
          <w:p>
            <w:pPr>
              <w:adjustRightInd w:val="0"/>
              <w:snapToGrid w:val="0"/>
              <w:spacing w:line="360" w:lineRule="auto"/>
              <w:rPr>
                <w:rFonts w:ascii="宋体" w:hAnsi="宋体" w:cs="宋体"/>
                <w:iCs/>
                <w:szCs w:val="21"/>
              </w:rPr>
            </w:pPr>
            <w:r>
              <w:rPr>
                <w:rFonts w:hint="eastAsia" w:ascii="宋体" w:hAnsi="宋体" w:cs="宋体"/>
                <w:szCs w:val="21"/>
              </w:rPr>
              <w:t>长沙市轨道交通四号线建设发展有限公司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采购代理机构</w:t>
            </w:r>
          </w:p>
        </w:tc>
        <w:tc>
          <w:tcPr>
            <w:tcW w:w="7514" w:type="dxa"/>
            <w:vAlign w:val="center"/>
          </w:tcPr>
          <w:p>
            <w:pPr>
              <w:adjustRightInd w:val="0"/>
              <w:snapToGrid w:val="0"/>
              <w:spacing w:line="360" w:lineRule="auto"/>
              <w:rPr>
                <w:rFonts w:ascii="宋体" w:hAnsi="宋体" w:cs="宋体"/>
                <w:iCs/>
                <w:szCs w:val="21"/>
              </w:rPr>
            </w:pPr>
            <w:r>
              <w:rPr>
                <w:rFonts w:hint="eastAsia" w:ascii="宋体" w:hAnsi="宋体" w:cs="宋体"/>
                <w:szCs w:val="21"/>
              </w:rPr>
              <w:t>湖南正源项目管理咨询有限公司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项目</w:t>
            </w:r>
            <w:r>
              <w:rPr>
                <w:rFonts w:hint="eastAsia" w:ascii="宋体" w:hAnsi="宋体" w:cs="宋体"/>
                <w:b/>
                <w:szCs w:val="21"/>
                <w:lang w:eastAsia="zh-CN"/>
              </w:rPr>
              <w:t>预算</w:t>
            </w:r>
          </w:p>
        </w:tc>
        <w:tc>
          <w:tcPr>
            <w:tcW w:w="7514" w:type="dxa"/>
            <w:vAlign w:val="center"/>
          </w:tcPr>
          <w:p>
            <w:pPr>
              <w:adjustRightInd w:val="0"/>
              <w:snapToGrid w:val="0"/>
              <w:spacing w:line="360" w:lineRule="auto"/>
              <w:jc w:val="left"/>
              <w:rPr>
                <w:rFonts w:ascii="宋体" w:hAnsi="宋体" w:cs="宋体"/>
                <w:b/>
                <w:bCs/>
                <w:iCs/>
                <w:szCs w:val="21"/>
              </w:rPr>
            </w:pPr>
            <w:r>
              <w:rPr>
                <w:rFonts w:hint="eastAsia" w:ascii="宋体" w:hAnsi="宋体" w:cs="宋体"/>
                <w:szCs w:val="21"/>
              </w:rPr>
              <w:t>900000.00元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评审办法</w:t>
            </w:r>
          </w:p>
        </w:tc>
        <w:tc>
          <w:tcPr>
            <w:tcW w:w="7514" w:type="dxa"/>
            <w:vAlign w:val="center"/>
          </w:tcPr>
          <w:p>
            <w:pPr>
              <w:adjustRightInd w:val="0"/>
              <w:snapToGrid w:val="0"/>
              <w:spacing w:line="360" w:lineRule="auto"/>
              <w:jc w:val="left"/>
              <w:rPr>
                <w:rFonts w:ascii="宋体" w:hAnsi="宋体" w:cs="宋体"/>
                <w:iCs/>
                <w:szCs w:val="21"/>
              </w:rPr>
            </w:pPr>
            <w:r>
              <w:rPr>
                <w:rFonts w:hint="eastAsia" w:ascii="宋体" w:hAnsi="宋体" w:cs="宋体"/>
                <w:iCs/>
                <w:szCs w:val="21"/>
              </w:rPr>
              <w:t>本项目评审办法采用经符合性审查合格后的最低价法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46"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资格要求</w:t>
            </w:r>
          </w:p>
        </w:tc>
        <w:tc>
          <w:tcPr>
            <w:tcW w:w="7514" w:type="dxa"/>
            <w:vAlign w:val="center"/>
          </w:tcPr>
          <w:p>
            <w:pPr>
              <w:spacing w:line="360" w:lineRule="auto"/>
              <w:rPr>
                <w:rFonts w:ascii="宋体" w:hAnsi="宋体" w:cs="宋体"/>
                <w:iCs/>
              </w:rPr>
            </w:pPr>
            <w:r>
              <w:rPr>
                <w:rFonts w:hint="eastAsia" w:ascii="宋体" w:hAnsi="宋体" w:cs="宋体"/>
                <w:szCs w:val="21"/>
              </w:rPr>
              <w:t>1.</w:t>
            </w:r>
            <w:r>
              <w:rPr>
                <w:rFonts w:hint="eastAsia" w:ascii="宋体" w:hAnsi="宋体" w:cs="宋体"/>
                <w:color w:val="000000"/>
              </w:rPr>
              <w:t>谈判单位须为具有独立法人资格、自主经营、独立核算的</w:t>
            </w:r>
            <w:r>
              <w:rPr>
                <w:rFonts w:hint="eastAsia" w:ascii="宋体" w:hAnsi="宋体" w:cs="宋体"/>
                <w:color w:val="000000"/>
                <w:szCs w:val="21"/>
              </w:rPr>
              <w:t>公司，须提供营业执照副本原件。</w:t>
            </w:r>
          </w:p>
          <w:p>
            <w:pPr>
              <w:spacing w:line="360" w:lineRule="auto"/>
              <w:rPr>
                <w:rFonts w:ascii="宋体" w:hAnsi="宋体" w:cs="宋体"/>
              </w:rPr>
            </w:pPr>
            <w:r>
              <w:rPr>
                <w:rFonts w:hint="eastAsia" w:ascii="宋体" w:hAnsi="宋体" w:cs="宋体"/>
                <w:szCs w:val="21"/>
              </w:rPr>
              <w:t>2.</w:t>
            </w:r>
            <w:r>
              <w:rPr>
                <w:rFonts w:hint="eastAsia" w:ascii="宋体" w:hAnsi="宋体" w:cs="宋体"/>
                <w:color w:val="000000"/>
              </w:rPr>
              <w:t>谈判单位须为经国家交通运输部认可的交通运输行业研发中心认定单位（须提供国家交通运输部公布的研发中心认定结果通知文件的复印件，并</w:t>
            </w:r>
            <w:r>
              <w:rPr>
                <w:rFonts w:hint="eastAsia" w:ascii="宋体" w:hAnsi="宋体" w:cs="宋体"/>
                <w:szCs w:val="21"/>
              </w:rPr>
              <w:t>加盖谈判单位公章</w:t>
            </w:r>
            <w:r>
              <w:rPr>
                <w:rFonts w:hint="eastAsia" w:ascii="宋体" w:hAnsi="宋体" w:cs="宋体"/>
                <w:color w:val="000000"/>
              </w:rPr>
              <w:t>）</w:t>
            </w:r>
            <w:r>
              <w:rPr>
                <w:rFonts w:hint="eastAsia" w:ascii="宋体" w:hAnsi="宋体" w:cs="宋体"/>
              </w:rPr>
              <w:t>。</w:t>
            </w:r>
          </w:p>
          <w:p>
            <w:pPr>
              <w:spacing w:line="360" w:lineRule="auto"/>
              <w:jc w:val="left"/>
              <w:rPr>
                <w:rFonts w:ascii="宋体" w:hAnsi="宋体" w:cs="宋体"/>
              </w:rPr>
            </w:pPr>
            <w:r>
              <w:rPr>
                <w:rFonts w:hint="eastAsia" w:ascii="宋体" w:hAnsi="宋体" w:cs="宋体"/>
              </w:rPr>
              <w:t>3.谈判单位须提供所投产品（模拟驾驶器）经国家认监委认可的第三方检验机构出具的检验报告复印件，</w:t>
            </w:r>
            <w:r>
              <w:rPr>
                <w:rFonts w:hint="eastAsia" w:ascii="宋体" w:hAnsi="宋体" w:cs="宋体"/>
                <w:color w:val="000000"/>
              </w:rPr>
              <w:t>并</w:t>
            </w:r>
            <w:r>
              <w:rPr>
                <w:rFonts w:hint="eastAsia" w:ascii="宋体" w:hAnsi="宋体" w:cs="宋体"/>
                <w:szCs w:val="21"/>
              </w:rPr>
              <w:t>加盖谈判单位公章</w:t>
            </w:r>
            <w:r>
              <w:rPr>
                <w:rFonts w:hint="eastAsia" w:ascii="宋体" w:hAnsi="宋体" w:cs="宋体"/>
              </w:rPr>
              <w:t>。</w:t>
            </w:r>
          </w:p>
          <w:p>
            <w:pPr>
              <w:spacing w:line="360" w:lineRule="auto"/>
              <w:rPr>
                <w:rFonts w:ascii="宋体" w:hAnsi="宋体" w:cs="宋体"/>
                <w:szCs w:val="21"/>
              </w:rPr>
            </w:pPr>
            <w:r>
              <w:rPr>
                <w:rFonts w:hint="eastAsia" w:ascii="宋体" w:hAnsi="宋体" w:cs="宋体"/>
                <w:szCs w:val="21"/>
              </w:rPr>
              <w:t>4.谈判单位</w:t>
            </w:r>
            <w:r>
              <w:rPr>
                <w:rFonts w:hint="eastAsia" w:ascii="宋体" w:hAnsi="宋体" w:cs="宋体"/>
              </w:rPr>
              <w:t>在本项目响应文件递交截止之日前36个月内须具有单项合同金额不少于45万元的</w:t>
            </w:r>
            <w:r>
              <w:rPr>
                <w:rFonts w:hint="eastAsia" w:ascii="宋体" w:hAnsi="宋体" w:cs="宋体"/>
                <w:color w:val="000000"/>
                <w:szCs w:val="21"/>
              </w:rPr>
              <w:t>城市轨道交通列车司机竞赛设备</w:t>
            </w:r>
            <w:r>
              <w:rPr>
                <w:rFonts w:hint="eastAsia" w:ascii="宋体" w:hAnsi="宋体" w:cs="宋体"/>
              </w:rPr>
              <w:t>相关供货业绩</w:t>
            </w:r>
            <w:r>
              <w:rPr>
                <w:rFonts w:hint="eastAsia" w:ascii="宋体" w:hAnsi="宋体" w:cs="宋体"/>
                <w:color w:val="000000"/>
              </w:rPr>
              <w:t>。</w:t>
            </w:r>
          </w:p>
          <w:p>
            <w:pPr>
              <w:spacing w:line="360" w:lineRule="auto"/>
              <w:rPr>
                <w:rFonts w:ascii="宋体" w:hAnsi="宋体" w:cs="宋体"/>
                <w:kern w:val="0"/>
                <w:szCs w:val="21"/>
              </w:rPr>
            </w:pPr>
            <w:r>
              <w:rPr>
                <w:rFonts w:hint="eastAsia" w:ascii="宋体" w:hAnsi="宋体" w:cs="宋体"/>
                <w:szCs w:val="21"/>
              </w:rPr>
              <w:t>业绩证明材料以同时提供的合同复印件和发票（开票金额不少于合同金额的10%）复印件（均须加盖谈判单位公章）为准，业绩金额以合同中金额为准，时间以合同中甲方签字时间为准。</w:t>
            </w:r>
          </w:p>
          <w:p>
            <w:pPr>
              <w:spacing w:line="360" w:lineRule="auto"/>
              <w:rPr>
                <w:rFonts w:ascii="宋体" w:hAnsi="宋体" w:cs="宋体"/>
                <w:szCs w:val="21"/>
              </w:rPr>
            </w:pPr>
            <w:r>
              <w:rPr>
                <w:rFonts w:hint="eastAsia" w:ascii="宋体" w:hAnsi="宋体" w:cs="宋体"/>
                <w:szCs w:val="21"/>
              </w:rPr>
              <w:t>5.本次谈判不接受联合体形式参与谈判。</w:t>
            </w:r>
          </w:p>
          <w:p>
            <w:pPr>
              <w:spacing w:line="360" w:lineRule="auto"/>
              <w:rPr>
                <w:rFonts w:ascii="宋体" w:hAnsi="宋体" w:cs="宋体"/>
                <w:szCs w:val="21"/>
              </w:rPr>
            </w:pPr>
            <w:r>
              <w:rPr>
                <w:rFonts w:hint="eastAsia" w:ascii="宋体" w:hAnsi="宋体" w:cs="宋体"/>
                <w:szCs w:val="21"/>
              </w:rPr>
              <w:t>6.</w:t>
            </w:r>
            <w:r>
              <w:rPr>
                <w:rFonts w:hint="eastAsia" w:ascii="宋体" w:hAnsi="宋体" w:cs="宋体"/>
                <w:iCs/>
                <w:szCs w:val="21"/>
              </w:rPr>
              <w:t>被长沙市轨道交通集团函告禁止在一定期限内参与轨道公司项目投标或谈判的单位按函告内容执行。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谈判答疑文件递交截止时间</w:t>
            </w:r>
          </w:p>
        </w:tc>
        <w:tc>
          <w:tcPr>
            <w:tcW w:w="7514" w:type="dxa"/>
            <w:vAlign w:val="center"/>
          </w:tcPr>
          <w:p>
            <w:pPr>
              <w:pStyle w:val="25"/>
              <w:adjustRightInd w:val="0"/>
              <w:snapToGrid w:val="0"/>
              <w:spacing w:line="360" w:lineRule="auto"/>
              <w:rPr>
                <w:rFonts w:hAnsi="宋体" w:cs="宋体"/>
              </w:rPr>
            </w:pPr>
            <w:r>
              <w:rPr>
                <w:rFonts w:hint="eastAsia" w:hAnsi="宋体" w:cs="宋体"/>
                <w:u w:val="single"/>
              </w:rPr>
              <w:t>2019</w:t>
            </w:r>
            <w:r>
              <w:rPr>
                <w:rFonts w:hint="eastAsia" w:hAnsi="宋体" w:cs="宋体"/>
              </w:rPr>
              <w:t>年</w:t>
            </w:r>
            <w:r>
              <w:rPr>
                <w:rFonts w:hint="eastAsia" w:hAnsi="宋体" w:cs="宋体"/>
                <w:u w:val="single"/>
                <w:lang w:val="en-US" w:eastAsia="zh-CN"/>
              </w:rPr>
              <w:t>10</w:t>
            </w:r>
            <w:r>
              <w:rPr>
                <w:rFonts w:hint="eastAsia" w:hAnsi="宋体" w:cs="宋体"/>
              </w:rPr>
              <w:t>月</w:t>
            </w:r>
            <w:r>
              <w:rPr>
                <w:rFonts w:hint="eastAsia" w:hAnsi="宋体" w:cs="宋体"/>
                <w:u w:val="single"/>
                <w:lang w:val="en-US" w:eastAsia="zh-CN"/>
              </w:rPr>
              <w:t>24</w:t>
            </w:r>
            <w:r>
              <w:rPr>
                <w:rFonts w:hint="eastAsia" w:hAnsi="宋体" w:cs="宋体"/>
              </w:rPr>
              <w:t>日</w:t>
            </w:r>
            <w:r>
              <w:rPr>
                <w:rFonts w:hint="eastAsia" w:hAnsi="宋体" w:cs="宋体"/>
                <w:u w:val="single"/>
                <w:lang w:val="en-US" w:eastAsia="zh-CN"/>
              </w:rPr>
              <w:t>17</w:t>
            </w:r>
            <w:r>
              <w:rPr>
                <w:rFonts w:hint="eastAsia" w:hAnsi="宋体" w:cs="宋体"/>
              </w:rPr>
              <w:t>时</w:t>
            </w:r>
            <w:r>
              <w:rPr>
                <w:rFonts w:hint="eastAsia" w:hAnsi="宋体" w:cs="宋体"/>
                <w:u w:val="single"/>
                <w:lang w:val="en-US" w:eastAsia="zh-CN"/>
              </w:rPr>
              <w:t>00</w:t>
            </w:r>
            <w:r>
              <w:rPr>
                <w:rFonts w:hint="eastAsia" w:hAnsi="宋体" w:cs="宋体"/>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谈判答疑文件递交方式及地点</w:t>
            </w:r>
          </w:p>
        </w:tc>
        <w:tc>
          <w:tcPr>
            <w:tcW w:w="7514" w:type="dxa"/>
            <w:vAlign w:val="center"/>
          </w:tcPr>
          <w:p>
            <w:pPr>
              <w:pStyle w:val="25"/>
              <w:adjustRightInd w:val="0"/>
              <w:snapToGrid w:val="0"/>
              <w:spacing w:line="360" w:lineRule="auto"/>
              <w:rPr>
                <w:rFonts w:hAnsi="宋体" w:cs="宋体"/>
                <w:iCs/>
              </w:rPr>
            </w:pPr>
            <w:r>
              <w:rPr>
                <w:rFonts w:hint="eastAsia" w:hAnsi="宋体" w:cs="宋体"/>
              </w:rPr>
              <w:t>谈判答疑文件应以书面形式递交至长沙市雨花区韶山北路488号东一国际南栋1128室湖南正源项目管理咨询有限公司。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响应文件的递交截止及谈判时间</w:t>
            </w:r>
          </w:p>
        </w:tc>
        <w:tc>
          <w:tcPr>
            <w:tcW w:w="7514"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u w:val="single"/>
              </w:rPr>
              <w:t>2019</w:t>
            </w:r>
            <w:r>
              <w:rPr>
                <w:rFonts w:hint="eastAsia" w:ascii="宋体" w:hAnsi="宋体" w:cs="宋体"/>
                <w:szCs w:val="21"/>
              </w:rPr>
              <w:t>年</w:t>
            </w:r>
            <w:r>
              <w:rPr>
                <w:rFonts w:hint="eastAsia" w:ascii="宋体" w:hAnsi="宋体" w:cs="宋体"/>
                <w:u w:val="single"/>
                <w:lang w:val="en-US" w:eastAsia="zh-CN"/>
              </w:rPr>
              <w:t>10</w:t>
            </w:r>
            <w:r>
              <w:rPr>
                <w:rFonts w:hint="eastAsia" w:ascii="宋体" w:hAnsi="宋体" w:cs="宋体"/>
              </w:rPr>
              <w:t>月</w:t>
            </w:r>
            <w:r>
              <w:rPr>
                <w:rFonts w:hint="eastAsia" w:ascii="宋体" w:hAnsi="宋体" w:cs="宋体"/>
                <w:u w:val="single"/>
                <w:lang w:val="en-US" w:eastAsia="zh-CN"/>
              </w:rPr>
              <w:t>31</w:t>
            </w:r>
            <w:r>
              <w:rPr>
                <w:rFonts w:hint="eastAsia" w:ascii="宋体" w:hAnsi="宋体" w:cs="宋体"/>
              </w:rPr>
              <w:t>日</w:t>
            </w:r>
            <w:r>
              <w:rPr>
                <w:rFonts w:hint="eastAsia" w:ascii="宋体" w:hAnsi="宋体" w:cs="宋体"/>
                <w:u w:val="single"/>
                <w:lang w:val="en-US" w:eastAsia="zh-CN"/>
              </w:rPr>
              <w:t>14</w:t>
            </w:r>
            <w:r>
              <w:rPr>
                <w:rFonts w:hint="eastAsia" w:ascii="宋体" w:hAnsi="宋体" w:cs="宋体"/>
              </w:rPr>
              <w:t>时</w:t>
            </w:r>
            <w:r>
              <w:rPr>
                <w:rFonts w:hint="eastAsia" w:ascii="宋体" w:hAnsi="宋体" w:cs="宋体"/>
                <w:u w:val="single"/>
                <w:lang w:val="en-US" w:eastAsia="zh-CN"/>
              </w:rPr>
              <w:t>30</w:t>
            </w:r>
            <w:r>
              <w:rPr>
                <w:rFonts w:hint="eastAsia" w:ascii="宋体" w:hAnsi="宋体" w:cs="宋体"/>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响应文件的递交及谈判地点</w:t>
            </w:r>
          </w:p>
        </w:tc>
        <w:tc>
          <w:tcPr>
            <w:tcW w:w="7514" w:type="dxa"/>
            <w:vAlign w:val="center"/>
          </w:tcPr>
          <w:p>
            <w:pPr>
              <w:adjustRightInd w:val="0"/>
              <w:snapToGrid w:val="0"/>
              <w:spacing w:line="360" w:lineRule="auto"/>
              <w:rPr>
                <w:rFonts w:ascii="宋体" w:hAnsi="宋体" w:cs="宋体"/>
                <w:szCs w:val="21"/>
              </w:rPr>
            </w:pPr>
            <w:r>
              <w:rPr>
                <w:rFonts w:hint="eastAsia" w:ascii="宋体" w:hAnsi="宋体" w:cs="宋体"/>
                <w:szCs w:val="21"/>
              </w:rPr>
              <w:t>长沙市劳动东路二段48号长沙市轨道交通运营有限公司综合楼910室。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谈判现场验证须提交的资料</w:t>
            </w:r>
          </w:p>
        </w:tc>
        <w:tc>
          <w:tcPr>
            <w:tcW w:w="7514" w:type="dxa"/>
            <w:vAlign w:val="center"/>
          </w:tcPr>
          <w:p>
            <w:pPr>
              <w:adjustRightInd w:val="0"/>
              <w:snapToGrid w:val="0"/>
              <w:spacing w:line="360" w:lineRule="auto"/>
              <w:jc w:val="left"/>
              <w:rPr>
                <w:rFonts w:ascii="宋体" w:hAnsi="宋体" w:cs="宋体"/>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u w:val="single"/>
              </w:rPr>
              <w:t>（格式详见本文件第六章）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u w:val="single"/>
              </w:rPr>
              <w:t>（格式详见本文件</w:t>
            </w:r>
            <w:r>
              <w:rPr>
                <w:rFonts w:hint="eastAsia" w:ascii="宋体" w:hAnsi="宋体" w:cs="宋体"/>
                <w:b/>
                <w:bCs/>
                <w:iCs/>
                <w:szCs w:val="21"/>
                <w:u w:val="single"/>
              </w:rPr>
              <w:t>第六章</w:t>
            </w:r>
            <w:r>
              <w:rPr>
                <w:rFonts w:hint="eastAsia" w:ascii="宋体" w:hAnsi="宋体" w:cs="宋体"/>
                <w:b/>
                <w:szCs w:val="21"/>
                <w:u w:val="single"/>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响应文件有效期</w:t>
            </w:r>
          </w:p>
        </w:tc>
        <w:tc>
          <w:tcPr>
            <w:tcW w:w="7514"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响应文件份数</w:t>
            </w:r>
          </w:p>
        </w:tc>
        <w:tc>
          <w:tcPr>
            <w:tcW w:w="7514" w:type="dxa"/>
            <w:vAlign w:val="center"/>
          </w:tcPr>
          <w:p>
            <w:pPr>
              <w:adjustRightInd w:val="0"/>
              <w:snapToGrid w:val="0"/>
              <w:spacing w:line="360" w:lineRule="auto"/>
              <w:rPr>
                <w:rFonts w:ascii="宋体" w:hAnsi="宋体" w:cs="宋体"/>
                <w:szCs w:val="21"/>
                <w:u w:val="single"/>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价格承包内容</w:t>
            </w:r>
          </w:p>
        </w:tc>
        <w:tc>
          <w:tcPr>
            <w:tcW w:w="7514" w:type="dxa"/>
            <w:vAlign w:val="center"/>
          </w:tcPr>
          <w:p>
            <w:pPr>
              <w:adjustRightInd w:val="0"/>
              <w:snapToGrid w:val="0"/>
              <w:spacing w:line="360" w:lineRule="auto"/>
              <w:rPr>
                <w:rFonts w:ascii="宋体" w:hAnsi="宋体" w:cs="宋体"/>
                <w:szCs w:val="21"/>
              </w:rPr>
            </w:pPr>
            <w:r>
              <w:rPr>
                <w:rFonts w:hint="eastAsia" w:ascii="宋体" w:hAnsi="宋体" w:cs="宋体"/>
                <w:szCs w:val="21"/>
              </w:rPr>
              <w:t>本合同为总价合同，合同总价包括包括卖方为履行合同义务进行的设备制造前准备、设计联络（如有）、设备（包括备品备件、易损易耗件、专用工具)设计、制造、检验、包装、发货、运输至现场指定交货地点、装卸、安装（如有）/安装督导（如有）、检验及验收、调试、人员培训、向政府机构报检（如有）、试运行服务及质量保证服务等履行合同标的全过程产生的所有成本费用和利润以及卖方应承担的一切税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项目支付方式</w:t>
            </w:r>
          </w:p>
        </w:tc>
        <w:tc>
          <w:tcPr>
            <w:tcW w:w="7514" w:type="dxa"/>
            <w:vAlign w:val="center"/>
          </w:tcPr>
          <w:p>
            <w:pPr>
              <w:spacing w:line="360" w:lineRule="auto"/>
              <w:rPr>
                <w:rFonts w:ascii="宋体" w:hAnsi="宋体" w:cs="宋体"/>
                <w:szCs w:val="21"/>
              </w:rPr>
            </w:pPr>
            <w:r>
              <w:rPr>
                <w:rFonts w:hint="eastAsia" w:ascii="宋体" w:hAnsi="宋体" w:cs="宋体"/>
                <w:szCs w:val="21"/>
              </w:rPr>
              <w:t>1.预付款：本项目不支付预付款。</w:t>
            </w:r>
          </w:p>
          <w:p>
            <w:pPr>
              <w:pStyle w:val="45"/>
              <w:adjustRightInd w:val="0"/>
              <w:snapToGrid w:val="0"/>
              <w:spacing w:after="0" w:line="360" w:lineRule="auto"/>
              <w:ind w:firstLine="0" w:firstLineChars="0"/>
              <w:rPr>
                <w:rFonts w:ascii="宋体" w:hAnsi="宋体" w:cs="宋体"/>
                <w:szCs w:val="21"/>
              </w:rPr>
            </w:pPr>
            <w:r>
              <w:rPr>
                <w:rFonts w:hint="eastAsia" w:ascii="宋体" w:hAnsi="宋体" w:cs="宋体"/>
                <w:szCs w:val="21"/>
              </w:rPr>
              <w:t>2.履约验收完成付款：卖方按合同约定完成所有货物供货、安装（如有）/安装督导（如有）及相关服务，项目整体验收合格且按买方相关规定办理履约验收，履约验收完成后，在收到卖方支付申请并证实完整后28个工作日内，支付至合同价格的95%。</w:t>
            </w:r>
          </w:p>
          <w:p>
            <w:pPr>
              <w:pStyle w:val="45"/>
              <w:adjustRightInd w:val="0"/>
              <w:snapToGrid w:val="0"/>
              <w:spacing w:after="0" w:line="360" w:lineRule="auto"/>
              <w:ind w:firstLine="0" w:firstLineChars="0"/>
              <w:rPr>
                <w:rFonts w:ascii="宋体" w:hAnsi="宋体" w:cs="宋体"/>
                <w:szCs w:val="21"/>
              </w:rPr>
            </w:pPr>
            <w:r>
              <w:rPr>
                <w:rFonts w:hint="eastAsia" w:ascii="宋体" w:hAnsi="宋体" w:cs="宋体"/>
                <w:szCs w:val="21"/>
              </w:rPr>
              <w:t>3.质保期满付款：质保期满且最终验收合格，收到卖方支付请求并经买方审核无误后28个工作日内，支付合同价格的剩余款项。</w:t>
            </w:r>
          </w:p>
          <w:p>
            <w:pPr>
              <w:pStyle w:val="45"/>
              <w:adjustRightInd w:val="0"/>
              <w:snapToGrid w:val="0"/>
              <w:spacing w:after="0" w:line="360" w:lineRule="auto"/>
              <w:ind w:firstLine="0" w:firstLineChars="0"/>
              <w:rPr>
                <w:rFonts w:ascii="宋体" w:hAnsi="宋体" w:cs="宋体"/>
                <w:szCs w:val="21"/>
              </w:rPr>
            </w:pPr>
            <w:r>
              <w:rPr>
                <w:rFonts w:hint="eastAsia" w:ascii="宋体" w:hAnsi="宋体" w:cs="宋体"/>
                <w:szCs w:val="21"/>
              </w:rPr>
              <w:t>4.卖方应理解本合同的资金来源为政府资金，款项的拨付须经有关部门批准，若买方在规定的支付期限内未支付合同价款，卖方不得以款项延迟支付而停止、拒绝履行本合同或要求买方支付任何利息。</w:t>
            </w:r>
          </w:p>
          <w:p>
            <w:pPr>
              <w:pStyle w:val="45"/>
              <w:adjustRightInd w:val="0"/>
              <w:snapToGrid w:val="0"/>
              <w:spacing w:after="0" w:line="360" w:lineRule="auto"/>
              <w:ind w:firstLine="0" w:firstLineChars="0"/>
              <w:rPr>
                <w:rFonts w:ascii="宋体" w:hAnsi="宋体" w:cs="宋体"/>
                <w:szCs w:val="21"/>
              </w:rPr>
            </w:pPr>
            <w:r>
              <w:rPr>
                <w:rFonts w:hint="eastAsia" w:ascii="宋体" w:hAnsi="宋体" w:cs="宋体"/>
                <w:szCs w:val="21"/>
              </w:rPr>
              <w:t>5.卖方提供的相关单据，其中增值税专用发票应符合税法相关规定，金额为合同总价款，包括收取的奖励费、包装物租金等价外费用，安装调试费、运输费不得另行开具服务类专用发票。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信息发布</w:t>
            </w:r>
          </w:p>
          <w:p>
            <w:pPr>
              <w:adjustRightInd w:val="0"/>
              <w:snapToGrid w:val="0"/>
              <w:spacing w:line="360" w:lineRule="auto"/>
              <w:jc w:val="center"/>
              <w:rPr>
                <w:rFonts w:ascii="宋体" w:hAnsi="宋体" w:cs="宋体"/>
                <w:b/>
                <w:szCs w:val="21"/>
              </w:rPr>
            </w:pPr>
            <w:r>
              <w:rPr>
                <w:rFonts w:hint="eastAsia" w:ascii="宋体" w:hAnsi="宋体" w:cs="宋体"/>
                <w:b/>
                <w:szCs w:val="21"/>
              </w:rPr>
              <w:t>指定媒体</w:t>
            </w:r>
          </w:p>
        </w:tc>
        <w:tc>
          <w:tcPr>
            <w:tcW w:w="7514" w:type="dxa"/>
            <w:vAlign w:val="center"/>
          </w:tcPr>
          <w:p>
            <w:pPr>
              <w:adjustRightInd w:val="0"/>
              <w:snapToGrid w:val="0"/>
              <w:spacing w:line="360" w:lineRule="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5"/>
                <w:rFonts w:hint="eastAsia" w:ascii="宋体" w:hAnsi="宋体" w:cs="宋体"/>
                <w:color w:val="auto"/>
                <w:szCs w:val="21"/>
              </w:rPr>
              <w:t>http://www.hncsmtr.com/</w:t>
            </w:r>
            <w:r>
              <w:rPr>
                <w:rStyle w:val="55"/>
                <w:rFonts w:hint="eastAsia" w:ascii="宋体" w:hAnsi="宋体" w:cs="宋体"/>
                <w:color w:val="auto"/>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采购代理服务费</w:t>
            </w:r>
          </w:p>
        </w:tc>
        <w:tc>
          <w:tcPr>
            <w:tcW w:w="7514" w:type="dxa"/>
            <w:vAlign w:val="center"/>
          </w:tcPr>
          <w:p>
            <w:pPr>
              <w:adjustRightInd w:val="0"/>
              <w:snapToGrid w:val="0"/>
              <w:spacing w:line="360" w:lineRule="auto"/>
              <w:rPr>
                <w:rFonts w:ascii="宋体" w:hAnsi="宋体" w:cs="宋体"/>
                <w:szCs w:val="21"/>
              </w:rPr>
            </w:pPr>
            <w:r>
              <w:rPr>
                <w:rFonts w:hint="eastAsia" w:ascii="宋体" w:hAnsi="宋体" w:cs="宋体"/>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其他规定</w:t>
            </w:r>
          </w:p>
        </w:tc>
        <w:tc>
          <w:tcPr>
            <w:tcW w:w="7514" w:type="dxa"/>
            <w:vAlign w:val="center"/>
          </w:tcPr>
          <w:p>
            <w:pPr>
              <w:adjustRightInd w:val="0"/>
              <w:snapToGrid w:val="0"/>
              <w:spacing w:line="360" w:lineRule="auto"/>
              <w:rPr>
                <w:rFonts w:ascii="宋体" w:hAnsi="宋体" w:cs="宋体"/>
                <w:szCs w:val="21"/>
              </w:rPr>
            </w:pPr>
            <w:r>
              <w:rPr>
                <w:rFonts w:hint="eastAsia" w:ascii="宋体" w:hAnsi="宋体" w:cs="宋体"/>
                <w:szCs w:val="21"/>
              </w:rPr>
              <w:t>（如有）</w:t>
            </w:r>
          </w:p>
        </w:tc>
      </w:tr>
    </w:tbl>
    <w:p>
      <w:pPr>
        <w:pStyle w:val="4"/>
        <w:keepNext w:val="0"/>
        <w:keepLines w:val="0"/>
        <w:jc w:val="center"/>
        <w:rPr>
          <w:rFonts w:ascii="宋体" w:hAnsi="宋体" w:cs="宋体"/>
          <w:sz w:val="30"/>
          <w:szCs w:val="30"/>
        </w:rPr>
        <w:sectPr>
          <w:footerReference r:id="rId6" w:type="first"/>
          <w:footerReference r:id="rId5" w:type="default"/>
          <w:pgSz w:w="12240" w:h="15840"/>
          <w:pgMar w:top="1440" w:right="1800" w:bottom="1440" w:left="1800" w:header="720" w:footer="720" w:gutter="0"/>
          <w:pgNumType w:start="1"/>
          <w:cols w:space="720" w:num="1"/>
          <w:titlePg/>
          <w:docGrid w:type="lines" w:linePitch="323" w:charSpace="0"/>
        </w:sectPr>
      </w:pPr>
    </w:p>
    <w:p>
      <w:pPr>
        <w:pStyle w:val="4"/>
        <w:keepNext w:val="0"/>
        <w:keepLines w:val="0"/>
        <w:jc w:val="center"/>
        <w:rPr>
          <w:rFonts w:ascii="宋体" w:hAnsi="宋体" w:cs="宋体"/>
          <w:sz w:val="32"/>
        </w:rPr>
      </w:pPr>
      <w:bookmarkStart w:id="6" w:name="_Toc3259"/>
      <w:r>
        <w:rPr>
          <w:rFonts w:hint="eastAsia" w:ascii="宋体" w:hAnsi="宋体" w:cs="宋体"/>
          <w:sz w:val="32"/>
        </w:rPr>
        <w:t>谈判须知正文</w:t>
      </w:r>
      <w:bookmarkEnd w:id="6"/>
    </w:p>
    <w:p>
      <w:pPr>
        <w:pStyle w:val="5"/>
        <w:keepNext w:val="0"/>
        <w:keepLines w:val="0"/>
        <w:spacing w:before="0" w:after="0" w:line="360" w:lineRule="auto"/>
        <w:rPr>
          <w:rFonts w:ascii="宋体" w:hAnsi="宋体" w:cs="宋体"/>
          <w:sz w:val="21"/>
          <w:szCs w:val="21"/>
        </w:rPr>
      </w:pPr>
      <w:bookmarkStart w:id="7" w:name="_Toc27846"/>
      <w:r>
        <w:rPr>
          <w:rFonts w:hint="eastAsia" w:ascii="宋体" w:hAnsi="宋体" w:cs="宋体"/>
          <w:sz w:val="21"/>
          <w:szCs w:val="21"/>
        </w:rPr>
        <w:t>一、说明</w:t>
      </w:r>
      <w:bookmarkEnd w:id="7"/>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2.本谈判文件的解释权属于长沙市轨道交通运营有限公司。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rPr>
      </w:pPr>
      <w:r>
        <w:rPr>
          <w:rFonts w:hint="eastAsia" w:ascii="宋体" w:hAnsi="宋体" w:cs="宋体"/>
          <w:szCs w:val="21"/>
        </w:rPr>
        <w:t>3.2“谈判单位”是指响应本谈判文件要求、参加谈判的法人组织。</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3.3“采购代理机构”是指接受采购人委托，代理采购项目的机构。本采购项目的采购代理机构名称见</w:t>
      </w:r>
      <w:r>
        <w:rPr>
          <w:rFonts w:hint="eastAsia" w:ascii="宋体" w:hAnsi="宋体" w:cs="宋体"/>
          <w:b/>
          <w:bCs/>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3.4“谈判</w:t>
      </w:r>
      <w:r>
        <w:rPr>
          <w:rFonts w:hint="eastAsia" w:ascii="宋体" w:hAnsi="宋体" w:cs="宋体"/>
          <w:b/>
          <w:bCs/>
          <w:szCs w:val="21"/>
        </w:rPr>
        <w:t>评审</w:t>
      </w:r>
      <w:r>
        <w:rPr>
          <w:rFonts w:hint="eastAsia" w:ascii="宋体" w:hAnsi="宋体" w:cs="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4.谈判单位资格要求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215"/>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215"/>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215"/>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215"/>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215"/>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215"/>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 xml:space="preserve">5.参与谈判的费用 </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szCs w:val="21"/>
        </w:rPr>
        <w:t>5.2采购代理服务费由中选单位全额承担。本项目采购代理服务费以中选价为基数，按谈判须知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adjustRightInd w:val="0"/>
        <w:snapToGrid w:val="0"/>
        <w:spacing w:line="360" w:lineRule="auto"/>
        <w:ind w:firstLine="422" w:firstLineChars="200"/>
        <w:rPr>
          <w:rFonts w:hAnsi="宋体" w:cs="宋体"/>
          <w:b/>
          <w:bCs/>
        </w:rPr>
      </w:pPr>
      <w:r>
        <w:rPr>
          <w:rFonts w:hint="eastAsia" w:hAnsi="宋体" w:cs="宋体"/>
          <w:b/>
        </w:rPr>
        <w:t>6．</w:t>
      </w:r>
      <w:r>
        <w:rPr>
          <w:rFonts w:hint="eastAsia" w:hAnsi="宋体" w:cs="宋体"/>
          <w:b/>
          <w:bCs/>
        </w:rPr>
        <w:t>谈判单位代表</w:t>
      </w:r>
    </w:p>
    <w:p>
      <w:pPr>
        <w:pStyle w:val="25"/>
        <w:adjustRightInd w:val="0"/>
        <w:snapToGrid w:val="0"/>
        <w:spacing w:line="360" w:lineRule="auto"/>
        <w:ind w:firstLine="420" w:firstLineChars="200"/>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pStyle w:val="25"/>
        <w:adjustRightInd w:val="0"/>
        <w:snapToGrid w:val="0"/>
        <w:spacing w:line="360" w:lineRule="auto"/>
        <w:ind w:firstLine="420" w:firstLineChars="200"/>
        <w:rPr>
          <w:rFonts w:hAnsi="宋体" w:cs="宋体"/>
          <w:b/>
          <w:strike/>
          <w:sz w:val="24"/>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pStyle w:val="5"/>
        <w:keepNext w:val="0"/>
        <w:keepLines w:val="0"/>
        <w:spacing w:before="0" w:after="0" w:line="360" w:lineRule="auto"/>
        <w:rPr>
          <w:rFonts w:ascii="宋体" w:hAnsi="宋体" w:cs="宋体"/>
          <w:sz w:val="21"/>
          <w:szCs w:val="21"/>
        </w:rPr>
      </w:pPr>
      <w:bookmarkStart w:id="8" w:name="_Toc28566"/>
      <w:r>
        <w:rPr>
          <w:rFonts w:hint="eastAsia" w:ascii="宋体" w:hAnsi="宋体" w:cs="宋体"/>
          <w:sz w:val="21"/>
          <w:szCs w:val="21"/>
        </w:rPr>
        <w:t>二、谈判文件</w:t>
      </w:r>
      <w:bookmarkEnd w:id="8"/>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7．谈判文件的组成</w:t>
      </w:r>
    </w:p>
    <w:p>
      <w:pPr>
        <w:pStyle w:val="25"/>
        <w:adjustRightInd w:val="0"/>
        <w:snapToGrid w:val="0"/>
        <w:spacing w:line="360" w:lineRule="auto"/>
        <w:ind w:firstLine="420" w:firstLineChars="200"/>
        <w:rPr>
          <w:rFonts w:hAnsi="宋体" w:cs="宋体"/>
        </w:rPr>
      </w:pPr>
      <w:r>
        <w:rPr>
          <w:rFonts w:hint="eastAsia" w:hAnsi="宋体" w:cs="宋体"/>
        </w:rPr>
        <w:t>7.1谈判文件由下列文件组成：</w:t>
      </w:r>
    </w:p>
    <w:p>
      <w:pPr>
        <w:pStyle w:val="25"/>
        <w:adjustRightInd w:val="0"/>
        <w:snapToGrid w:val="0"/>
        <w:spacing w:line="360" w:lineRule="auto"/>
        <w:ind w:firstLine="420" w:firstLineChars="200"/>
        <w:rPr>
          <w:rFonts w:hAnsi="宋体" w:cs="宋体"/>
        </w:rPr>
      </w:pPr>
      <w:r>
        <w:rPr>
          <w:rFonts w:hint="eastAsia" w:hAnsi="宋体" w:cs="宋体"/>
        </w:rPr>
        <w:t>第一章 谈判邀请公告</w:t>
      </w:r>
    </w:p>
    <w:p>
      <w:pPr>
        <w:pStyle w:val="25"/>
        <w:adjustRightInd w:val="0"/>
        <w:snapToGrid w:val="0"/>
        <w:spacing w:line="360" w:lineRule="auto"/>
        <w:ind w:firstLine="420" w:firstLineChars="200"/>
        <w:rPr>
          <w:rFonts w:hAnsi="宋体" w:cs="宋体"/>
        </w:rPr>
      </w:pPr>
      <w:r>
        <w:rPr>
          <w:rFonts w:hint="eastAsia" w:hAnsi="宋体" w:cs="宋体"/>
        </w:rPr>
        <w:t>第二章 谈判须知</w:t>
      </w:r>
    </w:p>
    <w:p>
      <w:pPr>
        <w:pStyle w:val="25"/>
        <w:adjustRightInd w:val="0"/>
        <w:snapToGrid w:val="0"/>
        <w:spacing w:line="360" w:lineRule="auto"/>
        <w:ind w:firstLine="420" w:firstLineChars="200"/>
        <w:rPr>
          <w:rFonts w:hAnsi="宋体" w:cs="宋体"/>
        </w:rPr>
      </w:pPr>
      <w:r>
        <w:rPr>
          <w:rFonts w:hint="eastAsia" w:hAnsi="宋体" w:cs="宋体"/>
        </w:rPr>
        <w:t>第三章 评审办法及标准</w:t>
      </w:r>
    </w:p>
    <w:p>
      <w:pPr>
        <w:pStyle w:val="25"/>
        <w:adjustRightInd w:val="0"/>
        <w:snapToGrid w:val="0"/>
        <w:spacing w:line="360" w:lineRule="auto"/>
        <w:ind w:firstLine="420" w:firstLineChars="200"/>
        <w:rPr>
          <w:rFonts w:hAnsi="宋体" w:cs="宋体"/>
        </w:rPr>
      </w:pPr>
      <w:r>
        <w:rPr>
          <w:rFonts w:hint="eastAsia" w:hAnsi="宋体" w:cs="宋体"/>
        </w:rPr>
        <w:t>第四章 用户需求书</w:t>
      </w:r>
    </w:p>
    <w:p>
      <w:pPr>
        <w:pStyle w:val="25"/>
        <w:adjustRightInd w:val="0"/>
        <w:snapToGrid w:val="0"/>
        <w:spacing w:line="360" w:lineRule="auto"/>
        <w:ind w:firstLine="420" w:firstLineChars="200"/>
        <w:rPr>
          <w:rFonts w:hAnsi="宋体" w:cs="宋体"/>
        </w:rPr>
      </w:pPr>
      <w:r>
        <w:rPr>
          <w:rFonts w:hint="eastAsia" w:hAnsi="宋体" w:cs="宋体"/>
        </w:rPr>
        <w:t>第五章 合同格式条款</w:t>
      </w:r>
    </w:p>
    <w:p>
      <w:pPr>
        <w:pStyle w:val="25"/>
        <w:adjustRightInd w:val="0"/>
        <w:snapToGrid w:val="0"/>
        <w:spacing w:line="360" w:lineRule="auto"/>
        <w:ind w:firstLine="420" w:firstLineChars="200"/>
        <w:rPr>
          <w:rFonts w:hAnsi="宋体" w:cs="宋体"/>
        </w:rPr>
      </w:pPr>
      <w:r>
        <w:rPr>
          <w:rFonts w:hint="eastAsia" w:hAnsi="宋体" w:cs="宋体"/>
        </w:rPr>
        <w:t>第六章 响应文件组成</w:t>
      </w:r>
    </w:p>
    <w:p>
      <w:pPr>
        <w:pStyle w:val="25"/>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rPr>
        <w:t>7.3</w:t>
      </w:r>
      <w:r>
        <w:rPr>
          <w:rFonts w:hint="eastAsia" w:ascii="宋体" w:hAnsi="宋体" w:cs="宋体"/>
          <w:szCs w:val="21"/>
        </w:rPr>
        <w:t>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adjustRightInd w:val="0"/>
        <w:snapToGrid w:val="0"/>
        <w:spacing w:line="360" w:lineRule="auto"/>
        <w:ind w:firstLine="413" w:firstLineChars="196"/>
        <w:rPr>
          <w:rFonts w:ascii="宋体" w:hAnsi="宋体" w:cs="宋体"/>
          <w:b/>
          <w:kern w:val="0"/>
        </w:rPr>
      </w:pPr>
      <w:r>
        <w:rPr>
          <w:rFonts w:hint="eastAsia" w:ascii="宋体" w:hAnsi="宋体" w:cs="宋体"/>
          <w:b/>
          <w:bCs/>
          <w:szCs w:val="21"/>
        </w:rPr>
        <w:t>8.</w:t>
      </w:r>
      <w:r>
        <w:rPr>
          <w:rFonts w:hint="eastAsia" w:ascii="宋体" w:hAnsi="宋体" w:cs="宋体"/>
          <w:b/>
          <w:kern w:val="0"/>
        </w:rPr>
        <w:t>谈判文件的澄清及答疑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向采购代理机构提出，</w:t>
      </w:r>
      <w:r>
        <w:rPr>
          <w:rFonts w:hint="eastAsia" w:ascii="宋体" w:hAnsi="宋体" w:cs="宋体"/>
          <w:szCs w:val="21"/>
        </w:rPr>
        <w:t>否则，由此引起的损失由谈判单位自己承担。</w:t>
      </w:r>
    </w:p>
    <w:p>
      <w:pPr>
        <w:spacing w:line="360" w:lineRule="auto"/>
        <w:ind w:firstLine="420" w:firstLineChars="200"/>
        <w:rPr>
          <w:rFonts w:ascii="宋体" w:hAnsi="宋体" w:cs="宋体"/>
          <w:iCs/>
          <w:szCs w:val="21"/>
        </w:rPr>
      </w:pPr>
      <w:r>
        <w:rPr>
          <w:rFonts w:hint="eastAsia" w:ascii="宋体" w:hAnsi="宋体" w:cs="宋体"/>
          <w:iCs/>
          <w:szCs w:val="21"/>
        </w:rPr>
        <w:t>8.2.在谈判截止时间前，采购单位或采购代理机构可主动地或在解答谈判单位提出的问题时对谈判文件进行澄清或修改。</w:t>
      </w:r>
    </w:p>
    <w:p>
      <w:pPr>
        <w:adjustRightInd w:val="0"/>
        <w:snapToGrid w:val="0"/>
        <w:spacing w:line="360" w:lineRule="auto"/>
        <w:ind w:right="-105" w:rightChars="-50"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w:t>
      </w:r>
      <w:r>
        <w:rPr>
          <w:rFonts w:hint="eastAsia" w:ascii="宋体" w:hAnsi="宋体" w:cs="宋体"/>
          <w:kern w:val="0"/>
        </w:rPr>
        <w:t>在长沙市轨道交通集团有限公司官网</w:t>
      </w:r>
      <w:r>
        <w:rPr>
          <w:rFonts w:hint="eastAsia" w:ascii="宋体" w:hAnsi="宋体" w:cs="宋体"/>
          <w:kern w:val="0"/>
          <w:szCs w:val="21"/>
        </w:rPr>
        <w:t>（http://www.hncsmtr.com/）</w:t>
      </w:r>
      <w:r>
        <w:rPr>
          <w:rFonts w:hint="eastAsia" w:ascii="宋体" w:hAnsi="宋体" w:cs="宋体"/>
          <w:kern w:val="0"/>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ascii="宋体" w:hAnsi="宋体" w:cs="宋体"/>
          <w:b/>
        </w:rPr>
      </w:pPr>
      <w:r>
        <w:rPr>
          <w:rFonts w:hint="eastAsia" w:ascii="宋体" w:hAnsi="宋体" w:cs="宋体"/>
          <w:b/>
          <w:bCs/>
          <w:szCs w:val="21"/>
        </w:rPr>
        <w:t>9.</w:t>
      </w:r>
      <w:r>
        <w:rPr>
          <w:rFonts w:hint="eastAsia" w:ascii="宋体" w:hAnsi="宋体" w:cs="宋体"/>
          <w:b/>
          <w:kern w:val="0"/>
        </w:rPr>
        <w:t>响应文件递交截止时间、谈判会议时间及地点</w:t>
      </w:r>
    </w:p>
    <w:p>
      <w:pPr>
        <w:pStyle w:val="25"/>
        <w:adjustRightInd w:val="0"/>
        <w:snapToGrid w:val="0"/>
        <w:spacing w:line="360" w:lineRule="auto"/>
        <w:ind w:firstLine="420" w:firstLineChars="200"/>
        <w:rPr>
          <w:rFonts w:hAnsi="宋体" w:cs="宋体"/>
        </w:rPr>
      </w:pPr>
      <w:r>
        <w:rPr>
          <w:rFonts w:hint="eastAsia" w:hAnsi="宋体" w:cs="宋体"/>
        </w:rPr>
        <w:t>9.1</w:t>
      </w:r>
      <w:r>
        <w:rPr>
          <w:rFonts w:hint="eastAsia" w:hAnsi="宋体" w:cs="宋体"/>
          <w:kern w:val="0"/>
        </w:rPr>
        <w:t>谈判单位递交响应文件截止时间、谈判会议</w:t>
      </w:r>
      <w:r>
        <w:rPr>
          <w:rFonts w:hint="eastAsia" w:hAnsi="宋体" w:cs="宋体"/>
        </w:rPr>
        <w:t>时间及地点见</w:t>
      </w:r>
      <w:r>
        <w:rPr>
          <w:rFonts w:hint="eastAsia" w:hAnsi="宋体" w:cs="宋体"/>
          <w:b/>
        </w:rPr>
        <w:t>前附表</w:t>
      </w:r>
      <w:r>
        <w:rPr>
          <w:rFonts w:hint="eastAsia" w:hAnsi="宋体" w:cs="宋体"/>
        </w:rPr>
        <w:t>。</w:t>
      </w:r>
    </w:p>
    <w:p>
      <w:pPr>
        <w:pStyle w:val="5"/>
        <w:keepNext w:val="0"/>
        <w:keepLines w:val="0"/>
        <w:spacing w:before="0" w:after="0" w:line="360" w:lineRule="auto"/>
        <w:rPr>
          <w:rFonts w:ascii="宋体" w:hAnsi="宋体" w:cs="宋体"/>
          <w:sz w:val="21"/>
          <w:szCs w:val="21"/>
        </w:rPr>
      </w:pPr>
      <w:bookmarkStart w:id="9" w:name="_Toc10627"/>
      <w:r>
        <w:rPr>
          <w:rFonts w:hint="eastAsia" w:ascii="宋体" w:hAnsi="宋体" w:cs="宋体"/>
          <w:sz w:val="21"/>
          <w:szCs w:val="21"/>
        </w:rPr>
        <w:t>三、响应文件</w:t>
      </w:r>
      <w:bookmarkEnd w:id="9"/>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10.1谈判单位应仔细阅读谈判文件的所有内容，按谈判文件的要求编制响应文件，并保证所提供的全部资料的真实性。</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5"/>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rPr>
        <w:t>11.1响应文件应包括下列内容：</w:t>
      </w:r>
    </w:p>
    <w:p>
      <w:pPr>
        <w:pStyle w:val="25"/>
        <w:adjustRightInd w:val="0"/>
        <w:snapToGrid w:val="0"/>
        <w:spacing w:line="360" w:lineRule="auto"/>
        <w:ind w:firstLine="420" w:firstLineChars="200"/>
        <w:rPr>
          <w:rFonts w:hAnsi="宋体" w:cs="宋体"/>
        </w:rPr>
      </w:pPr>
      <w:r>
        <w:rPr>
          <w:rFonts w:hint="eastAsia" w:hAnsi="宋体" w:cs="宋体"/>
        </w:rPr>
        <w:t>（1）谈判承诺书</w:t>
      </w:r>
    </w:p>
    <w:p>
      <w:pPr>
        <w:pStyle w:val="25"/>
        <w:adjustRightInd w:val="0"/>
        <w:snapToGrid w:val="0"/>
        <w:spacing w:line="360" w:lineRule="auto"/>
        <w:ind w:firstLine="420" w:firstLineChars="200"/>
        <w:rPr>
          <w:rFonts w:hAnsi="宋体" w:cs="宋体"/>
        </w:rPr>
      </w:pPr>
      <w:r>
        <w:rPr>
          <w:rFonts w:hint="eastAsia" w:hAnsi="宋体" w:cs="宋体"/>
        </w:rPr>
        <w:t>（2）法定代表人身份证明书</w:t>
      </w:r>
    </w:p>
    <w:p>
      <w:pPr>
        <w:pStyle w:val="25"/>
        <w:adjustRightInd w:val="0"/>
        <w:snapToGrid w:val="0"/>
        <w:spacing w:line="360" w:lineRule="auto"/>
        <w:ind w:firstLine="420" w:firstLineChars="200"/>
        <w:rPr>
          <w:rFonts w:hAnsi="宋体" w:cs="宋体"/>
        </w:rPr>
      </w:pPr>
      <w:r>
        <w:rPr>
          <w:rFonts w:hint="eastAsia" w:hAnsi="宋体" w:cs="宋体"/>
        </w:rPr>
        <w:t>（3）授权委托书</w:t>
      </w:r>
    </w:p>
    <w:p>
      <w:pPr>
        <w:pStyle w:val="25"/>
        <w:adjustRightInd w:val="0"/>
        <w:snapToGrid w:val="0"/>
        <w:spacing w:line="360" w:lineRule="auto"/>
        <w:ind w:firstLine="420" w:firstLineChars="200"/>
        <w:rPr>
          <w:rFonts w:hAnsi="宋体" w:cs="宋体"/>
        </w:rPr>
      </w:pPr>
      <w:r>
        <w:rPr>
          <w:rFonts w:hint="eastAsia" w:hAnsi="宋体" w:cs="宋体"/>
        </w:rPr>
        <w:t>（4）谈判单位资格条件证明文件</w:t>
      </w:r>
    </w:p>
    <w:p>
      <w:pPr>
        <w:pStyle w:val="25"/>
        <w:adjustRightInd w:val="0"/>
        <w:snapToGrid w:val="0"/>
        <w:spacing w:line="360" w:lineRule="auto"/>
        <w:ind w:firstLine="420" w:firstLineChars="200"/>
        <w:rPr>
          <w:rFonts w:hAnsi="宋体" w:cs="宋体"/>
        </w:rPr>
      </w:pPr>
      <w:r>
        <w:rPr>
          <w:rFonts w:hint="eastAsia" w:hAnsi="宋体" w:cs="宋体"/>
        </w:rPr>
        <w:t>（5）服务方案（如有）</w:t>
      </w:r>
    </w:p>
    <w:p>
      <w:pPr>
        <w:pStyle w:val="25"/>
        <w:adjustRightInd w:val="0"/>
        <w:snapToGrid w:val="0"/>
        <w:spacing w:line="360" w:lineRule="auto"/>
        <w:ind w:firstLine="420" w:firstLineChars="200"/>
        <w:rPr>
          <w:rFonts w:hAnsi="宋体" w:cs="宋体"/>
        </w:rPr>
      </w:pPr>
      <w:r>
        <w:rPr>
          <w:rFonts w:hint="eastAsia" w:hAnsi="宋体" w:cs="宋体"/>
        </w:rPr>
        <w:t>（6）报价一览表</w:t>
      </w:r>
    </w:p>
    <w:p>
      <w:pPr>
        <w:pStyle w:val="25"/>
        <w:adjustRightInd w:val="0"/>
        <w:snapToGrid w:val="0"/>
        <w:spacing w:line="360" w:lineRule="auto"/>
        <w:ind w:firstLine="420" w:firstLineChars="200"/>
        <w:rPr>
          <w:rFonts w:hAnsi="宋体" w:cs="宋体"/>
        </w:rPr>
      </w:pPr>
      <w:r>
        <w:rPr>
          <w:rFonts w:hint="eastAsia" w:hAnsi="宋体" w:cs="宋体"/>
        </w:rPr>
        <w:t>（7）分项报价表</w:t>
      </w:r>
    </w:p>
    <w:p>
      <w:pPr>
        <w:pStyle w:val="25"/>
        <w:adjustRightInd w:val="0"/>
        <w:snapToGrid w:val="0"/>
        <w:spacing w:line="360" w:lineRule="auto"/>
        <w:ind w:firstLine="420" w:firstLineChars="200"/>
        <w:rPr>
          <w:rFonts w:hAnsi="宋体" w:cs="宋体"/>
        </w:rPr>
      </w:pPr>
      <w:r>
        <w:rPr>
          <w:rFonts w:hint="eastAsia" w:hAnsi="宋体" w:cs="宋体"/>
        </w:rPr>
        <w:t>（8）其他资料（如有）</w:t>
      </w:r>
    </w:p>
    <w:p>
      <w:pPr>
        <w:pStyle w:val="25"/>
        <w:adjustRightInd w:val="0"/>
        <w:snapToGrid w:val="0"/>
        <w:spacing w:line="360" w:lineRule="auto"/>
        <w:ind w:firstLine="420" w:firstLineChars="200"/>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rPr>
      </w:pPr>
      <w:r>
        <w:rPr>
          <w:rFonts w:hint="eastAsia" w:ascii="宋体" w:hAnsi="宋体" w:cs="宋体"/>
        </w:rPr>
        <w:t>11.3</w:t>
      </w:r>
      <w:r>
        <w:rPr>
          <w:rFonts w:hint="eastAsia" w:ascii="宋体" w:hAnsi="宋体" w:cs="宋体"/>
          <w:szCs w:val="21"/>
        </w:rPr>
        <w:t>谈判单位无论成交与否，其递交的响应文件均不予退还。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20" w:firstLineChars="200"/>
        <w:rPr>
          <w:rFonts w:ascii="宋体" w:hAnsi="宋体" w:cs="宋体"/>
        </w:rPr>
      </w:pPr>
      <w:r>
        <w:rPr>
          <w:rFonts w:hint="eastAsia" w:ascii="宋体" w:hAnsi="宋体" w:cs="宋体"/>
        </w:rPr>
        <w:t>12.1谈判单位应按</w:t>
      </w:r>
      <w:r>
        <w:rPr>
          <w:rFonts w:hint="eastAsia" w:ascii="宋体" w:hAnsi="宋体" w:cs="宋体"/>
          <w:szCs w:val="21"/>
        </w:rPr>
        <w:t>第六章</w:t>
      </w:r>
      <w:r>
        <w:rPr>
          <w:rFonts w:hint="eastAsia" w:ascii="宋体" w:hAnsi="宋体" w:cs="宋体"/>
        </w:rPr>
        <w:t>“响应文件格式”的要求在报价文件中进行报价。</w:t>
      </w:r>
      <w:r>
        <w:rPr>
          <w:rFonts w:hint="eastAsia" w:ascii="宋体" w:hAnsi="宋体" w:cs="宋体"/>
          <w:szCs w:val="21"/>
        </w:rPr>
        <w:t>谈判单位所报的总价及综合单价均不得超过谈判控制价</w:t>
      </w:r>
      <w:r>
        <w:rPr>
          <w:rFonts w:hint="eastAsia" w:ascii="宋体" w:hAnsi="宋体" w:cs="宋体"/>
        </w:rPr>
        <w:t>，</w:t>
      </w:r>
      <w:r>
        <w:rPr>
          <w:rFonts w:hint="eastAsia" w:ascii="宋体" w:hAnsi="宋体" w:cs="宋体"/>
          <w:szCs w:val="21"/>
        </w:rPr>
        <w:t>不超过谈判控制价的报价方为有效报价，</w:t>
      </w:r>
      <w:r>
        <w:rPr>
          <w:rFonts w:hint="eastAsia" w:ascii="宋体" w:hAnsi="宋体" w:cs="宋体"/>
        </w:rPr>
        <w:t>谈判时需明确税费，税率必须符合国家政策法规规定，合同支付时服务单位需开具经</w:t>
      </w:r>
      <w:r>
        <w:rPr>
          <w:rFonts w:hint="eastAsia" w:ascii="宋体" w:hAnsi="宋体" w:cs="宋体"/>
          <w:b/>
        </w:rPr>
        <w:t>采购单位</w:t>
      </w:r>
      <w:r>
        <w:rPr>
          <w:rFonts w:hint="eastAsia" w:ascii="宋体" w:hAnsi="宋体" w:cs="宋体"/>
        </w:rPr>
        <w:t>认可的合法完税单据。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12.2谈判单位应充分了解该项目的总体情况以及影响谈判报价的其他要素。</w:t>
      </w:r>
      <w:r>
        <w:rPr>
          <w:rFonts w:hint="eastAsia" w:ascii="宋体" w:hAnsi="宋体" w:cs="宋体"/>
          <w:b/>
          <w:szCs w:val="21"/>
        </w:rPr>
        <w:t>最终结算以长沙市轨道交通运营有限公司审核为准。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12.4本项目谈判控制价</w:t>
      </w:r>
      <w:r>
        <w:rPr>
          <w:rFonts w:hint="eastAsia" w:ascii="宋体" w:hAnsi="宋体" w:cs="宋体"/>
        </w:rPr>
        <w:t>见</w:t>
      </w:r>
      <w:r>
        <w:rPr>
          <w:rFonts w:hint="eastAsia" w:ascii="宋体" w:hAnsi="宋体" w:cs="宋体"/>
          <w:b/>
        </w:rPr>
        <w:t>前附表</w:t>
      </w:r>
      <w:r>
        <w:rPr>
          <w:rFonts w:hint="eastAsia" w:ascii="宋体" w:hAnsi="宋体" w:cs="宋体"/>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12.5除合同另有约定外，谈判报价作为中选价及合同价在合同履行期间是固定不变的，不受政策、法规变化以及汇率浮动、物价指数浮动等因素的影响。中选人不得以任何理由予以变更。</w:t>
      </w:r>
      <w:r>
        <w:rPr>
          <w:rFonts w:hint="eastAsia" w:ascii="宋体" w:hAnsi="宋体" w:cs="宋体"/>
        </w:rPr>
        <w:t>以可变动价格提交的报价将被认为是非实质响应而被拒绝。</w:t>
      </w:r>
    </w:p>
    <w:p>
      <w:pPr>
        <w:pStyle w:val="25"/>
        <w:adjustRightInd w:val="0"/>
        <w:snapToGrid w:val="0"/>
        <w:spacing w:line="360" w:lineRule="auto"/>
        <w:ind w:firstLine="420" w:firstLineChars="200"/>
        <w:rPr>
          <w:rFonts w:hAnsi="宋体" w:cs="宋体"/>
        </w:rPr>
      </w:pPr>
      <w:r>
        <w:rPr>
          <w:rFonts w:hint="eastAsia" w:hAnsi="宋体" w:cs="宋体"/>
        </w:rPr>
        <w:t>12.6谈判单位递交两份或多份内容不同的报价文件，或在一份报价文件中对同一项目报有两个或多个报价，且未声明哪一个有效的，将被认为是非实质响应而被拒绝。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12.7最低报价不能作为中选的保证。</w:t>
      </w:r>
    </w:p>
    <w:p>
      <w:pPr>
        <w:adjustRightInd w:val="0"/>
        <w:snapToGrid w:val="0"/>
        <w:spacing w:line="360" w:lineRule="auto"/>
        <w:ind w:firstLine="420" w:firstLineChars="200"/>
        <w:rPr>
          <w:rFonts w:ascii="宋体" w:hAnsi="宋体" w:cs="宋体"/>
        </w:rPr>
      </w:pPr>
      <w:r>
        <w:rPr>
          <w:rFonts w:hint="eastAsia" w:ascii="宋体" w:hAnsi="宋体" w:cs="宋体"/>
          <w:szCs w:val="21"/>
        </w:rPr>
        <w:t>12.8本项目采用总价方式</w:t>
      </w:r>
      <w:r>
        <w:rPr>
          <w:rFonts w:hint="eastAsia" w:ascii="宋体" w:hAnsi="宋体" w:cs="宋体"/>
          <w:kern w:val="0"/>
          <w:szCs w:val="21"/>
        </w:rPr>
        <w:t>，</w:t>
      </w:r>
      <w:r>
        <w:rPr>
          <w:rFonts w:hint="eastAsia" w:ascii="宋体" w:hAnsi="宋体" w:cs="宋体"/>
          <w:szCs w:val="21"/>
        </w:rPr>
        <w:t>合同总价包括人工、管理、财务、含增值税在内的所有税费，以及为完成本项目所需的人员、办公、交通、差旅、文件、拟投入测试设备（工具）、培训、评审所有费用（会务费、资料费、专家咨询费、交通费、住宿费等）、各种规费、税费等所有费用，在项目实施中出现任何遗漏，均由乙方免费提供，甲方不再支付任何费用。最终结算价以甲方审定的结算价为准。</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w:t>
      </w:r>
      <w:r>
        <w:rPr>
          <w:rFonts w:hint="eastAsia" w:ascii="宋体" w:hAnsi="宋体" w:cs="宋体"/>
          <w:b/>
          <w:bCs/>
        </w:rPr>
        <w:t>响应文件</w:t>
      </w:r>
      <w:r>
        <w:rPr>
          <w:rFonts w:hint="eastAsia" w:ascii="宋体" w:hAnsi="宋体" w:cs="宋体"/>
          <w:b/>
          <w:bCs/>
          <w:szCs w:val="21"/>
        </w:rPr>
        <w:t>有效期</w:t>
      </w:r>
    </w:p>
    <w:p>
      <w:pPr>
        <w:adjustRightInd w:val="0"/>
        <w:snapToGrid w:val="0"/>
        <w:spacing w:line="360" w:lineRule="auto"/>
        <w:ind w:firstLine="420" w:firstLineChars="200"/>
        <w:jc w:val="left"/>
        <w:rPr>
          <w:rFonts w:ascii="宋体" w:hAnsi="宋体" w:cs="宋体"/>
        </w:rPr>
      </w:pPr>
      <w:r>
        <w:rPr>
          <w:rFonts w:hint="eastAsia" w:ascii="宋体" w:hAnsi="宋体" w:cs="宋体"/>
        </w:rPr>
        <w:t>13.1响应文件</w:t>
      </w:r>
      <w:r>
        <w:rPr>
          <w:rFonts w:hint="eastAsia" w:ascii="宋体" w:hAnsi="宋体" w:cs="宋体"/>
          <w:szCs w:val="21"/>
        </w:rPr>
        <w:t>有效期见</w:t>
      </w:r>
      <w:r>
        <w:rPr>
          <w:rFonts w:hint="eastAsia" w:ascii="宋体" w:hAnsi="宋体" w:cs="宋体"/>
          <w:b/>
        </w:rPr>
        <w:t>前附表</w:t>
      </w:r>
      <w:r>
        <w:rPr>
          <w:rFonts w:hint="eastAsia" w:ascii="宋体" w:hAnsi="宋体" w:cs="宋体"/>
          <w:szCs w:val="21"/>
        </w:rPr>
        <w:t>，在此期间</w:t>
      </w:r>
      <w:r>
        <w:rPr>
          <w:rFonts w:hint="eastAsia" w:ascii="宋体" w:hAnsi="宋体" w:cs="宋体"/>
        </w:rPr>
        <w:t>响应</w:t>
      </w:r>
      <w:r>
        <w:rPr>
          <w:rFonts w:hint="eastAsia" w:ascii="宋体" w:hAnsi="宋体" w:cs="宋体"/>
          <w:szCs w:val="21"/>
        </w:rPr>
        <w:t>文件对谈判单位具有法律约束力，</w:t>
      </w:r>
      <w:r>
        <w:rPr>
          <w:rFonts w:hint="eastAsia" w:ascii="宋体" w:hAnsi="宋体" w:cs="宋体"/>
        </w:rPr>
        <w:t>从</w:t>
      </w:r>
      <w:r>
        <w:rPr>
          <w:rFonts w:hint="eastAsia" w:ascii="宋体" w:hAnsi="宋体" w:cs="宋体"/>
          <w:b/>
        </w:rPr>
        <w:t>前附表</w:t>
      </w:r>
      <w:r>
        <w:rPr>
          <w:rFonts w:hint="eastAsia" w:ascii="宋体" w:hAnsi="宋体" w:cs="宋体"/>
        </w:rPr>
        <w:t>规定的</w:t>
      </w:r>
      <w:r>
        <w:rPr>
          <w:rFonts w:hint="eastAsia" w:ascii="宋体" w:hAnsi="宋体" w:cs="宋体"/>
          <w:kern w:val="0"/>
          <w:szCs w:val="21"/>
        </w:rPr>
        <w:t>响应文件递交截止时间</w:t>
      </w:r>
      <w:r>
        <w:rPr>
          <w:rFonts w:hint="eastAsia" w:ascii="宋体" w:hAnsi="宋体" w:cs="宋体"/>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215"/>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第六章</w:t>
      </w:r>
      <w:r>
        <w:rPr>
          <w:rFonts w:hint="eastAsia" w:hAnsi="宋体" w:cs="宋体"/>
          <w:sz w:val="21"/>
          <w:szCs w:val="21"/>
        </w:rPr>
        <w:t>“响应文件格式”进行编写，如有必要，可以增加附页，作为响应文件的组成部分。</w:t>
      </w:r>
    </w:p>
    <w:p>
      <w:pPr>
        <w:pStyle w:val="25"/>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第六章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第六章</w:t>
      </w:r>
      <w:r>
        <w:rPr>
          <w:rFonts w:hint="eastAsia" w:hAnsi="宋体" w:cs="宋体"/>
        </w:rPr>
        <w:t>“响应文件格式”的要求。</w:t>
      </w:r>
    </w:p>
    <w:p>
      <w:pPr>
        <w:pStyle w:val="25"/>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谈判单位名称）。响应文件正本和副本的封面上应清楚地标记“正本”或“副本”的字样，若响应文件副本为正本的复印件，还需在谈判文件要求盖章处加盖单位公章。当正本和副本有差异时，以正本为准。</w:t>
      </w:r>
    </w:p>
    <w:p>
      <w:pPr>
        <w:pStyle w:val="5"/>
        <w:keepNext w:val="0"/>
        <w:keepLines w:val="0"/>
        <w:spacing w:before="0" w:after="0" w:line="360" w:lineRule="auto"/>
        <w:rPr>
          <w:rFonts w:ascii="宋体" w:hAnsi="宋体" w:cs="宋体"/>
          <w:sz w:val="21"/>
          <w:szCs w:val="21"/>
        </w:rPr>
      </w:pPr>
      <w:bookmarkStart w:id="10" w:name="_Toc29460"/>
      <w:r>
        <w:rPr>
          <w:rFonts w:hint="eastAsia" w:ascii="宋体" w:hAnsi="宋体" w:cs="宋体"/>
          <w:sz w:val="21"/>
          <w:szCs w:val="21"/>
        </w:rPr>
        <w:t>四、响应文件的递交</w:t>
      </w:r>
      <w:bookmarkEnd w:id="10"/>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jc w:val="left"/>
        <w:rPr>
          <w:rFonts w:ascii="宋体" w:hAnsi="宋体" w:cs="宋体"/>
          <w:b/>
          <w:bCs/>
          <w:szCs w:val="21"/>
        </w:rPr>
      </w:pPr>
      <w:r>
        <w:rPr>
          <w:rFonts w:hint="eastAsia" w:ascii="宋体" w:hAnsi="宋体" w:cs="宋体"/>
        </w:rPr>
        <w:t>15.1谈判单位须将响应文件一正两副与电子文件一起密封包装。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jc w:val="left"/>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p>
    <w:tbl>
      <w:tblPr>
        <w:tblStyle w:val="46"/>
        <w:tblW w:w="79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jc w:val="center"/>
        </w:trPr>
        <w:tc>
          <w:tcPr>
            <w:tcW w:w="7938" w:type="dxa"/>
          </w:tcPr>
          <w:p>
            <w:pPr>
              <w:spacing w:line="360" w:lineRule="auto"/>
              <w:rPr>
                <w:rFonts w:ascii="宋体" w:hAnsi="宋体" w:cs="宋体"/>
                <w:szCs w:val="21"/>
                <w:u w:val="single"/>
              </w:rPr>
            </w:pPr>
            <w:r>
              <w:rPr>
                <w:rFonts w:hint="eastAsia" w:ascii="宋体" w:hAnsi="宋体" w:cs="宋体"/>
                <w:szCs w:val="21"/>
              </w:rPr>
              <w:t>采购单位：</w:t>
            </w:r>
          </w:p>
          <w:p>
            <w:pPr>
              <w:spacing w:line="360" w:lineRule="auto"/>
              <w:rPr>
                <w:rFonts w:ascii="宋体" w:hAnsi="宋体" w:cs="宋体"/>
                <w:szCs w:val="21"/>
                <w:u w:val="single"/>
              </w:rPr>
            </w:pPr>
            <w:r>
              <w:rPr>
                <w:rFonts w:hint="eastAsia" w:ascii="宋体" w:hAnsi="宋体" w:cs="宋体"/>
                <w:szCs w:val="21"/>
              </w:rPr>
              <w:t>项目名称：</w:t>
            </w:r>
          </w:p>
          <w:p>
            <w:pPr>
              <w:spacing w:line="360" w:lineRule="auto"/>
              <w:rPr>
                <w:rFonts w:ascii="宋体" w:hAnsi="宋体" w:cs="宋体"/>
                <w:szCs w:val="21"/>
                <w:u w:val="single"/>
              </w:rPr>
            </w:pPr>
            <w:r>
              <w:rPr>
                <w:rFonts w:hint="eastAsia" w:ascii="宋体" w:hAnsi="宋体" w:cs="宋体"/>
                <w:szCs w:val="21"/>
              </w:rPr>
              <w:t>谈判单位：</w:t>
            </w:r>
            <w:r>
              <w:rPr>
                <w:rFonts w:hint="eastAsia" w:ascii="宋体" w:hAnsi="宋体" w:cs="宋体"/>
                <w:szCs w:val="21"/>
                <w:u w:val="single"/>
              </w:rPr>
              <w:t xml:space="preserve">（填写单位名称并加盖单位公章）         </w:t>
            </w:r>
          </w:p>
          <w:p>
            <w:pPr>
              <w:spacing w:line="360" w:lineRule="auto"/>
              <w:ind w:firstLine="840" w:firstLineChars="400"/>
              <w:rPr>
                <w:rFonts w:ascii="宋体" w:hAnsi="宋体" w:cs="宋体"/>
                <w:szCs w:val="21"/>
              </w:rPr>
            </w:pPr>
            <w:r>
              <w:rPr>
                <w:rFonts w:hint="eastAsia" w:ascii="宋体" w:hAnsi="宋体" w:cs="宋体"/>
                <w:bCs/>
                <w:szCs w:val="21"/>
              </w:rPr>
              <w:t>年     月     日</w:t>
            </w:r>
          </w:p>
        </w:tc>
      </w:tr>
    </w:tbl>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17.响应文件的递交</w:t>
      </w:r>
    </w:p>
    <w:p>
      <w:pPr>
        <w:adjustRightInd w:val="0"/>
        <w:snapToGrid w:val="0"/>
        <w:spacing w:line="360" w:lineRule="auto"/>
        <w:ind w:firstLine="411" w:firstLineChars="196"/>
        <w:rPr>
          <w:rFonts w:ascii="宋体" w:hAnsi="宋体" w:cs="宋体"/>
          <w:kern w:val="0"/>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rPr>
        <w:t>在截止时间后送达的响应文件，采购单位应当拒收。</w:t>
      </w:r>
    </w:p>
    <w:p>
      <w:pPr>
        <w:adjustRightInd w:val="0"/>
        <w:snapToGrid w:val="0"/>
        <w:spacing w:line="360" w:lineRule="auto"/>
        <w:ind w:firstLine="411" w:firstLineChars="196"/>
        <w:rPr>
          <w:rFonts w:ascii="宋体" w:hAnsi="宋体" w:cs="宋体"/>
          <w:b/>
          <w:sz w:val="24"/>
        </w:rPr>
      </w:pPr>
      <w:r>
        <w:rPr>
          <w:rFonts w:hint="eastAsia" w:ascii="宋体" w:hAnsi="宋体" w:cs="宋体"/>
          <w:bCs/>
          <w:szCs w:val="21"/>
        </w:rPr>
        <w:t>17.2采购单位在</w:t>
      </w:r>
      <w:r>
        <w:rPr>
          <w:rFonts w:hint="eastAsia" w:ascii="宋体" w:hAnsi="宋体" w:cs="宋体"/>
          <w:b/>
          <w:bCs/>
          <w:szCs w:val="21"/>
        </w:rPr>
        <w:t>前附表</w:t>
      </w:r>
      <w:r>
        <w:rPr>
          <w:rFonts w:hint="eastAsia" w:ascii="宋体" w:hAnsi="宋体" w:cs="宋体"/>
          <w:bCs/>
          <w:szCs w:val="21"/>
        </w:rPr>
        <w:t>规定的谈判时间和地点，组织谈判单位签到并接收谈判文件。</w:t>
      </w:r>
    </w:p>
    <w:p>
      <w:pPr>
        <w:pStyle w:val="5"/>
        <w:keepNext w:val="0"/>
        <w:keepLines w:val="0"/>
        <w:spacing w:before="0" w:after="0" w:line="360" w:lineRule="auto"/>
        <w:rPr>
          <w:rFonts w:ascii="宋体" w:hAnsi="宋体" w:cs="宋体"/>
          <w:sz w:val="21"/>
          <w:szCs w:val="21"/>
        </w:rPr>
      </w:pPr>
      <w:bookmarkStart w:id="11" w:name="_Toc13572"/>
      <w:r>
        <w:rPr>
          <w:rFonts w:hint="eastAsia" w:ascii="宋体" w:hAnsi="宋体" w:cs="宋体"/>
          <w:sz w:val="21"/>
          <w:szCs w:val="21"/>
        </w:rPr>
        <w:t>五、响应文件的评审</w:t>
      </w:r>
      <w:bookmarkEnd w:id="11"/>
    </w:p>
    <w:p>
      <w:pPr>
        <w:adjustRightInd w:val="0"/>
        <w:snapToGrid w:val="0"/>
        <w:spacing w:line="360" w:lineRule="auto"/>
        <w:ind w:firstLine="411" w:firstLineChars="196"/>
        <w:rPr>
          <w:rFonts w:ascii="宋体" w:hAnsi="宋体" w:cs="宋体"/>
          <w:b/>
          <w:sz w:val="24"/>
        </w:rPr>
      </w:pPr>
      <w:r>
        <w:rPr>
          <w:rFonts w:hint="eastAsia" w:ascii="宋体" w:hAnsi="宋体" w:cs="宋体"/>
          <w:szCs w:val="21"/>
        </w:rPr>
        <w:t>18.</w:t>
      </w:r>
      <w:r>
        <w:rPr>
          <w:rFonts w:hint="eastAsia" w:ascii="宋体" w:hAnsi="宋体" w:cs="宋体"/>
          <w:bCs/>
          <w:szCs w:val="21"/>
        </w:rPr>
        <w:t>评审由谈判评审小组负责，谈判评审小组应按照本谈判文件第三章“评审办法及标准”的内容和程序对响应文件进行评审。</w:t>
      </w:r>
    </w:p>
    <w:p>
      <w:pPr>
        <w:pStyle w:val="5"/>
        <w:keepNext w:val="0"/>
        <w:keepLines w:val="0"/>
        <w:spacing w:before="0" w:after="0" w:line="360" w:lineRule="auto"/>
        <w:rPr>
          <w:rFonts w:ascii="宋体" w:hAnsi="宋体" w:cs="宋体"/>
          <w:sz w:val="21"/>
          <w:szCs w:val="21"/>
        </w:rPr>
      </w:pPr>
      <w:bookmarkStart w:id="12" w:name="_Toc17723"/>
      <w:r>
        <w:rPr>
          <w:rFonts w:hint="eastAsia" w:ascii="宋体" w:hAnsi="宋体" w:cs="宋体"/>
          <w:sz w:val="21"/>
          <w:szCs w:val="21"/>
        </w:rPr>
        <w:t>六、响应文件的澄清、说明及补正</w:t>
      </w:r>
      <w:bookmarkEnd w:id="12"/>
    </w:p>
    <w:p>
      <w:pPr>
        <w:adjustRightInd w:val="0"/>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19.澄清</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adjustRightInd w:val="0"/>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20.说明及补正</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20.2谈判单位对响应文件的澄清不得改变谈判报价及实质内容。</w:t>
      </w:r>
    </w:p>
    <w:p>
      <w:pPr>
        <w:adjustRightInd w:val="0"/>
        <w:snapToGrid w:val="0"/>
        <w:spacing w:line="360" w:lineRule="auto"/>
        <w:ind w:firstLine="420" w:firstLineChars="200"/>
        <w:jc w:val="left"/>
        <w:rPr>
          <w:rFonts w:ascii="宋体" w:hAnsi="宋体" w:cs="宋体"/>
          <w:b/>
          <w:sz w:val="24"/>
        </w:rPr>
      </w:pPr>
      <w:r>
        <w:rPr>
          <w:rFonts w:hint="eastAsia" w:ascii="宋体" w:hAnsi="宋体" w:cs="宋体"/>
          <w:kern w:val="0"/>
          <w:szCs w:val="21"/>
        </w:rPr>
        <w:t>20.3与谈判文件有重大偏离的响应文件将被拒绝。重大偏离指谈判总报价、谈判有限期、服务期明显不能满足谈判文件的要求。这些偏离不允许在响应文件递交截止时间之后修正。</w:t>
      </w:r>
    </w:p>
    <w:p>
      <w:pPr>
        <w:pStyle w:val="5"/>
        <w:keepNext w:val="0"/>
        <w:keepLines w:val="0"/>
        <w:spacing w:before="0" w:after="0" w:line="360" w:lineRule="auto"/>
        <w:rPr>
          <w:rFonts w:ascii="宋体" w:hAnsi="宋体" w:cs="宋体"/>
          <w:sz w:val="21"/>
          <w:szCs w:val="21"/>
        </w:rPr>
      </w:pPr>
      <w:bookmarkStart w:id="13" w:name="_Toc15543"/>
      <w:r>
        <w:rPr>
          <w:rFonts w:hint="eastAsia" w:ascii="宋体" w:hAnsi="宋体" w:cs="宋体"/>
          <w:sz w:val="21"/>
          <w:szCs w:val="21"/>
        </w:rPr>
        <w:t>七、中选结果与授予合同</w:t>
      </w:r>
      <w:bookmarkEnd w:id="13"/>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21.中选信息的公布</w:t>
      </w:r>
    </w:p>
    <w:p>
      <w:pPr>
        <w:pStyle w:val="25"/>
        <w:adjustRightInd w:val="0"/>
        <w:snapToGrid w:val="0"/>
        <w:spacing w:line="360" w:lineRule="auto"/>
        <w:ind w:firstLine="420" w:firstLineChars="200"/>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5"/>
        <w:adjustRightInd w:val="0"/>
        <w:snapToGrid w:val="0"/>
        <w:spacing w:line="360" w:lineRule="auto"/>
        <w:ind w:left="420" w:leftChars="200"/>
        <w:rPr>
          <w:rFonts w:hAnsi="宋体" w:cs="宋体"/>
          <w:b/>
          <w:bCs/>
        </w:rPr>
      </w:pPr>
      <w:r>
        <w:rPr>
          <w:rFonts w:hint="eastAsia" w:hAnsi="宋体" w:cs="宋体"/>
          <w:b/>
          <w:bCs/>
        </w:rPr>
        <w:t>22.评审结果异议</w:t>
      </w:r>
      <w:r>
        <w:rPr>
          <w:rFonts w:hint="eastAsia" w:hAnsi="宋体" w:cs="宋体"/>
          <w:kern w:val="0"/>
          <w:sz w:val="24"/>
          <w:szCs w:val="24"/>
        </w:rPr>
        <w:br w:type="textWrapping"/>
      </w:r>
      <w:r>
        <w:rPr>
          <w:rFonts w:hint="eastAsia" w:hAnsi="宋体" w:cs="宋体"/>
        </w:rPr>
        <w:t>22.1谈判单位对评审结果有异议的，应当在结果公示期间提出。</w:t>
      </w:r>
      <w:r>
        <w:rPr>
          <w:rFonts w:hint="eastAsia" w:hAnsi="宋体" w:cs="宋体"/>
        </w:rPr>
        <w:br w:type="textWrapping"/>
      </w:r>
      <w:r>
        <w:rPr>
          <w:rFonts w:hint="eastAsia" w:hAnsi="宋体" w:cs="宋体"/>
          <w:b/>
          <w:bCs/>
        </w:rPr>
        <w:t>23.中选通知</w:t>
      </w:r>
    </w:p>
    <w:p>
      <w:pPr>
        <w:pStyle w:val="25"/>
        <w:adjustRightInd w:val="0"/>
        <w:snapToGrid w:val="0"/>
        <w:spacing w:line="360" w:lineRule="auto"/>
        <w:ind w:firstLine="420" w:firstLineChars="200"/>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24.签订合同</w:t>
      </w:r>
    </w:p>
    <w:p>
      <w:pPr>
        <w:pStyle w:val="25"/>
        <w:adjustRightInd w:val="0"/>
        <w:snapToGrid w:val="0"/>
        <w:spacing w:line="360" w:lineRule="auto"/>
        <w:ind w:firstLine="420" w:firstLineChars="200"/>
        <w:rPr>
          <w:rFonts w:hAnsi="宋体" w:cs="宋体"/>
        </w:rPr>
      </w:pPr>
      <w:r>
        <w:rPr>
          <w:rFonts w:hint="eastAsia" w:hAnsi="宋体" w:cs="宋体"/>
        </w:rPr>
        <w:t>24.1谈判文件、中选单位的响应文件及其补充的文件等均为签订合同的依据。</w:t>
      </w:r>
    </w:p>
    <w:p>
      <w:pPr>
        <w:pStyle w:val="25"/>
        <w:adjustRightInd w:val="0"/>
        <w:snapToGrid w:val="0"/>
        <w:spacing w:line="360" w:lineRule="auto"/>
        <w:ind w:firstLine="420" w:firstLineChars="200"/>
        <w:rPr>
          <w:rFonts w:hAnsi="宋体" w:cs="宋体"/>
        </w:rPr>
      </w:pPr>
      <w:r>
        <w:rPr>
          <w:rFonts w:hint="eastAsia" w:hAnsi="宋体" w:cs="宋体"/>
        </w:rPr>
        <w:t>24.2中选单位应当在中选通知书发出后及时与采购单位签订合同。</w:t>
      </w:r>
    </w:p>
    <w:p>
      <w:pPr>
        <w:pStyle w:val="25"/>
        <w:adjustRightInd w:val="0"/>
        <w:snapToGrid w:val="0"/>
        <w:spacing w:line="360" w:lineRule="auto"/>
        <w:ind w:firstLine="420" w:firstLineChars="200"/>
        <w:rPr>
          <w:rFonts w:hAnsi="宋体" w:cs="宋体"/>
        </w:rPr>
      </w:pPr>
      <w:r>
        <w:rPr>
          <w:rFonts w:hint="eastAsia" w:hAnsi="宋体" w:cs="宋体"/>
        </w:rPr>
        <w:t>24.3中选单位应当按照合同约定履行义务。</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25.1对采购单位的纪律要求</w:t>
      </w:r>
    </w:p>
    <w:p>
      <w:pPr>
        <w:pStyle w:val="215"/>
        <w:jc w:val="both"/>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25.2对谈判单位的纪律要求</w:t>
      </w:r>
    </w:p>
    <w:p>
      <w:pPr>
        <w:pStyle w:val="215"/>
        <w:ind w:firstLine="420" w:firstLineChars="200"/>
        <w:jc w:val="both"/>
        <w:rPr>
          <w:rFonts w:hAnsi="宋体" w:cs="宋体"/>
          <w:sz w:val="21"/>
          <w:szCs w:val="21"/>
        </w:rPr>
      </w:pPr>
      <w:r>
        <w:rPr>
          <w:rFonts w:hint="eastAsia" w:hAnsi="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215"/>
        <w:ind w:firstLine="420" w:firstLineChars="200"/>
        <w:jc w:val="both"/>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14" w:name="page32"/>
      <w:bookmarkEnd w:id="14"/>
      <w:r>
        <w:rPr>
          <w:rFonts w:hint="eastAsia" w:hAnsi="宋体" w:cs="宋体"/>
          <w:sz w:val="21"/>
          <w:szCs w:val="21"/>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5"/>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5"/>
        <w:keepNext w:val="0"/>
        <w:keepLines w:val="0"/>
        <w:spacing w:before="0" w:after="0" w:line="360" w:lineRule="auto"/>
        <w:rPr>
          <w:rFonts w:ascii="宋体" w:hAnsi="宋体" w:cs="宋体"/>
          <w:sz w:val="21"/>
          <w:szCs w:val="21"/>
        </w:rPr>
      </w:pPr>
      <w:bookmarkStart w:id="15" w:name="_Toc8013"/>
      <w:r>
        <w:rPr>
          <w:rFonts w:hint="eastAsia" w:ascii="宋体" w:hAnsi="宋体" w:cs="宋体"/>
          <w:sz w:val="21"/>
          <w:szCs w:val="21"/>
        </w:rPr>
        <w:t>八、其他</w:t>
      </w:r>
      <w:bookmarkEnd w:id="15"/>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pPr>
        <w:adjustRightInd w:val="0"/>
        <w:snapToGrid w:val="0"/>
        <w:spacing w:line="360" w:lineRule="auto"/>
        <w:ind w:firstLine="420" w:firstLineChars="200"/>
        <w:rPr>
          <w:rFonts w:ascii="宋体" w:hAnsi="宋体" w:cs="宋体"/>
          <w:szCs w:val="21"/>
        </w:rPr>
        <w:sectPr>
          <w:footerReference r:id="rId8" w:type="first"/>
          <w:footerReference r:id="rId7" w:type="default"/>
          <w:pgSz w:w="12240" w:h="15840"/>
          <w:pgMar w:top="1440" w:right="1800" w:bottom="1440" w:left="1800" w:header="720" w:footer="720" w:gutter="0"/>
          <w:cols w:space="720" w:num="1"/>
          <w:titlePg/>
          <w:docGrid w:type="lines" w:linePitch="323" w:charSpace="0"/>
        </w:sectPr>
      </w:pPr>
    </w:p>
    <w:p>
      <w:pPr>
        <w:adjustRightInd w:val="0"/>
        <w:snapToGrid w:val="0"/>
        <w:spacing w:line="360" w:lineRule="auto"/>
        <w:rPr>
          <w:rFonts w:ascii="宋体" w:hAnsi="宋体" w:cs="宋体"/>
          <w:b/>
          <w:szCs w:val="21"/>
        </w:rPr>
      </w:pPr>
      <w:r>
        <w:rPr>
          <w:rFonts w:hint="eastAsia" w:ascii="宋体" w:hAnsi="宋体" w:cs="宋体"/>
          <w:b/>
          <w:szCs w:val="21"/>
        </w:rPr>
        <w:t>附件一：采购代理服务费收费标准</w:t>
      </w:r>
    </w:p>
    <w:p>
      <w:pPr>
        <w:adjustRightInd w:val="0"/>
        <w:snapToGrid w:val="0"/>
        <w:spacing w:line="360" w:lineRule="auto"/>
        <w:jc w:val="left"/>
        <w:rPr>
          <w:rFonts w:ascii="宋体" w:hAnsi="宋体" w:cs="宋体"/>
          <w:b/>
          <w:sz w:val="30"/>
          <w:szCs w:val="30"/>
        </w:rPr>
      </w:pPr>
    </w:p>
    <w:p>
      <w:pPr>
        <w:adjustRightInd w:val="0"/>
        <w:snapToGrid w:val="0"/>
        <w:spacing w:line="360" w:lineRule="auto"/>
        <w:jc w:val="center"/>
        <w:rPr>
          <w:rFonts w:ascii="宋体" w:hAnsi="宋体" w:cs="宋体"/>
          <w:b/>
          <w:szCs w:val="21"/>
        </w:rPr>
      </w:pPr>
      <w:r>
        <w:rPr>
          <w:rFonts w:hint="eastAsia" w:ascii="宋体" w:hAnsi="宋体" w:cs="宋体"/>
          <w:b/>
          <w:szCs w:val="21"/>
        </w:rPr>
        <w:t>采购代理服务收费参照汇率表</w:t>
      </w:r>
    </w:p>
    <w:tbl>
      <w:tblPr>
        <w:tblStyle w:val="46"/>
        <w:tblW w:w="93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shd w:val="clear" w:color="auto" w:fill="auto"/>
            <w:vAlign w:val="center"/>
          </w:tcPr>
          <w:p>
            <w:pPr>
              <w:adjustRightInd w:val="0"/>
              <w:snapToGrid w:val="0"/>
              <w:jc w:val="right"/>
              <w:rPr>
                <w:rFonts w:ascii="宋体" w:hAnsi="宋体" w:cs="宋体"/>
                <w:bCs/>
                <w:szCs w:val="21"/>
              </w:rPr>
            </w:pPr>
            <w:r>
              <w:rPr>
                <w:rFonts w:hint="eastAsia" w:ascii="宋体" w:hAnsi="宋体" w:cs="宋体"/>
                <w:bCs/>
                <w:szCs w:val="21"/>
              </w:rPr>
              <w:t>汇率</w:t>
            </w:r>
          </w:p>
          <w:p>
            <w:pPr>
              <w:adjustRightInd w:val="0"/>
              <w:snapToGrid w:val="0"/>
              <w:rPr>
                <w:rFonts w:ascii="宋体" w:hAnsi="宋体" w:cs="宋体"/>
                <w:bCs/>
                <w:szCs w:val="21"/>
              </w:rPr>
            </w:pPr>
            <w:r>
              <w:rPr>
                <w:rFonts w:hint="eastAsia" w:ascii="宋体" w:hAnsi="宋体" w:cs="宋体"/>
                <w:bCs/>
                <w:szCs w:val="21"/>
              </w:rPr>
              <w:t>中选金额</w:t>
            </w:r>
          </w:p>
        </w:tc>
        <w:tc>
          <w:tcPr>
            <w:tcW w:w="2451" w:type="dxa"/>
            <w:tcBorders>
              <w:top w:val="single" w:color="auto" w:sz="12" w:space="0"/>
            </w:tcBorders>
            <w:shd w:val="clear" w:color="auto" w:fill="auto"/>
            <w:vAlign w:val="center"/>
          </w:tcPr>
          <w:p>
            <w:pPr>
              <w:adjustRightInd w:val="0"/>
              <w:snapToGrid w:val="0"/>
              <w:jc w:val="center"/>
              <w:rPr>
                <w:rFonts w:ascii="宋体" w:hAnsi="宋体" w:cs="宋体"/>
                <w:bCs/>
                <w:szCs w:val="21"/>
              </w:rPr>
            </w:pPr>
            <w:r>
              <w:rPr>
                <w:rFonts w:hint="eastAsia" w:ascii="宋体" w:hAnsi="宋体" w:cs="宋体"/>
                <w:bCs/>
                <w:szCs w:val="21"/>
              </w:rPr>
              <w:t>货物采购</w:t>
            </w:r>
          </w:p>
        </w:tc>
        <w:tc>
          <w:tcPr>
            <w:tcW w:w="2325" w:type="dxa"/>
            <w:tcBorders>
              <w:top w:val="single" w:color="auto" w:sz="12" w:space="0"/>
            </w:tcBorders>
            <w:shd w:val="clear" w:color="auto" w:fill="auto"/>
            <w:vAlign w:val="center"/>
          </w:tcPr>
          <w:p>
            <w:pPr>
              <w:adjustRightInd w:val="0"/>
              <w:snapToGrid w:val="0"/>
              <w:jc w:val="center"/>
              <w:rPr>
                <w:rFonts w:ascii="宋体" w:hAnsi="宋体" w:cs="宋体"/>
                <w:bCs/>
                <w:szCs w:val="21"/>
              </w:rPr>
            </w:pPr>
            <w:r>
              <w:rPr>
                <w:rFonts w:hint="eastAsia" w:ascii="宋体" w:hAnsi="宋体" w:cs="宋体"/>
                <w:bCs/>
                <w:szCs w:val="21"/>
              </w:rPr>
              <w:t>服务采购</w:t>
            </w:r>
          </w:p>
        </w:tc>
        <w:tc>
          <w:tcPr>
            <w:tcW w:w="2367" w:type="dxa"/>
            <w:tcBorders>
              <w:top w:val="single" w:color="auto" w:sz="12" w:space="0"/>
              <w:right w:val="single" w:color="auto" w:sz="12" w:space="0"/>
            </w:tcBorders>
            <w:shd w:val="clear" w:color="auto" w:fill="auto"/>
            <w:vAlign w:val="center"/>
          </w:tcPr>
          <w:p>
            <w:pPr>
              <w:adjustRightInd w:val="0"/>
              <w:snapToGrid w:val="0"/>
              <w:jc w:val="center"/>
              <w:rPr>
                <w:rFonts w:ascii="宋体" w:hAnsi="宋体" w:cs="宋体"/>
                <w:bCs/>
                <w:szCs w:val="21"/>
              </w:rPr>
            </w:pPr>
            <w:r>
              <w:rPr>
                <w:rFonts w:hint="eastAsia" w:ascii="宋体" w:hAnsi="宋体" w:cs="宋体"/>
                <w:bCs/>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228" w:type="dxa"/>
            <w:tcBorders>
              <w:left w:val="single" w:color="auto" w:sz="12" w:space="0"/>
            </w:tcBorders>
            <w:shd w:val="clear" w:color="auto" w:fill="auto"/>
            <w:vAlign w:val="center"/>
          </w:tcPr>
          <w:p>
            <w:pPr>
              <w:adjustRightInd w:val="0"/>
              <w:snapToGrid w:val="0"/>
              <w:jc w:val="center"/>
              <w:rPr>
                <w:rFonts w:ascii="宋体" w:hAnsi="宋体" w:cs="宋体"/>
                <w:bCs/>
                <w:szCs w:val="21"/>
              </w:rPr>
            </w:pPr>
            <w:r>
              <w:rPr>
                <w:rFonts w:hint="eastAsia" w:ascii="宋体" w:hAnsi="宋体" w:cs="宋体"/>
                <w:bCs/>
                <w:szCs w:val="21"/>
              </w:rPr>
              <w:t>100万元以下</w:t>
            </w:r>
          </w:p>
        </w:tc>
        <w:tc>
          <w:tcPr>
            <w:tcW w:w="2451" w:type="dxa"/>
            <w:shd w:val="clear" w:color="auto" w:fill="auto"/>
            <w:vAlign w:val="center"/>
          </w:tcPr>
          <w:p>
            <w:pPr>
              <w:adjustRightInd w:val="0"/>
              <w:snapToGrid w:val="0"/>
              <w:jc w:val="center"/>
              <w:rPr>
                <w:rFonts w:ascii="宋体" w:hAnsi="宋体" w:cs="宋体"/>
                <w:bCs/>
                <w:szCs w:val="21"/>
              </w:rPr>
            </w:pPr>
            <w:r>
              <w:rPr>
                <w:rFonts w:hint="eastAsia" w:ascii="宋体" w:hAnsi="宋体" w:cs="宋体"/>
                <w:bCs/>
                <w:szCs w:val="21"/>
              </w:rPr>
              <w:t>1.5%</w:t>
            </w:r>
          </w:p>
        </w:tc>
        <w:tc>
          <w:tcPr>
            <w:tcW w:w="2325" w:type="dxa"/>
            <w:shd w:val="clear" w:color="auto" w:fill="auto"/>
            <w:vAlign w:val="center"/>
          </w:tcPr>
          <w:p>
            <w:pPr>
              <w:adjustRightInd w:val="0"/>
              <w:snapToGrid w:val="0"/>
              <w:jc w:val="center"/>
              <w:rPr>
                <w:rFonts w:ascii="宋体" w:hAnsi="宋体" w:cs="宋体"/>
                <w:bCs/>
                <w:szCs w:val="21"/>
              </w:rPr>
            </w:pPr>
            <w:r>
              <w:rPr>
                <w:rFonts w:hint="eastAsia" w:ascii="宋体" w:hAnsi="宋体" w:cs="宋体"/>
                <w:bCs/>
                <w:szCs w:val="21"/>
              </w:rPr>
              <w:t>1.5%</w:t>
            </w:r>
          </w:p>
        </w:tc>
        <w:tc>
          <w:tcPr>
            <w:tcW w:w="2367" w:type="dxa"/>
            <w:tcBorders>
              <w:right w:val="single" w:color="auto" w:sz="12" w:space="0"/>
            </w:tcBorders>
            <w:shd w:val="clear" w:color="auto" w:fill="auto"/>
            <w:vAlign w:val="center"/>
          </w:tcPr>
          <w:p>
            <w:pPr>
              <w:adjustRightInd w:val="0"/>
              <w:snapToGrid w:val="0"/>
              <w:jc w:val="center"/>
              <w:rPr>
                <w:rFonts w:ascii="宋体" w:hAnsi="宋体" w:cs="宋体"/>
                <w:bCs/>
                <w:szCs w:val="21"/>
              </w:rPr>
            </w:pPr>
            <w:r>
              <w:rPr>
                <w:rFonts w:hint="eastAsia" w:ascii="宋体" w:hAnsi="宋体" w:cs="宋体"/>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228" w:type="dxa"/>
            <w:tcBorders>
              <w:left w:val="single" w:color="auto" w:sz="12" w:space="0"/>
            </w:tcBorders>
            <w:shd w:val="clear" w:color="auto" w:fill="auto"/>
            <w:vAlign w:val="center"/>
          </w:tcPr>
          <w:p>
            <w:pPr>
              <w:adjustRightInd w:val="0"/>
              <w:snapToGrid w:val="0"/>
              <w:jc w:val="center"/>
              <w:rPr>
                <w:rFonts w:ascii="宋体" w:hAnsi="宋体" w:cs="宋体"/>
                <w:bCs/>
                <w:szCs w:val="21"/>
              </w:rPr>
            </w:pPr>
            <w:r>
              <w:rPr>
                <w:rFonts w:hint="eastAsia" w:ascii="宋体" w:hAnsi="宋体" w:cs="宋体"/>
                <w:bCs/>
                <w:szCs w:val="21"/>
              </w:rPr>
              <w:t>100～400万元</w:t>
            </w:r>
          </w:p>
        </w:tc>
        <w:tc>
          <w:tcPr>
            <w:tcW w:w="2451" w:type="dxa"/>
            <w:shd w:val="clear" w:color="auto" w:fill="auto"/>
            <w:vAlign w:val="center"/>
          </w:tcPr>
          <w:p>
            <w:pPr>
              <w:adjustRightInd w:val="0"/>
              <w:snapToGrid w:val="0"/>
              <w:jc w:val="center"/>
              <w:rPr>
                <w:rFonts w:ascii="宋体" w:hAnsi="宋体" w:cs="宋体"/>
                <w:bCs/>
                <w:szCs w:val="21"/>
              </w:rPr>
            </w:pPr>
            <w:r>
              <w:rPr>
                <w:rFonts w:hint="eastAsia" w:ascii="宋体" w:hAnsi="宋体" w:cs="宋体"/>
                <w:bCs/>
                <w:szCs w:val="21"/>
              </w:rPr>
              <w:t>1.1%</w:t>
            </w:r>
          </w:p>
        </w:tc>
        <w:tc>
          <w:tcPr>
            <w:tcW w:w="2325" w:type="dxa"/>
            <w:shd w:val="clear" w:color="auto" w:fill="auto"/>
            <w:vAlign w:val="center"/>
          </w:tcPr>
          <w:p>
            <w:pPr>
              <w:adjustRightInd w:val="0"/>
              <w:snapToGrid w:val="0"/>
              <w:jc w:val="center"/>
              <w:rPr>
                <w:rFonts w:ascii="宋体" w:hAnsi="宋体" w:cs="宋体"/>
                <w:bCs/>
                <w:szCs w:val="21"/>
              </w:rPr>
            </w:pPr>
            <w:r>
              <w:rPr>
                <w:rFonts w:hint="eastAsia" w:ascii="宋体" w:hAnsi="宋体" w:cs="宋体"/>
                <w:bCs/>
                <w:szCs w:val="21"/>
              </w:rPr>
              <w:t>0.8%</w:t>
            </w:r>
          </w:p>
        </w:tc>
        <w:tc>
          <w:tcPr>
            <w:tcW w:w="2367" w:type="dxa"/>
            <w:tcBorders>
              <w:right w:val="single" w:color="auto" w:sz="12" w:space="0"/>
            </w:tcBorders>
            <w:shd w:val="clear" w:color="auto" w:fill="auto"/>
            <w:vAlign w:val="center"/>
          </w:tcPr>
          <w:p>
            <w:pPr>
              <w:adjustRightInd w:val="0"/>
              <w:snapToGrid w:val="0"/>
              <w:jc w:val="center"/>
              <w:rPr>
                <w:rFonts w:ascii="宋体" w:hAnsi="宋体" w:cs="宋体"/>
                <w:bCs/>
                <w:szCs w:val="21"/>
              </w:rPr>
            </w:pPr>
            <w:r>
              <w:rPr>
                <w:rFonts w:hint="eastAsia" w:ascii="宋体" w:hAnsi="宋体" w:cs="宋体"/>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shd w:val="clear" w:color="auto" w:fill="auto"/>
            <w:vAlign w:val="center"/>
          </w:tcPr>
          <w:p>
            <w:pPr>
              <w:adjustRightInd w:val="0"/>
              <w:snapToGrid w:val="0"/>
              <w:jc w:val="center"/>
              <w:rPr>
                <w:rFonts w:ascii="宋体" w:hAnsi="宋体" w:cs="宋体"/>
                <w:bCs/>
                <w:szCs w:val="21"/>
              </w:rPr>
            </w:pPr>
            <w:r>
              <w:rPr>
                <w:rFonts w:hint="eastAsia" w:ascii="宋体" w:hAnsi="宋体" w:cs="宋体"/>
                <w:bCs/>
                <w:szCs w:val="21"/>
              </w:rPr>
              <w:t>备注</w:t>
            </w:r>
          </w:p>
        </w:tc>
        <w:tc>
          <w:tcPr>
            <w:tcW w:w="7143" w:type="dxa"/>
            <w:gridSpan w:val="3"/>
            <w:tcBorders>
              <w:left w:val="single" w:color="auto" w:sz="4" w:space="0"/>
              <w:bottom w:val="single" w:color="auto" w:sz="12" w:space="0"/>
              <w:right w:val="single" w:color="auto" w:sz="12" w:space="0"/>
            </w:tcBorders>
            <w:shd w:val="clear" w:color="auto" w:fill="auto"/>
            <w:vAlign w:val="center"/>
          </w:tcPr>
          <w:p>
            <w:pPr>
              <w:adjustRightInd w:val="0"/>
              <w:snapToGrid w:val="0"/>
              <w:spacing w:line="360" w:lineRule="auto"/>
              <w:jc w:val="left"/>
              <w:rPr>
                <w:rFonts w:ascii="宋体" w:hAnsi="宋体" w:cs="宋体"/>
                <w:bCs/>
                <w:szCs w:val="21"/>
              </w:rPr>
            </w:pPr>
            <w:r>
              <w:rPr>
                <w:rFonts w:hint="eastAsia" w:ascii="宋体" w:hAnsi="宋体" w:cs="宋体"/>
                <w:bCs/>
                <w:szCs w:val="21"/>
              </w:rPr>
              <w:t>采购代理服务费的收费标准为：以中选价为基数，按《采购代理服务收费参照汇率表》进行计算后，向中选单位收取。服务费超过2万元的，按2万元计取，服务费低于5000元的，按5000元计取。</w:t>
            </w:r>
          </w:p>
        </w:tc>
      </w:tr>
    </w:tbl>
    <w:p>
      <w:pPr>
        <w:adjustRightInd w:val="0"/>
        <w:snapToGrid w:val="0"/>
        <w:spacing w:line="360" w:lineRule="auto"/>
        <w:jc w:val="left"/>
        <w:rPr>
          <w:rFonts w:ascii="宋体" w:hAnsi="宋体" w:cs="宋体"/>
          <w:bCs/>
          <w:szCs w:val="21"/>
        </w:rPr>
      </w:pPr>
      <w:r>
        <w:rPr>
          <w:rFonts w:hint="eastAsia" w:ascii="宋体" w:hAnsi="宋体" w:cs="宋体"/>
          <w:bCs/>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100万元×1.0%＝1万元</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（300-100）万元×0.7%＝1.4万元</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合计收费＝1+1.4＝2.4（万元）</w:t>
      </w:r>
    </w:p>
    <w:p>
      <w:pPr>
        <w:pStyle w:val="3"/>
        <w:keepNext w:val="0"/>
        <w:rPr>
          <w:rFonts w:ascii="宋体" w:hAnsi="宋体" w:cs="宋体"/>
          <w:bCs w:val="0"/>
          <w:sz w:val="32"/>
          <w:szCs w:val="32"/>
        </w:rPr>
      </w:pPr>
      <w:bookmarkStart w:id="16" w:name="_Toc6171"/>
    </w:p>
    <w:p>
      <w:pPr>
        <w:pStyle w:val="3"/>
        <w:keepNext w:val="0"/>
        <w:rPr>
          <w:rFonts w:ascii="宋体" w:hAnsi="宋体" w:cs="宋体"/>
          <w:bCs w:val="0"/>
          <w:sz w:val="32"/>
          <w:szCs w:val="32"/>
        </w:rPr>
      </w:pPr>
    </w:p>
    <w:p>
      <w:pPr>
        <w:pStyle w:val="3"/>
        <w:keepNext w:val="0"/>
        <w:rPr>
          <w:rFonts w:ascii="宋体" w:hAnsi="宋体" w:cs="宋体"/>
          <w:bCs w:val="0"/>
          <w:sz w:val="32"/>
          <w:szCs w:val="32"/>
        </w:rPr>
      </w:pPr>
    </w:p>
    <w:p>
      <w:pPr>
        <w:pStyle w:val="3"/>
        <w:keepNext w:val="0"/>
        <w:rPr>
          <w:rFonts w:ascii="宋体" w:hAnsi="宋体" w:cs="宋体"/>
          <w:bCs w:val="0"/>
          <w:sz w:val="32"/>
          <w:szCs w:val="32"/>
        </w:rPr>
      </w:pPr>
    </w:p>
    <w:p>
      <w:pPr>
        <w:pStyle w:val="3"/>
        <w:keepNext w:val="0"/>
        <w:rPr>
          <w:rFonts w:ascii="宋体" w:hAnsi="宋体" w:cs="宋体"/>
          <w:bCs w:val="0"/>
          <w:sz w:val="32"/>
          <w:szCs w:val="32"/>
        </w:rPr>
      </w:pPr>
    </w:p>
    <w:p>
      <w:pPr>
        <w:pStyle w:val="3"/>
        <w:keepNext w:val="0"/>
        <w:rPr>
          <w:rFonts w:ascii="宋体" w:hAnsi="宋体" w:cs="宋体"/>
          <w:bCs w:val="0"/>
          <w:sz w:val="32"/>
          <w:szCs w:val="32"/>
        </w:rPr>
      </w:pPr>
    </w:p>
    <w:p>
      <w:pPr>
        <w:pStyle w:val="3"/>
        <w:keepNext w:val="0"/>
        <w:rPr>
          <w:rFonts w:ascii="宋体" w:hAnsi="宋体" w:cs="宋体"/>
          <w:bCs w:val="0"/>
          <w:sz w:val="32"/>
          <w:szCs w:val="32"/>
        </w:rPr>
      </w:pPr>
    </w:p>
    <w:p>
      <w:pPr>
        <w:pStyle w:val="3"/>
        <w:keepNext w:val="0"/>
        <w:rPr>
          <w:rFonts w:ascii="宋体" w:hAnsi="宋体" w:cs="宋体"/>
          <w:bCs w:val="0"/>
          <w:sz w:val="32"/>
          <w:szCs w:val="32"/>
        </w:rPr>
      </w:pPr>
    </w:p>
    <w:p>
      <w:pPr>
        <w:pStyle w:val="3"/>
        <w:keepNext w:val="0"/>
        <w:rPr>
          <w:rFonts w:ascii="宋体" w:hAnsi="宋体" w:cs="宋体"/>
          <w:bCs w:val="0"/>
          <w:sz w:val="32"/>
          <w:szCs w:val="32"/>
        </w:rPr>
      </w:pPr>
    </w:p>
    <w:p>
      <w:pPr>
        <w:pStyle w:val="3"/>
        <w:keepNext w:val="0"/>
        <w:rPr>
          <w:rFonts w:ascii="宋体" w:hAnsi="宋体" w:cs="宋体"/>
          <w:bCs w:val="0"/>
          <w:sz w:val="32"/>
          <w:szCs w:val="32"/>
        </w:rPr>
      </w:pPr>
    </w:p>
    <w:p>
      <w:pPr>
        <w:pStyle w:val="3"/>
        <w:keepNext w:val="0"/>
        <w:rPr>
          <w:rFonts w:ascii="宋体" w:hAnsi="宋体" w:cs="宋体"/>
          <w:bCs w:val="0"/>
          <w:sz w:val="32"/>
          <w:szCs w:val="32"/>
        </w:rPr>
      </w:pPr>
      <w:r>
        <w:rPr>
          <w:rFonts w:hint="eastAsia" w:ascii="宋体" w:hAnsi="宋体" w:cs="宋体"/>
          <w:bCs w:val="0"/>
          <w:sz w:val="32"/>
          <w:szCs w:val="32"/>
        </w:rPr>
        <w:t>第三章  评审办法及标准</w:t>
      </w:r>
      <w:bookmarkEnd w:id="16"/>
    </w:p>
    <w:p>
      <w:pPr>
        <w:adjustRightInd w:val="0"/>
        <w:snapToGrid w:val="0"/>
        <w:spacing w:line="360" w:lineRule="auto"/>
        <w:ind w:left="723" w:hanging="723" w:hangingChars="300"/>
        <w:rPr>
          <w:rFonts w:ascii="宋体" w:hAnsi="宋体" w:cs="宋体"/>
          <w:b/>
          <w:sz w:val="24"/>
        </w:rPr>
      </w:pP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一、评审办法</w:t>
      </w:r>
    </w:p>
    <w:p>
      <w:pPr>
        <w:adjustRightInd w:val="0"/>
        <w:snapToGrid w:val="0"/>
        <w:spacing w:line="360" w:lineRule="auto"/>
        <w:ind w:firstLine="411" w:firstLineChars="196"/>
        <w:rPr>
          <w:rFonts w:ascii="宋体" w:hAnsi="宋体" w:cs="宋体"/>
          <w:b/>
          <w:sz w:val="24"/>
        </w:rPr>
      </w:pPr>
      <w:r>
        <w:rPr>
          <w:rFonts w:hint="eastAsia" w:ascii="宋体" w:hAnsi="宋体" w:cs="宋体"/>
          <w:bCs/>
          <w:szCs w:val="21"/>
        </w:rPr>
        <w:t>1.本项目采用经符合性审查合格后的</w:t>
      </w:r>
      <w:r>
        <w:rPr>
          <w:rFonts w:hint="eastAsia" w:ascii="宋体" w:hAnsi="宋体" w:cs="宋体"/>
          <w:b/>
          <w:bCs/>
          <w:szCs w:val="21"/>
          <w:u w:val="single"/>
        </w:rPr>
        <w:t>最低价法</w:t>
      </w:r>
      <w:r>
        <w:rPr>
          <w:rFonts w:hint="eastAsia" w:ascii="宋体" w:hAnsi="宋体" w:cs="宋体"/>
          <w:b/>
          <w:bCs/>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二、谈判程序</w:t>
      </w:r>
    </w:p>
    <w:p>
      <w:pPr>
        <w:adjustRightInd w:val="0"/>
        <w:snapToGrid w:val="0"/>
        <w:spacing w:line="360" w:lineRule="auto"/>
        <w:ind w:firstLine="411" w:firstLineChars="196"/>
        <w:rPr>
          <w:rFonts w:ascii="宋体" w:hAnsi="宋体" w:cs="宋体"/>
          <w:bCs/>
          <w:szCs w:val="21"/>
        </w:rPr>
      </w:pPr>
      <w:r>
        <w:rPr>
          <w:rFonts w:hint="eastAsia" w:ascii="宋体" w:hAnsi="宋体" w:cs="宋体"/>
          <w:bCs/>
          <w:szCs w:val="21"/>
        </w:rPr>
        <w:t>2.采购单位在前附表内规定的谈判时间及地点组织谈判活动。谈判活动由采购单位、谈判单位代表参与。</w:t>
      </w:r>
    </w:p>
    <w:p>
      <w:pPr>
        <w:adjustRightInd w:val="0"/>
        <w:snapToGrid w:val="0"/>
        <w:spacing w:line="360" w:lineRule="auto"/>
        <w:ind w:firstLine="411" w:firstLineChars="196"/>
        <w:rPr>
          <w:rFonts w:ascii="宋体" w:hAnsi="宋体" w:cs="宋体"/>
          <w:b/>
          <w:sz w:val="24"/>
        </w:rPr>
      </w:pPr>
      <w:r>
        <w:rPr>
          <w:rFonts w:hint="eastAsia" w:ascii="宋体" w:hAnsi="宋体" w:cs="宋体"/>
          <w:bCs/>
          <w:szCs w:val="21"/>
        </w:rPr>
        <w:t>3．谈判程序分为：</w:t>
      </w:r>
      <w:r>
        <w:rPr>
          <w:rFonts w:hint="eastAsia" w:ascii="宋体" w:hAnsi="宋体" w:cs="宋体"/>
          <w:b/>
          <w:szCs w:val="21"/>
        </w:rPr>
        <w:t>谈判验证阶段及谈判评审阶段。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三、谈判验证阶段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谈判验证阶段分为身份验证和唱价。</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4.身份验证阶段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4.2参与谈判的代表身份经验证不合格的，视为无效响应，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5.2谈判单位法定代表人或授权委托人、现场监委、记录人等有关人员在唱价记录表上签字确认，谈判单位对本阶段有异议的应当场提出，采购人当场作出答复，并记录在案，未提出的，视为无异议。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四、谈判审查阶段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6.符合性审查阶段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6.1资格的符合性审查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rPr>
        <w:t>前附表</w:t>
      </w:r>
      <w:r>
        <w:rPr>
          <w:rFonts w:hint="eastAsia" w:ascii="宋体" w:hAnsi="宋体" w:cs="宋体"/>
        </w:rPr>
        <w:t>内</w:t>
      </w:r>
      <w:r>
        <w:rPr>
          <w:rFonts w:hint="eastAsia" w:ascii="宋体" w:hAnsi="宋体" w:cs="宋体"/>
          <w:szCs w:val="21"/>
        </w:rPr>
        <w:t>规定的谈判单位资格要求，对谈判单位进行符合性审查，资格审查以谈判单位递交的原件资料为准。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6.3有下列情形之一的，为符合性审查不合格，视为无效响应，不进入下一阶段：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（1）未按照谈判文件规定要求签署盖章的；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（3）不满足资格条件要求的；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（4）不满足用户需求书要求的；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（5）超过谈判控制价的；</w:t>
      </w:r>
    </w:p>
    <w:p>
      <w:pPr>
        <w:adjustRightInd w:val="0"/>
        <w:snapToGrid w:val="0"/>
        <w:spacing w:line="360" w:lineRule="auto"/>
        <w:ind w:firstLine="420" w:firstLineChars="200"/>
        <w:rPr>
          <w:rFonts w:ascii="宋体" w:hAnsi="宋体" w:cs="宋体"/>
          <w:b/>
          <w:sz w:val="24"/>
        </w:rPr>
      </w:pPr>
      <w:r>
        <w:rPr>
          <w:rFonts w:hint="eastAsia" w:ascii="宋体" w:hAnsi="宋体" w:cs="宋体"/>
          <w:szCs w:val="21"/>
        </w:rPr>
        <w:t>（6）递交两份或多份内容不同的报价文件，或在一份报价文件中对同一项目报有两个或多个报价，且未声明哪一个有效的。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7.</w:t>
      </w:r>
      <w:r>
        <w:rPr>
          <w:rFonts w:hint="eastAsia" w:ascii="宋体" w:hAnsi="宋体" w:cs="宋体"/>
          <w:b/>
          <w:bCs/>
          <w:szCs w:val="21"/>
        </w:rPr>
        <w:t>详细评审阶段</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7.1谈判评审小组应按以下要求对经符合性审查合格的谈判单位进行详细评审：</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以经谈判评审小组一致认定满足《竞争性谈判文件》要求且谈判总报价最低的报价为基准价，其得分为满分。</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8.推荐中选单位</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bCs/>
          <w:szCs w:val="21"/>
        </w:rPr>
        <w:t>8.1</w:t>
      </w:r>
      <w:r>
        <w:rPr>
          <w:rFonts w:hint="eastAsia" w:ascii="宋体" w:hAnsi="宋体" w:cs="宋体"/>
          <w:kern w:val="0"/>
          <w:szCs w:val="21"/>
        </w:rPr>
        <w:t>谈判评审小组应当在全部评审结束后，按照得分由高到低顺序推荐1名中选单位，并填写评审报告。</w:t>
      </w:r>
    </w:p>
    <w:p>
      <w:pPr>
        <w:adjustRightInd w:val="0"/>
        <w:snapToGrid w:val="0"/>
        <w:spacing w:line="360" w:lineRule="auto"/>
        <w:ind w:firstLine="420" w:firstLineChars="200"/>
        <w:jc w:val="left"/>
        <w:rPr>
          <w:rFonts w:ascii="宋体" w:hAnsi="宋体" w:cs="宋体"/>
          <w:szCs w:val="21"/>
        </w:rPr>
      </w:pPr>
      <w:r>
        <w:rPr>
          <w:rFonts w:hint="eastAsia" w:ascii="宋体" w:hAnsi="宋体" w:cs="宋体"/>
          <w:kern w:val="0"/>
          <w:szCs w:val="21"/>
        </w:rPr>
        <w:t>8.2全部评审结束后，若出现报价得分相同的情形，则采用现场抽签方式确定中选单位。</w:t>
      </w:r>
    </w:p>
    <w:p>
      <w:pPr>
        <w:adjustRightInd w:val="0"/>
        <w:snapToGrid w:val="0"/>
        <w:spacing w:line="360" w:lineRule="auto"/>
        <w:rPr>
          <w:rFonts w:ascii="宋体" w:hAnsi="宋体" w:cs="宋体"/>
          <w:szCs w:val="21"/>
        </w:rPr>
      </w:pPr>
    </w:p>
    <w:p>
      <w:pPr>
        <w:adjustRightInd w:val="0"/>
        <w:snapToGrid w:val="0"/>
        <w:spacing w:before="161" w:beforeLines="50" w:line="360" w:lineRule="auto"/>
        <w:rPr>
          <w:rFonts w:ascii="宋体" w:hAnsi="宋体" w:cs="宋体"/>
          <w:b/>
          <w:sz w:val="32"/>
          <w:szCs w:val="32"/>
        </w:rPr>
        <w:sectPr>
          <w:footerReference r:id="rId10" w:type="first"/>
          <w:footerReference r:id="rId9" w:type="default"/>
          <w:pgSz w:w="12240" w:h="15840"/>
          <w:pgMar w:top="1440" w:right="1800" w:bottom="1440" w:left="1800" w:header="720" w:footer="720" w:gutter="0"/>
          <w:cols w:space="720" w:num="1"/>
          <w:titlePg/>
          <w:docGrid w:type="lines" w:linePitch="323" w:charSpace="0"/>
        </w:sectPr>
      </w:pPr>
    </w:p>
    <w:p>
      <w:pPr>
        <w:pStyle w:val="3"/>
        <w:keepNext w:val="0"/>
        <w:numPr>
          <w:ilvl w:val="0"/>
          <w:numId w:val="2"/>
        </w:numPr>
        <w:ind w:right="-141" w:rightChars="-67"/>
        <w:rPr>
          <w:rFonts w:ascii="宋体" w:hAnsi="宋体" w:cs="宋体"/>
          <w:bCs w:val="0"/>
          <w:sz w:val="32"/>
          <w:szCs w:val="32"/>
        </w:rPr>
      </w:pPr>
      <w:r>
        <w:rPr>
          <w:rFonts w:hint="eastAsia" w:ascii="宋体" w:hAnsi="宋体" w:cs="宋体"/>
          <w:bCs w:val="0"/>
          <w:sz w:val="32"/>
          <w:szCs w:val="32"/>
        </w:rPr>
        <w:t xml:space="preserve"> </w:t>
      </w:r>
      <w:bookmarkStart w:id="17" w:name="_Toc23959"/>
      <w:r>
        <w:rPr>
          <w:rFonts w:hint="eastAsia" w:ascii="宋体" w:hAnsi="宋体" w:cs="宋体"/>
          <w:bCs w:val="0"/>
          <w:sz w:val="32"/>
          <w:szCs w:val="32"/>
        </w:rPr>
        <w:t>用户需求书</w:t>
      </w:r>
      <w:bookmarkEnd w:id="17"/>
    </w:p>
    <w:p>
      <w:pPr>
        <w:pStyle w:val="172"/>
        <w:spacing w:before="0" w:line="360" w:lineRule="auto"/>
        <w:jc w:val="left"/>
        <w:rPr>
          <w:rFonts w:hint="default" w:cs="宋体"/>
          <w:b/>
          <w:snapToGrid/>
          <w:color w:val="000000"/>
          <w:kern w:val="2"/>
          <w:sz w:val="21"/>
          <w:szCs w:val="21"/>
        </w:rPr>
      </w:pPr>
      <w:bookmarkStart w:id="18" w:name="_Toc26614_WPSOffice_Level1"/>
      <w:bookmarkStart w:id="19" w:name="_Toc15240"/>
      <w:r>
        <w:rPr>
          <w:rFonts w:cs="宋体"/>
          <w:b/>
          <w:snapToGrid/>
          <w:color w:val="000000"/>
          <w:kern w:val="2"/>
          <w:sz w:val="21"/>
          <w:szCs w:val="21"/>
        </w:rPr>
        <w:t>1需求清单</w:t>
      </w:r>
      <w:bookmarkEnd w:id="18"/>
      <w:bookmarkEnd w:id="19"/>
    </w:p>
    <w:p>
      <w:pPr>
        <w:jc w:val="center"/>
        <w:rPr>
          <w:rFonts w:ascii="宋体" w:hAnsi="宋体" w:cs="宋体"/>
          <w:b/>
          <w:bCs/>
          <w:color w:val="000000"/>
          <w:szCs w:val="21"/>
        </w:rPr>
      </w:pPr>
      <w:r>
        <w:rPr>
          <w:rFonts w:hint="eastAsia" w:ascii="宋体" w:hAnsi="宋体" w:cs="宋体"/>
          <w:b/>
          <w:bCs/>
          <w:color w:val="000000"/>
          <w:szCs w:val="21"/>
        </w:rPr>
        <w:t>4号线模拟驾驶器采购清单</w:t>
      </w:r>
    </w:p>
    <w:tbl>
      <w:tblPr>
        <w:tblStyle w:val="46"/>
        <w:tblW w:w="14740" w:type="dxa"/>
        <w:jc w:val="center"/>
        <w:tblInd w:w="0" w:type="dxa"/>
        <w:tblLayout w:type="fixed"/>
        <w:tblCellMar>
          <w:top w:w="15" w:type="dxa"/>
          <w:left w:w="108" w:type="dxa"/>
          <w:bottom w:w="15" w:type="dxa"/>
          <w:right w:w="108" w:type="dxa"/>
        </w:tblCellMar>
      </w:tblPr>
      <w:tblGrid>
        <w:gridCol w:w="811"/>
        <w:gridCol w:w="1275"/>
        <w:gridCol w:w="920"/>
        <w:gridCol w:w="737"/>
        <w:gridCol w:w="794"/>
        <w:gridCol w:w="5953"/>
        <w:gridCol w:w="630"/>
        <w:gridCol w:w="690"/>
        <w:gridCol w:w="2930"/>
      </w:tblGrid>
      <w:tr>
        <w:tblPrEx>
          <w:tblLayout w:type="fixed"/>
          <w:tblCellMar>
            <w:top w:w="15" w:type="dxa"/>
            <w:left w:w="108" w:type="dxa"/>
            <w:bottom w:w="15" w:type="dxa"/>
            <w:right w:w="108" w:type="dxa"/>
          </w:tblCellMar>
        </w:tblPrEx>
        <w:trPr>
          <w:trHeight w:val="91" w:hRule="atLeast"/>
          <w:tblHeader/>
          <w:jc w:val="center"/>
        </w:trPr>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b/>
                <w:color w:val="000000"/>
                <w:kern w:val="0"/>
                <w:szCs w:val="21"/>
              </w:rPr>
            </w:pPr>
            <w:r>
              <w:rPr>
                <w:rFonts w:hint="eastAsia" w:ascii="宋体" w:hAnsi="宋体" w:cs="宋体"/>
                <w:b/>
                <w:color w:val="000000"/>
                <w:kern w:val="0"/>
                <w:szCs w:val="21"/>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b/>
                <w:color w:val="000000"/>
                <w:kern w:val="0"/>
                <w:szCs w:val="21"/>
              </w:rPr>
            </w:pPr>
            <w:r>
              <w:rPr>
                <w:rFonts w:hint="eastAsia" w:ascii="宋体" w:hAnsi="宋体" w:cs="宋体"/>
                <w:b/>
                <w:color w:val="000000"/>
                <w:kern w:val="0"/>
                <w:szCs w:val="21"/>
              </w:rPr>
              <w:t>物资名称</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b/>
                <w:color w:val="000000"/>
                <w:kern w:val="0"/>
                <w:szCs w:val="21"/>
              </w:rPr>
            </w:pPr>
            <w:r>
              <w:rPr>
                <w:rFonts w:hint="eastAsia" w:ascii="宋体" w:hAnsi="宋体" w:cs="宋体"/>
                <w:b/>
                <w:color w:val="000000"/>
                <w:kern w:val="0"/>
                <w:szCs w:val="21"/>
              </w:rPr>
              <w:t>规格</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b/>
                <w:color w:val="000000"/>
                <w:kern w:val="0"/>
                <w:szCs w:val="21"/>
              </w:rPr>
            </w:pPr>
            <w:r>
              <w:rPr>
                <w:rFonts w:hint="eastAsia" w:ascii="宋体" w:hAnsi="宋体" w:cs="宋体"/>
                <w:b/>
                <w:color w:val="000000"/>
                <w:kern w:val="0"/>
                <w:szCs w:val="21"/>
              </w:rPr>
              <w:t>参考品牌</w:t>
            </w: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b/>
                <w:color w:val="000000"/>
                <w:kern w:val="0"/>
                <w:szCs w:val="21"/>
              </w:rPr>
            </w:pPr>
            <w:r>
              <w:rPr>
                <w:rFonts w:hint="eastAsia" w:ascii="宋体" w:hAnsi="宋体" w:cs="宋体"/>
                <w:b/>
                <w:color w:val="000000"/>
                <w:kern w:val="0"/>
                <w:szCs w:val="21"/>
              </w:rPr>
              <w:t>型号/</w:t>
            </w:r>
          </w:p>
          <w:p>
            <w:pPr>
              <w:widowControl/>
              <w:spacing w:line="400" w:lineRule="exact"/>
              <w:jc w:val="center"/>
              <w:rPr>
                <w:rFonts w:ascii="宋体" w:hAnsi="宋体" w:cs="宋体"/>
                <w:b/>
                <w:color w:val="000000"/>
                <w:kern w:val="0"/>
                <w:szCs w:val="21"/>
              </w:rPr>
            </w:pPr>
            <w:r>
              <w:rPr>
                <w:rFonts w:hint="eastAsia" w:ascii="宋体" w:hAnsi="宋体" w:cs="宋体"/>
                <w:b/>
                <w:color w:val="000000"/>
                <w:kern w:val="0"/>
                <w:szCs w:val="21"/>
              </w:rPr>
              <w:t>货号</w:t>
            </w:r>
          </w:p>
        </w:tc>
        <w:tc>
          <w:tcPr>
            <w:tcW w:w="59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b/>
                <w:color w:val="000000"/>
                <w:kern w:val="0"/>
                <w:szCs w:val="21"/>
              </w:rPr>
            </w:pPr>
            <w:r>
              <w:rPr>
                <w:rFonts w:hint="eastAsia" w:ascii="宋体" w:hAnsi="宋体" w:cs="宋体"/>
                <w:b/>
                <w:color w:val="000000"/>
                <w:kern w:val="0"/>
                <w:szCs w:val="21"/>
              </w:rPr>
              <w:t>详细参数</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b/>
                <w:color w:val="000000"/>
                <w:kern w:val="0"/>
                <w:szCs w:val="21"/>
              </w:rPr>
            </w:pPr>
            <w:r>
              <w:rPr>
                <w:rFonts w:hint="eastAsia" w:ascii="宋体" w:hAnsi="宋体" w:cs="宋体"/>
                <w:b/>
                <w:color w:val="000000"/>
                <w:kern w:val="0"/>
                <w:szCs w:val="21"/>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b/>
                <w:color w:val="000000"/>
                <w:kern w:val="0"/>
                <w:szCs w:val="21"/>
              </w:rPr>
            </w:pPr>
            <w:r>
              <w:rPr>
                <w:rFonts w:hint="eastAsia" w:ascii="宋体" w:hAnsi="宋体" w:cs="宋体"/>
                <w:b/>
                <w:color w:val="000000"/>
                <w:kern w:val="0"/>
                <w:szCs w:val="21"/>
              </w:rPr>
              <w:t>需求数量</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b/>
                <w:color w:val="000000"/>
                <w:kern w:val="0"/>
                <w:szCs w:val="21"/>
              </w:rPr>
            </w:pPr>
            <w:r>
              <w:rPr>
                <w:rFonts w:hint="eastAsia" w:ascii="宋体" w:hAnsi="宋体" w:cs="宋体"/>
                <w:b/>
                <w:color w:val="000000"/>
                <w:kern w:val="0"/>
                <w:szCs w:val="21"/>
              </w:rPr>
              <w:t>备注</w:t>
            </w:r>
          </w:p>
        </w:tc>
      </w:tr>
      <w:tr>
        <w:tblPrEx>
          <w:tblLayout w:type="fixed"/>
          <w:tblCellMar>
            <w:top w:w="15" w:type="dxa"/>
            <w:left w:w="108" w:type="dxa"/>
            <w:bottom w:w="15" w:type="dxa"/>
            <w:right w:w="108" w:type="dxa"/>
          </w:tblCellMar>
        </w:tblPrEx>
        <w:trPr>
          <w:trHeight w:val="9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司机操纵台</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2500mm×665mm×1050mm</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1.钢结构。</w:t>
            </w:r>
          </w:p>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2.主要操作设备包括司机控制器、开关门按钮及指示灯、列车模式开关、紧急按钮、停放制动按钮、通讯设备、升降弓按钮、HMI设备、ATC设备和双针风表等，与实际列车上的对应设备具有相同的功能和控制逻辑。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837"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行调控制台</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包括控制台台体、控制台终端、触摸屏、控制台座椅（不锈钢仿皮质座椅）、电话、无线网卡、显示器等。</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712"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车站值班员控制台</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包括控制台台体、控制台终端、触摸屏、控制台座椅（不锈钢仿皮质座椅）、无线网卡、显示器等。</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9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前向视景显示器</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≧60英寸</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大屏显示器，不少于60英寸。</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9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前向视景显示终端</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终端采用定制工控机。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主要用于前向视景加载，给前向视景显示器提供信号源。</w:t>
            </w:r>
          </w:p>
        </w:tc>
      </w:tr>
      <w:tr>
        <w:tblPrEx>
          <w:tblLayout w:type="fixed"/>
          <w:tblCellMar>
            <w:top w:w="15" w:type="dxa"/>
            <w:left w:w="108" w:type="dxa"/>
            <w:bottom w:w="15" w:type="dxa"/>
            <w:right w:w="108" w:type="dxa"/>
          </w:tblCellMar>
        </w:tblPrEx>
        <w:trPr>
          <w:trHeight w:val="9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高速数据采集控制系统</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1.内置微机测控及通讯系统,可实现数据采集及输出以及通讯功能。</w:t>
            </w:r>
          </w:p>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2.PLC采集与控制，标准型 CPU 模块，继电器输出，220V AC供电，有输入输出。</w:t>
            </w:r>
          </w:p>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3.扩展模块EM：数字量输入模块。</w:t>
            </w:r>
          </w:p>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4.信号板SB：通信信号板。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1312"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安全门就地控制盒</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1.司机操纵台左右两侧各一套。</w:t>
            </w:r>
          </w:p>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2.盘面包括指示灯（包括PSL允许、ASD开、互锁解除、门全关且锁紧等显示）、钥匙开关（包括PSL允许、互锁解除；按钮：开门、关门、灯测试等功能）。</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2</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52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司机座椅</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专业司机座椅，可调高度、靠背位置，面料材质真皮、皮革、绒布，填充物高回弹冷发泡海棉。</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440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电气屏柜模拟台</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620mm×450mm×1170mm</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1.采用一体式控制台，钢结构，内置定制工控机及21.5英寸显示系统。</w:t>
            </w:r>
          </w:p>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2.分视图显示区及鼠标键盘操作区两部分组成，安装有三维数字化虚拟列车软件。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rPr>
                <w:rFonts w:ascii="宋体" w:hAnsi="宋体" w:cs="宋体"/>
                <w:color w:val="000000"/>
                <w:kern w:val="0"/>
                <w:szCs w:val="21"/>
              </w:rPr>
            </w:pPr>
            <w:r>
              <w:rPr>
                <w:rFonts w:hint="eastAsia" w:ascii="宋体" w:hAnsi="宋体" w:cs="宋体"/>
                <w:color w:val="000000"/>
                <w:kern w:val="0"/>
                <w:szCs w:val="21"/>
              </w:rPr>
              <w:t>1.通过三维交互方式完成实物司机驾驶台以外的所有操作，通过实物操纵台上的操作能够在虚拟三维环境内产生相应的逻辑反应。</w:t>
            </w:r>
          </w:p>
          <w:p>
            <w:pPr>
              <w:widowControl/>
              <w:spacing w:line="400" w:lineRule="exact"/>
              <w:rPr>
                <w:rFonts w:ascii="宋体" w:hAnsi="宋体" w:cs="宋体"/>
                <w:color w:val="000000"/>
                <w:kern w:val="0"/>
                <w:szCs w:val="21"/>
              </w:rPr>
            </w:pPr>
            <w:r>
              <w:rPr>
                <w:rFonts w:hint="eastAsia" w:ascii="宋体" w:hAnsi="宋体" w:cs="宋体"/>
                <w:color w:val="000000"/>
                <w:kern w:val="0"/>
                <w:szCs w:val="21"/>
              </w:rPr>
              <w:t>2.通过电气屏柜模拟台的操作也能够在实物操纵台上产生相应的逻辑反应。系统通过虚实结合的方式，完整实现城轨列车的所有作业任务考核及演练。</w:t>
            </w:r>
          </w:p>
        </w:tc>
      </w:tr>
      <w:tr>
        <w:tblPrEx>
          <w:tblLayout w:type="fixed"/>
          <w:tblCellMar>
            <w:top w:w="15" w:type="dxa"/>
            <w:left w:w="108" w:type="dxa"/>
            <w:bottom w:w="15" w:type="dxa"/>
            <w:right w:w="108" w:type="dxa"/>
          </w:tblCellMar>
        </w:tblPrEx>
        <w:trPr>
          <w:trHeight w:val="9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控制台座椅</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不锈钢仿皮质座椅弓形椅，具有抗氧化性高、提高耐磨性、抗腐蚀性、美观坚固，人工工程学靠背，完美腰部撑托，腰椎舒缓解释放压力。</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2</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9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侧窗显示器</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32英寸</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显示器能满足系统性能要求，能清晰展示列车侧面情况。</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2</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459"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侧窗显示终端</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终端采用定制工控机，主要用于侧窗视景加载，给左右侧窗视景提供信号源。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保证系统稳定高效运行。</w:t>
            </w:r>
          </w:p>
        </w:tc>
      </w:tr>
      <w:tr>
        <w:tblPrEx>
          <w:tblLayout w:type="fixed"/>
          <w:tblCellMar>
            <w:top w:w="15" w:type="dxa"/>
            <w:left w:w="108" w:type="dxa"/>
            <w:bottom w:w="15" w:type="dxa"/>
            <w:right w:w="108" w:type="dxa"/>
          </w:tblCellMar>
        </w:tblPrEx>
        <w:trPr>
          <w:trHeight w:val="686"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电话机</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黑色，手柄按键一体化设计，使用更方便，各项指标均符合国家认证标准，使用更放心。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3</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26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网络交换机</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8口</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千兆以太网交换机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899"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无线路由器</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企业VPN路由器，WAN口数量2个；LAN口数量3个，支持Qos限速功能，支持无线桥接，天线可拆卸，11N无线技术，无线传输速率高达300Mbps。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1562"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USB无线网卡</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网络标准：IEEE802.11ac，IEEE802.11n，IEEE802.11g，IEEE802.11b，IEEE802.11a ；传输速率：433Mbps；发射功率：20dBm（最大值）；频率范围：双频（2.4G、5G）；总线接口：USB；内置天线。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4</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656"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音响设备</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小音箱，2.0声道，信噪比60dB，功率5W，供电方式DC 5V，尺寸70×72×72mm。</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3</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9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消防设备</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手提式干粉灭火器，2公斤。</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9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模拟驾驶器控制软件</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提供驾驶平台及标准化作业环境。模拟驾驶操作系统的软件包含“分布式仿真服务器”、“LocoModule”、“动力学仿真”“HMI显示系统”、“CGI”、“声音系统”、“数据采集及输出系统”“仿真数据库”等。各子系统之间通过高性能的千兆以太网连接，从而保证系统间能流畅地协同工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4873"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考核题库</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主要可用于列车运行前的整备检查，包括走行部检查、司机室检查、客室检查、动车试验等，同时满足司机在列车运行时出现故障，可以通过此系统进行故障处理和解决。该系统满足在全三维数字化全真虚拟列车内进行故障的处理演练，并能满足列车在线路场景中进行突发非正常状况的处理演练。学员在试题的训练过程中，每套试题都预先设置有故障，列车运行到相应地点，故障即会被触发，视景系统能即时做出响应，学员可通过故障处理机对故障进行处理。具体内容包含：标准化作业：驾驶技能、出乘前检查、出入库作业、区间运行、上下客监护、不同模式驾驶、折返及交接班作业；故障处理：制动系统故障、牵引系统故障、辅助系统故障、车门故障；应急处置：区间火灾、区间无电、异物侵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656"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操作记录及考评软件</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szCs w:val="21"/>
              </w:rPr>
            </w:pPr>
            <w:r>
              <w:rPr>
                <w:rFonts w:hint="eastAsia" w:ascii="宋体" w:hAnsi="宋体" w:cs="宋体"/>
                <w:szCs w:val="21"/>
              </w:rPr>
              <w:t>自动检测考试过程及结果，并自动评分。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r>
        <w:tblPrEx>
          <w:tblLayout w:type="fixed"/>
          <w:tblCellMar>
            <w:top w:w="15" w:type="dxa"/>
            <w:left w:w="108" w:type="dxa"/>
            <w:bottom w:w="15" w:type="dxa"/>
            <w:right w:w="108" w:type="dxa"/>
          </w:tblCellMar>
        </w:tblPrEx>
        <w:trPr>
          <w:trHeight w:val="14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szCs w:val="21"/>
              </w:rPr>
            </w:pPr>
            <w:r>
              <w:rPr>
                <w:rFonts w:hint="eastAsia" w:ascii="宋体" w:hAnsi="宋体" w:cs="宋体"/>
                <w:szCs w:val="21"/>
              </w:rPr>
              <w:t>22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考核控制终端管理系统</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cs="宋体"/>
                <w:szCs w:val="21"/>
              </w:rPr>
            </w:pPr>
            <w:r>
              <w:rPr>
                <w:rFonts w:hint="eastAsia" w:ascii="宋体" w:hAnsi="宋体" w:cs="宋体"/>
                <w:szCs w:val="21"/>
              </w:rPr>
              <w:t>承担着列车模拟器的全方位监管、控制和系统维护任务。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2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Cs w:val="21"/>
              </w:rPr>
            </w:pPr>
          </w:p>
        </w:tc>
      </w:tr>
    </w:tbl>
    <w:p>
      <w:pPr>
        <w:pStyle w:val="2"/>
        <w:sectPr>
          <w:pgSz w:w="15840" w:h="12240" w:orient="landscape"/>
          <w:pgMar w:top="1440" w:right="1800" w:bottom="1440" w:left="1800" w:header="720" w:footer="720" w:gutter="0"/>
          <w:cols w:space="720" w:num="1"/>
          <w:titlePg/>
          <w:docGrid w:type="lines" w:linePitch="323" w:charSpace="0"/>
        </w:sectPr>
      </w:pPr>
    </w:p>
    <w:p>
      <w:pPr>
        <w:spacing w:line="360" w:lineRule="auto"/>
        <w:rPr>
          <w:rFonts w:ascii="宋体" w:hAnsi="宋体" w:cs="宋体"/>
          <w:color w:val="000000"/>
          <w:szCs w:val="21"/>
        </w:rPr>
      </w:pPr>
      <w:bookmarkStart w:id="20" w:name="_Toc470878252"/>
      <w:bookmarkStart w:id="21" w:name="_Toc9727"/>
      <w:r>
        <w:rPr>
          <w:rFonts w:hint="eastAsia" w:ascii="宋体" w:hAnsi="宋体" w:cs="宋体"/>
          <w:color w:val="000000"/>
          <w:szCs w:val="21"/>
        </w:rPr>
        <w:t>注：1、如部分产品停产升级或技术规格优于上述型号，请出示相关证明材料。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2、“*”为原厂原配物资（如有）。</w:t>
      </w:r>
    </w:p>
    <w:p>
      <w:pPr>
        <w:pStyle w:val="127"/>
        <w:numPr>
          <w:ilvl w:val="0"/>
          <w:numId w:val="0"/>
        </w:numPr>
        <w:spacing w:line="360" w:lineRule="auto"/>
        <w:jc w:val="left"/>
        <w:rPr>
          <w:rFonts w:ascii="宋体" w:hAnsi="宋体" w:cs="宋体"/>
          <w:color w:val="000000"/>
          <w:sz w:val="21"/>
          <w:szCs w:val="21"/>
        </w:rPr>
      </w:pPr>
      <w:bookmarkStart w:id="22" w:name="_Toc17466_WPSOffice_Level1"/>
      <w:bookmarkStart w:id="23" w:name="_Toc32598"/>
      <w:bookmarkStart w:id="24" w:name="_Toc474766746"/>
      <w:bookmarkStart w:id="25" w:name="_Toc27691"/>
      <w:r>
        <w:rPr>
          <w:rFonts w:hint="eastAsia" w:ascii="宋体" w:hAnsi="宋体" w:cs="宋体"/>
          <w:color w:val="000000"/>
          <w:sz w:val="21"/>
          <w:szCs w:val="21"/>
        </w:rPr>
        <w:t>2交货时间和地点</w:t>
      </w:r>
      <w:bookmarkEnd w:id="22"/>
      <w:bookmarkEnd w:id="23"/>
      <w:bookmarkEnd w:id="24"/>
      <w:bookmarkEnd w:id="25"/>
    </w:p>
    <w:p>
      <w:pPr>
        <w:spacing w:line="360" w:lineRule="auto"/>
        <w:jc w:val="left"/>
        <w:outlineLvl w:val="1"/>
        <w:rPr>
          <w:rFonts w:ascii="宋体" w:hAnsi="宋体" w:cs="宋体"/>
          <w:b/>
          <w:color w:val="000000"/>
          <w:szCs w:val="21"/>
        </w:rPr>
      </w:pPr>
      <w:bookmarkStart w:id="26" w:name="_Toc23131_WPSOffice_Level1"/>
      <w:bookmarkStart w:id="27" w:name="_Toc14257_WPSOffice_Level1"/>
      <w:bookmarkStart w:id="28" w:name="_Toc6641"/>
      <w:bookmarkStart w:id="29" w:name="_Toc19441_WPSOffice_Level1"/>
      <w:bookmarkStart w:id="30" w:name="_Toc13253"/>
      <w:bookmarkStart w:id="31" w:name="_Toc21817"/>
      <w:r>
        <w:rPr>
          <w:rFonts w:hint="eastAsia" w:ascii="宋体" w:hAnsi="宋体" w:cs="宋体"/>
          <w:b/>
          <w:color w:val="000000"/>
          <w:szCs w:val="21"/>
        </w:rPr>
        <w:t>2.1交货时间</w:t>
      </w:r>
      <w:bookmarkEnd w:id="26"/>
      <w:bookmarkEnd w:id="27"/>
      <w:bookmarkEnd w:id="28"/>
      <w:bookmarkEnd w:id="29"/>
      <w:bookmarkEnd w:id="30"/>
      <w:bookmarkEnd w:id="31"/>
    </w:p>
    <w:p>
      <w:pPr>
        <w:spacing w:line="360" w:lineRule="auto"/>
        <w:ind w:firstLine="420" w:firstLineChars="200"/>
        <w:jc w:val="left"/>
        <w:outlineLvl w:val="1"/>
        <w:rPr>
          <w:rFonts w:ascii="宋体" w:hAnsi="宋体" w:cs="宋体"/>
          <w:szCs w:val="21"/>
        </w:rPr>
      </w:pPr>
      <w:r>
        <w:rPr>
          <w:rFonts w:hint="eastAsia" w:ascii="宋体" w:hAnsi="宋体" w:cs="宋体"/>
          <w:szCs w:val="21"/>
        </w:rPr>
        <w:t>从甲方发出书面供货通知之日起</w:t>
      </w:r>
      <w:r>
        <w:rPr>
          <w:rFonts w:hint="eastAsia" w:ascii="宋体" w:hAnsi="宋体" w:cs="宋体"/>
          <w:szCs w:val="21"/>
          <w:u w:val="single"/>
        </w:rPr>
        <w:t>30</w:t>
      </w:r>
      <w:r>
        <w:rPr>
          <w:rFonts w:hint="eastAsia" w:ascii="宋体" w:hAnsi="宋体" w:cs="宋体"/>
          <w:szCs w:val="21"/>
        </w:rPr>
        <w:t>个自然日内完成供货及安装、调试工作。</w:t>
      </w:r>
    </w:p>
    <w:p>
      <w:pPr>
        <w:spacing w:line="360" w:lineRule="auto"/>
        <w:jc w:val="left"/>
        <w:outlineLvl w:val="1"/>
        <w:rPr>
          <w:rFonts w:ascii="宋体" w:hAnsi="宋体" w:cs="宋体"/>
          <w:b/>
          <w:color w:val="000000"/>
          <w:szCs w:val="21"/>
        </w:rPr>
      </w:pPr>
      <w:bookmarkStart w:id="32" w:name="_Toc11373"/>
      <w:bookmarkStart w:id="33" w:name="_Toc18561"/>
      <w:bookmarkStart w:id="34" w:name="_Toc20185_WPSOffice_Level1"/>
      <w:bookmarkStart w:id="35" w:name="_Toc31339"/>
      <w:bookmarkStart w:id="36" w:name="_Toc29829_WPSOffice_Level1"/>
      <w:bookmarkStart w:id="37" w:name="_Toc21665_WPSOffice_Level1"/>
      <w:r>
        <w:rPr>
          <w:rFonts w:hint="eastAsia" w:ascii="宋体" w:hAnsi="宋体" w:cs="宋体"/>
          <w:b/>
          <w:color w:val="000000"/>
          <w:szCs w:val="21"/>
        </w:rPr>
        <w:t>2.2交货地点</w:t>
      </w:r>
      <w:bookmarkEnd w:id="32"/>
      <w:bookmarkEnd w:id="33"/>
      <w:bookmarkEnd w:id="34"/>
      <w:bookmarkEnd w:id="35"/>
      <w:bookmarkEnd w:id="36"/>
      <w:bookmarkEnd w:id="37"/>
    </w:p>
    <w:p>
      <w:pPr>
        <w:pStyle w:val="105"/>
        <w:spacing w:line="360" w:lineRule="auto"/>
        <w:ind w:left="0" w:firstLine="420" w:firstLineChars="200"/>
        <w:jc w:val="left"/>
        <w:rPr>
          <w:rFonts w:hint="default" w:hAnsi="宋体" w:cs="宋体"/>
          <w:color w:val="000000"/>
          <w:szCs w:val="21"/>
        </w:rPr>
      </w:pPr>
      <w:r>
        <w:rPr>
          <w:rFonts w:hAnsi="宋体" w:cs="宋体"/>
          <w:color w:val="000000"/>
          <w:szCs w:val="21"/>
        </w:rPr>
        <w:t>黄兴车辆段一楼模拟驾驶室。</w:t>
      </w:r>
    </w:p>
    <w:p>
      <w:pPr>
        <w:pStyle w:val="127"/>
        <w:numPr>
          <w:ilvl w:val="0"/>
          <w:numId w:val="0"/>
        </w:numPr>
        <w:spacing w:line="360" w:lineRule="auto"/>
        <w:jc w:val="left"/>
        <w:rPr>
          <w:rFonts w:ascii="宋体" w:hAnsi="宋体" w:cs="宋体"/>
          <w:color w:val="000000"/>
          <w:sz w:val="21"/>
          <w:szCs w:val="21"/>
        </w:rPr>
      </w:pPr>
      <w:bookmarkStart w:id="38" w:name="_Toc474766747"/>
      <w:bookmarkStart w:id="39" w:name="_Toc6939"/>
      <w:bookmarkStart w:id="40" w:name="_Toc27683_WPSOffice_Level1"/>
      <w:bookmarkStart w:id="41" w:name="_Toc22775"/>
      <w:r>
        <w:rPr>
          <w:rFonts w:hint="eastAsia" w:ascii="宋体" w:hAnsi="宋体" w:cs="宋体"/>
          <w:color w:val="000000"/>
          <w:sz w:val="21"/>
          <w:szCs w:val="21"/>
        </w:rPr>
        <w:t>3技术要求</w:t>
      </w:r>
      <w:bookmarkEnd w:id="38"/>
      <w:bookmarkEnd w:id="39"/>
      <w:bookmarkEnd w:id="40"/>
      <w:bookmarkEnd w:id="41"/>
    </w:p>
    <w:p>
      <w:pPr>
        <w:spacing w:line="360" w:lineRule="auto"/>
        <w:jc w:val="left"/>
        <w:outlineLvl w:val="1"/>
        <w:rPr>
          <w:rFonts w:ascii="宋体" w:hAnsi="宋体" w:cs="宋体"/>
          <w:b/>
          <w:color w:val="000000"/>
          <w:szCs w:val="21"/>
        </w:rPr>
      </w:pPr>
      <w:bookmarkStart w:id="42" w:name="_Toc1455_WPSOffice_Level1"/>
      <w:bookmarkStart w:id="43" w:name="_Toc993"/>
      <w:bookmarkStart w:id="44" w:name="_Toc18262_WPSOffice_Level1"/>
      <w:bookmarkStart w:id="45" w:name="_Toc9585"/>
      <w:bookmarkStart w:id="46" w:name="_Toc13804_WPSOffice_Level1"/>
      <w:bookmarkStart w:id="47" w:name="_Toc22973"/>
      <w:bookmarkStart w:id="48" w:name="_Toc25298_WPSOffice_Level1"/>
      <w:r>
        <w:rPr>
          <w:rFonts w:hint="eastAsia" w:ascii="宋体" w:hAnsi="宋体" w:cs="宋体"/>
          <w:b/>
          <w:color w:val="000000"/>
          <w:szCs w:val="21"/>
        </w:rPr>
        <w:t>3.1采用规范和适用标准</w:t>
      </w:r>
      <w:bookmarkEnd w:id="42"/>
      <w:bookmarkEnd w:id="43"/>
      <w:bookmarkEnd w:id="44"/>
      <w:bookmarkEnd w:id="45"/>
      <w:bookmarkEnd w:id="46"/>
      <w:bookmarkEnd w:id="47"/>
      <w:bookmarkEnd w:id="48"/>
    </w:p>
    <w:p>
      <w:pPr>
        <w:pStyle w:val="88"/>
        <w:spacing w:line="360" w:lineRule="auto"/>
        <w:jc w:val="left"/>
        <w:outlineLvl w:val="9"/>
        <w:rPr>
          <w:rFonts w:cs="宋体"/>
          <w:snapToGrid/>
          <w:kern w:val="2"/>
          <w:sz w:val="21"/>
          <w:szCs w:val="21"/>
        </w:rPr>
      </w:pPr>
      <w:bookmarkStart w:id="49" w:name="_Toc29531"/>
      <w:r>
        <w:rPr>
          <w:rFonts w:hint="eastAsia" w:cs="宋体"/>
          <w:snapToGrid/>
          <w:color w:val="000000"/>
          <w:kern w:val="2"/>
          <w:sz w:val="21"/>
          <w:szCs w:val="21"/>
        </w:rPr>
        <w:t>3.1</w:t>
      </w:r>
      <w:r>
        <w:rPr>
          <w:rFonts w:hint="eastAsia" w:cs="宋体"/>
          <w:snapToGrid/>
          <w:kern w:val="2"/>
          <w:sz w:val="21"/>
          <w:szCs w:val="21"/>
        </w:rPr>
        <w:t>.1本需求书中招标方主要采用的规范及标准</w:t>
      </w:r>
      <w:bookmarkEnd w:id="49"/>
    </w:p>
    <w:p>
      <w:pPr>
        <w:tabs>
          <w:tab w:val="left" w:pos="576"/>
          <w:tab w:val="left" w:pos="945"/>
        </w:tabs>
        <w:spacing w:line="360" w:lineRule="auto"/>
        <w:ind w:firstLine="420" w:firstLineChars="200"/>
        <w:jc w:val="left"/>
        <w:rPr>
          <w:rFonts w:ascii="宋体" w:hAnsi="宋体" w:cs="宋体"/>
          <w:color w:val="000000"/>
          <w:szCs w:val="21"/>
        </w:rPr>
      </w:pPr>
      <w:r>
        <w:rPr>
          <w:rFonts w:hint="eastAsia" w:ascii="宋体" w:hAnsi="宋体" w:cs="宋体"/>
          <w:color w:val="000000"/>
          <w:szCs w:val="21"/>
        </w:rPr>
        <w:t>投标人须具有一种即插即用的仿真模拟器扩展装置的证书以保证系统后续升级扩展。</w:t>
      </w:r>
    </w:p>
    <w:p>
      <w:pPr>
        <w:pStyle w:val="105"/>
        <w:spacing w:line="360" w:lineRule="auto"/>
        <w:ind w:left="0" w:firstLine="420" w:firstLineChars="200"/>
        <w:jc w:val="left"/>
        <w:rPr>
          <w:rFonts w:hint="default" w:hAnsi="宋体" w:cs="宋体"/>
          <w:color w:val="000000"/>
          <w:szCs w:val="21"/>
        </w:rPr>
      </w:pPr>
      <w:r>
        <w:rPr>
          <w:rFonts w:hAnsi="宋体" w:cs="宋体"/>
          <w:color w:val="000000"/>
          <w:szCs w:val="21"/>
        </w:rPr>
        <w:t>投标人所投产品的设计制造需满足国际标准IEC、ISO、UIC的要求，以及其他的国家标准GB、行业标准、地方标准及规定的要求。以上各项标准以最新版本为准。</w:t>
      </w:r>
    </w:p>
    <w:p>
      <w:pPr>
        <w:spacing w:line="360" w:lineRule="auto"/>
        <w:jc w:val="left"/>
        <w:rPr>
          <w:rFonts w:ascii="宋体" w:hAnsi="宋体" w:cs="宋体"/>
          <w:b/>
          <w:szCs w:val="21"/>
        </w:rPr>
      </w:pPr>
      <w:bookmarkStart w:id="50" w:name="_Toc29511_WPSOffice_Level1"/>
      <w:bookmarkStart w:id="51" w:name="_Toc31360_WPSOffice_Level1"/>
      <w:bookmarkStart w:id="52" w:name="_Toc6943_WPSOffice_Level1"/>
      <w:r>
        <w:rPr>
          <w:rFonts w:hint="eastAsia" w:ascii="宋体" w:hAnsi="宋体" w:cs="宋体"/>
          <w:b/>
          <w:szCs w:val="21"/>
        </w:rPr>
        <w:t>3.2主要物资技术参数</w:t>
      </w:r>
      <w:bookmarkEnd w:id="50"/>
      <w:bookmarkEnd w:id="51"/>
      <w:bookmarkEnd w:id="52"/>
    </w:p>
    <w:p>
      <w:pPr>
        <w:spacing w:line="360" w:lineRule="auto"/>
        <w:jc w:val="left"/>
        <w:rPr>
          <w:rFonts w:ascii="宋体" w:hAnsi="宋体" w:cs="宋体"/>
          <w:bCs/>
          <w:color w:val="000000"/>
          <w:szCs w:val="21"/>
        </w:rPr>
        <w:sectPr>
          <w:headerReference r:id="rId11" w:type="default"/>
          <w:footerReference r:id="rId12" w:type="default"/>
          <w:pgSz w:w="11850" w:h="16783"/>
          <w:pgMar w:top="1440" w:right="1800" w:bottom="1440" w:left="1800" w:header="851" w:footer="992" w:gutter="0"/>
          <w:pgNumType w:start="20"/>
          <w:cols w:space="720" w:num="1"/>
          <w:docGrid w:type="lines" w:linePitch="312" w:charSpace="0"/>
        </w:sectPr>
      </w:pPr>
      <w:r>
        <w:rPr>
          <w:rFonts w:hint="eastAsia" w:ascii="宋体" w:hAnsi="宋体" w:cs="宋体"/>
          <w:bCs/>
          <w:color w:val="000000"/>
          <w:szCs w:val="21"/>
        </w:rPr>
        <w:t>4号线主要物资技术参数清单如下：</w:t>
      </w:r>
    </w:p>
    <w:tbl>
      <w:tblPr>
        <w:tblStyle w:val="46"/>
        <w:tblW w:w="14584" w:type="dxa"/>
        <w:tblInd w:w="-301" w:type="dxa"/>
        <w:tblLayout w:type="fixed"/>
        <w:tblCellMar>
          <w:top w:w="15" w:type="dxa"/>
          <w:left w:w="15" w:type="dxa"/>
          <w:bottom w:w="15" w:type="dxa"/>
          <w:right w:w="15" w:type="dxa"/>
        </w:tblCellMar>
      </w:tblPr>
      <w:tblGrid>
        <w:gridCol w:w="876"/>
        <w:gridCol w:w="1029"/>
        <w:gridCol w:w="1647"/>
        <w:gridCol w:w="9900"/>
        <w:gridCol w:w="1132"/>
      </w:tblGrid>
      <w:tr>
        <w:tblPrEx>
          <w:tblLayout w:type="fixed"/>
          <w:tblCellMar>
            <w:top w:w="15" w:type="dxa"/>
            <w:left w:w="15" w:type="dxa"/>
            <w:bottom w:w="15" w:type="dxa"/>
            <w:right w:w="15" w:type="dxa"/>
          </w:tblCellMar>
        </w:tblPrEx>
        <w:trPr>
          <w:trHeight w:val="596" w:hRule="atLeast"/>
          <w:tblHead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b/>
                <w:color w:val="000000"/>
                <w:szCs w:val="21"/>
              </w:rPr>
            </w:pPr>
            <w:r>
              <w:rPr>
                <w:rFonts w:hint="eastAsia" w:ascii="宋体" w:hAnsi="宋体" w:cs="宋体"/>
                <w:b/>
                <w:color w:val="000000"/>
                <w:kern w:val="0"/>
                <w:szCs w:val="21"/>
              </w:rPr>
              <w:t>本表序号</w:t>
            </w:r>
          </w:p>
        </w:tc>
        <w:tc>
          <w:tcPr>
            <w:tcW w:w="1029"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b/>
                <w:color w:val="000000"/>
                <w:szCs w:val="21"/>
              </w:rPr>
            </w:pPr>
            <w:r>
              <w:rPr>
                <w:rFonts w:hint="eastAsia" w:ascii="宋体" w:hAnsi="宋体" w:cs="宋体"/>
                <w:b/>
                <w:bCs/>
                <w:color w:val="000000"/>
                <w:szCs w:val="21"/>
              </w:rPr>
              <w:t>4</w:t>
            </w:r>
            <w:r>
              <w:rPr>
                <w:rFonts w:hint="eastAsia" w:ascii="宋体" w:hAnsi="宋体" w:cs="宋体"/>
                <w:b/>
                <w:color w:val="000000"/>
                <w:kern w:val="0"/>
                <w:szCs w:val="21"/>
              </w:rPr>
              <w:t>号线清单表序号</w:t>
            </w:r>
          </w:p>
        </w:tc>
        <w:tc>
          <w:tcPr>
            <w:tcW w:w="1647"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b/>
                <w:color w:val="000000"/>
                <w:szCs w:val="21"/>
              </w:rPr>
            </w:pPr>
            <w:r>
              <w:rPr>
                <w:rFonts w:hint="eastAsia" w:ascii="宋体" w:hAnsi="宋体" w:cs="宋体"/>
                <w:b/>
                <w:color w:val="000000"/>
                <w:kern w:val="0"/>
                <w:szCs w:val="21"/>
              </w:rPr>
              <w:t>物资名称</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b/>
                <w:color w:val="000000"/>
                <w:szCs w:val="21"/>
              </w:rPr>
            </w:pPr>
            <w:r>
              <w:rPr>
                <w:rFonts w:hint="eastAsia" w:ascii="宋体" w:hAnsi="宋体" w:cs="宋体"/>
                <w:b/>
                <w:color w:val="000000"/>
                <w:kern w:val="0"/>
                <w:szCs w:val="21"/>
              </w:rPr>
              <w:t>技术参数</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tblPrEx>
          <w:tblLayout w:type="fixed"/>
          <w:tblCellMar>
            <w:top w:w="15" w:type="dxa"/>
            <w:left w:w="15" w:type="dxa"/>
            <w:bottom w:w="15" w:type="dxa"/>
            <w:right w:w="15" w:type="dxa"/>
          </w:tblCellMar>
        </w:tblPrEx>
        <w:trPr>
          <w:trHeight w:val="1292"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司机操纵台</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color w:val="000000"/>
                <w:kern w:val="0"/>
                <w:szCs w:val="21"/>
              </w:rPr>
            </w:pPr>
            <w:r>
              <w:rPr>
                <w:rFonts w:hint="eastAsia" w:ascii="宋体" w:hAnsi="宋体" w:cs="宋体"/>
                <w:color w:val="000000"/>
                <w:kern w:val="0"/>
                <w:szCs w:val="21"/>
              </w:rPr>
              <w:t>1.钢结构</w:t>
            </w:r>
          </w:p>
          <w:p>
            <w:pPr>
              <w:widowControl/>
              <w:spacing w:line="420" w:lineRule="exact"/>
              <w:jc w:val="left"/>
              <w:rPr>
                <w:rFonts w:ascii="宋体" w:hAnsi="宋体" w:cs="宋体"/>
                <w:kern w:val="0"/>
                <w:szCs w:val="21"/>
              </w:rPr>
            </w:pPr>
            <w:r>
              <w:rPr>
                <w:rFonts w:hint="eastAsia" w:ascii="宋体" w:hAnsi="宋体" w:cs="宋体"/>
                <w:color w:val="000000"/>
                <w:kern w:val="0"/>
                <w:szCs w:val="21"/>
              </w:rPr>
              <w:t>2.主要操作设备包括司机控制器、开关门按钮及指示灯、列车模式开关、紧急按钮、停放制动按钮、通讯设备、升降弓按钮、HMI设备、ATC设备和双针风表等，与实际列车上的对应设备具有相同的功能和控制逻辑。</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606"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2</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行调控制台</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包括控制台台体、控制台终端、触摸屏、控制台座椅（不锈钢仿皮质座椅）、电话、无线网卡、显示器等。</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65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3</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车站值班员</w:t>
            </w:r>
          </w:p>
          <w:p>
            <w:pPr>
              <w:widowControl/>
              <w:spacing w:line="420" w:lineRule="exact"/>
              <w:jc w:val="center"/>
              <w:rPr>
                <w:rFonts w:ascii="宋体" w:hAnsi="宋体" w:cs="宋体"/>
                <w:szCs w:val="21"/>
              </w:rPr>
            </w:pPr>
            <w:r>
              <w:rPr>
                <w:rFonts w:hint="eastAsia" w:ascii="宋体" w:hAnsi="宋体" w:cs="宋体"/>
                <w:color w:val="000000"/>
                <w:kern w:val="0"/>
                <w:szCs w:val="21"/>
              </w:rPr>
              <w:t>控制台</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包括控制台台体、控制台终端、触摸屏、控制台座椅（不锈钢仿皮质座椅）、无线网卡、显示器等。</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686"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4</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前向视景</w:t>
            </w:r>
          </w:p>
          <w:p>
            <w:pPr>
              <w:widowControl/>
              <w:spacing w:line="420" w:lineRule="exact"/>
              <w:jc w:val="center"/>
              <w:rPr>
                <w:rFonts w:ascii="宋体" w:hAnsi="宋体" w:cs="宋体"/>
                <w:szCs w:val="21"/>
              </w:rPr>
            </w:pPr>
            <w:r>
              <w:rPr>
                <w:rFonts w:hint="eastAsia" w:ascii="宋体" w:hAnsi="宋体" w:cs="宋体"/>
                <w:color w:val="000000"/>
                <w:kern w:val="0"/>
                <w:szCs w:val="21"/>
              </w:rPr>
              <w:t>显示器</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大屏显示器，不少于60英寸。</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716"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5</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前向视景</w:t>
            </w:r>
          </w:p>
          <w:p>
            <w:pPr>
              <w:widowControl/>
              <w:spacing w:line="420" w:lineRule="exact"/>
              <w:jc w:val="center"/>
              <w:rPr>
                <w:rFonts w:ascii="宋体" w:hAnsi="宋体" w:cs="宋体"/>
                <w:szCs w:val="21"/>
              </w:rPr>
            </w:pPr>
            <w:r>
              <w:rPr>
                <w:rFonts w:hint="eastAsia" w:ascii="宋体" w:hAnsi="宋体" w:cs="宋体"/>
                <w:color w:val="000000"/>
                <w:kern w:val="0"/>
                <w:szCs w:val="21"/>
              </w:rPr>
              <w:t>显示终端</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终端采用定制工控机。</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222"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6</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高速数据采集控制系统</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color w:val="000000"/>
                <w:kern w:val="0"/>
                <w:szCs w:val="21"/>
              </w:rPr>
            </w:pPr>
            <w:r>
              <w:rPr>
                <w:rFonts w:hint="eastAsia" w:ascii="宋体" w:hAnsi="宋体" w:cs="宋体"/>
                <w:color w:val="000000"/>
                <w:kern w:val="0"/>
                <w:szCs w:val="21"/>
              </w:rPr>
              <w:t>1.内置微机测控及通讯系统,可实现数据采集及输出以及通讯功能。</w:t>
            </w:r>
          </w:p>
          <w:p>
            <w:pPr>
              <w:widowControl/>
              <w:spacing w:line="420" w:lineRule="exact"/>
              <w:jc w:val="left"/>
              <w:rPr>
                <w:rFonts w:ascii="宋体" w:hAnsi="宋体" w:cs="宋体"/>
                <w:color w:val="000000"/>
                <w:kern w:val="0"/>
                <w:szCs w:val="21"/>
              </w:rPr>
            </w:pPr>
            <w:r>
              <w:rPr>
                <w:rFonts w:hint="eastAsia" w:ascii="宋体" w:hAnsi="宋体" w:cs="宋体"/>
                <w:color w:val="000000"/>
                <w:kern w:val="0"/>
                <w:szCs w:val="21"/>
              </w:rPr>
              <w:t>2.PLC采集与控制，标准型CPU模块，继电器输出，220V AC供电，有输入输出。</w:t>
            </w:r>
          </w:p>
          <w:p>
            <w:pPr>
              <w:widowControl/>
              <w:spacing w:line="420" w:lineRule="exact"/>
              <w:jc w:val="left"/>
              <w:rPr>
                <w:rFonts w:ascii="宋体" w:hAnsi="宋体" w:cs="宋体"/>
                <w:color w:val="000000"/>
                <w:kern w:val="0"/>
                <w:szCs w:val="21"/>
              </w:rPr>
            </w:pPr>
            <w:r>
              <w:rPr>
                <w:rFonts w:hint="eastAsia" w:ascii="宋体" w:hAnsi="宋体" w:cs="宋体"/>
                <w:color w:val="000000"/>
                <w:kern w:val="0"/>
                <w:szCs w:val="21"/>
              </w:rPr>
              <w:t>3.扩展模块EM：数字量输入模块</w:t>
            </w:r>
          </w:p>
          <w:p>
            <w:pPr>
              <w:widowControl/>
              <w:spacing w:line="420" w:lineRule="exact"/>
              <w:jc w:val="left"/>
              <w:rPr>
                <w:rFonts w:ascii="宋体" w:hAnsi="宋体" w:cs="宋体"/>
                <w:kern w:val="0"/>
                <w:szCs w:val="21"/>
              </w:rPr>
            </w:pPr>
            <w:r>
              <w:rPr>
                <w:rFonts w:hint="eastAsia" w:ascii="宋体" w:hAnsi="宋体" w:cs="宋体"/>
                <w:color w:val="000000"/>
                <w:kern w:val="0"/>
                <w:szCs w:val="21"/>
              </w:rPr>
              <w:t>4.信号板SB：通信信号板。</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111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7</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安全门就地控制盒</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color w:val="000000"/>
                <w:kern w:val="0"/>
                <w:szCs w:val="21"/>
              </w:rPr>
            </w:pPr>
            <w:r>
              <w:rPr>
                <w:rFonts w:hint="eastAsia" w:ascii="宋体" w:hAnsi="宋体" w:cs="宋体"/>
                <w:color w:val="000000"/>
                <w:kern w:val="0"/>
                <w:szCs w:val="21"/>
              </w:rPr>
              <w:t>1.司机操纵台左右两侧各一套。</w:t>
            </w:r>
          </w:p>
          <w:p>
            <w:pPr>
              <w:widowControl/>
              <w:spacing w:line="420" w:lineRule="exact"/>
              <w:jc w:val="left"/>
              <w:rPr>
                <w:rFonts w:ascii="宋体" w:hAnsi="宋体" w:cs="宋体"/>
                <w:kern w:val="0"/>
                <w:szCs w:val="21"/>
              </w:rPr>
            </w:pPr>
            <w:r>
              <w:rPr>
                <w:rFonts w:hint="eastAsia" w:ascii="宋体" w:hAnsi="宋体" w:cs="宋体"/>
                <w:color w:val="000000"/>
                <w:kern w:val="0"/>
                <w:szCs w:val="21"/>
              </w:rPr>
              <w:t>2.盘面包括指示灯（包括PSL允许、ASD开、互锁解除、门全关且锁紧等显示）、钥匙开关（包括PSL允许、互锁解除；按钮：开门、关门、灯测试等功能）。</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4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8</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司机座椅</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专业司机座椅，可调高度、靠背位置，面料材质真皮、皮革、绒布，填充物高回弹冷发泡海棉。</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24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9</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电气屏柜模拟台</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color w:val="000000"/>
                <w:kern w:val="0"/>
                <w:szCs w:val="21"/>
              </w:rPr>
            </w:pPr>
            <w:r>
              <w:rPr>
                <w:rFonts w:hint="eastAsia" w:ascii="宋体" w:hAnsi="宋体" w:cs="宋体"/>
                <w:color w:val="000000"/>
                <w:kern w:val="0"/>
                <w:szCs w:val="21"/>
              </w:rPr>
              <w:t>1.采用一体式控制台，钢结构，内置定制工控机及21.5英寸显示系统。</w:t>
            </w:r>
          </w:p>
          <w:p>
            <w:pPr>
              <w:widowControl/>
              <w:spacing w:line="420" w:lineRule="exact"/>
              <w:jc w:val="left"/>
              <w:rPr>
                <w:rFonts w:ascii="宋体" w:hAnsi="宋体" w:cs="宋体"/>
                <w:kern w:val="0"/>
                <w:szCs w:val="21"/>
              </w:rPr>
            </w:pPr>
            <w:r>
              <w:rPr>
                <w:rFonts w:hint="eastAsia" w:ascii="宋体" w:hAnsi="宋体" w:cs="宋体"/>
                <w:color w:val="000000"/>
                <w:kern w:val="0"/>
                <w:szCs w:val="21"/>
              </w:rPr>
              <w:t>2.分视图显示区及鼠标键盘操作区两部分组成，安装有三维数字化虚拟列车软件。</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67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10</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控制台座椅</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不锈钢仿皮质座椅 弓形椅，具有抗氧化性高、提高耐磨性、抗腐蚀性、美观坚固，人工工程学靠背，完美腰部撑托，腰椎舒缓解释放压力。</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283"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11</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侧窗显示器</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显示器能满足系统性能要求，能清晰展示列车侧面情况。</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32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12</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侧窗显示终端</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终端采用定制工控机，主要用于侧窗视景加载，给左右侧窗视景提供信号源。</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9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13</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电话机</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黑色，手柄按键一体化设计，使用更方便，各项指标均符合国家认证标准，使用更放心。</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366"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14</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网络交换机</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千兆以太网交换机。</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9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15</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无线路由器</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企业VPN路由器，WAN口数量2个；LAN口数量3个，支持Qos限速功能，支持无线桥接，天线可拆卸，11N无线技术，无线传输速率高达300Mbps。</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100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16</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USB无线网卡</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网络标准：IEEE802.11ac，IEEE802.11n，IEEE802.11g，IEEE802.11b，IEEE802.11a；传输速率：433Mbps；发射功率：20dBm（最大值）；频率范围：双频（2.4G、5G）；总线接口：USB；内置天线。</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40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17</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音响设备</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小音箱，2.0声道，信噪比60dB，功率5W，供电方式DC 5V，尺寸70×72×72mm。</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31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18</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消防设备</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手提式干粉灭火器，2公斤。</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1262"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19</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模拟驾驶器控制软件</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提供驾驶平台及标准化作业环境。模拟驾驶操作系统的软件包含“分布式仿真服务器”、“Loco Module”、“动力学仿真”“HMI显示系统”、“CGI”、“声音系统”、“数据采集及输出系统”“仿真数据库”等。各子系统之间通过高性能的千兆以太网连接，从而保证系统间能流畅地协同工作。</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413"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20</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考核题库</w:t>
            </w:r>
          </w:p>
        </w:tc>
        <w:tc>
          <w:tcPr>
            <w:tcW w:w="9900"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color w:val="000000"/>
                <w:kern w:val="0"/>
                <w:szCs w:val="21"/>
              </w:rPr>
              <w:t>主要可用于列车运行前的整备检查，包括走行部检查、司机室检查、客室检查、动车试验等，同时满足司机在列车运行时出现故障，可以通过此系统进行故障处理和解决。该系统满足在全三维数字化全真虚拟列车内进行故障的处理演练，并能满足列车在线路场景中进行突发非正常状况的处理演练。学员在试题的训练过程中，每套试题都预先设置有故障，列车运行到相应地点，故障即会被触发，视景系统能即时做出响应，学员可通过故障处理机对故障进行处理。具体内容包含：标准化作业：驾驶技能、出乘前检查、出入库作业、区间运行、上下客监护、不同模式驾驶、折返及交接班作业；故障处理：制动系统故障、牵引系统故障、辅助系统故障、车门故障；应急处置：区间火灾、区间无电、异物侵限。</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296" w:hRule="atLeast"/>
        </w:trPr>
        <w:tc>
          <w:tcPr>
            <w:tcW w:w="87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21</w:t>
            </w:r>
          </w:p>
        </w:tc>
        <w:tc>
          <w:tcPr>
            <w:tcW w:w="102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21</w:t>
            </w:r>
          </w:p>
        </w:tc>
        <w:tc>
          <w:tcPr>
            <w:tcW w:w="1647"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操作记录及考评软件</w:t>
            </w:r>
          </w:p>
        </w:tc>
        <w:tc>
          <w:tcPr>
            <w:tcW w:w="9900" w:type="dxa"/>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left"/>
              <w:rPr>
                <w:rFonts w:ascii="宋体" w:hAnsi="宋体" w:cs="宋体"/>
                <w:kern w:val="0"/>
                <w:szCs w:val="21"/>
              </w:rPr>
            </w:pPr>
            <w:r>
              <w:rPr>
                <w:rFonts w:hint="eastAsia" w:ascii="宋体" w:hAnsi="宋体" w:cs="宋体"/>
                <w:szCs w:val="21"/>
              </w:rPr>
              <w:t>自动检测考试过程及结果，并自动评分。</w:t>
            </w:r>
          </w:p>
        </w:tc>
        <w:tc>
          <w:tcPr>
            <w:tcW w:w="1132" w:type="dxa"/>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宋体" w:hAnsi="宋体" w:cs="宋体"/>
                <w:szCs w:val="21"/>
              </w:rPr>
            </w:pPr>
          </w:p>
        </w:tc>
      </w:tr>
      <w:tr>
        <w:tblPrEx>
          <w:tblLayout w:type="fixed"/>
          <w:tblCellMar>
            <w:top w:w="15" w:type="dxa"/>
            <w:left w:w="15" w:type="dxa"/>
            <w:bottom w:w="15" w:type="dxa"/>
            <w:right w:w="15" w:type="dxa"/>
          </w:tblCellMar>
        </w:tblPrEx>
        <w:trPr>
          <w:trHeight w:val="601" w:hRule="atLeast"/>
        </w:trPr>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center"/>
              <w:rPr>
                <w:rFonts w:ascii="宋体" w:hAnsi="宋体" w:cs="宋体"/>
                <w:szCs w:val="21"/>
              </w:rPr>
            </w:pPr>
            <w:bookmarkStart w:id="53" w:name="_Toc26909"/>
            <w:bookmarkStart w:id="54" w:name="_Toc16160"/>
            <w:bookmarkStart w:id="55" w:name="_Toc22180_WPSOffice_Level1"/>
            <w:r>
              <w:rPr>
                <w:rFonts w:hint="eastAsia" w:ascii="宋体" w:hAnsi="宋体" w:cs="宋体"/>
                <w:szCs w:val="21"/>
              </w:rPr>
              <w:t>22</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center"/>
              <w:rPr>
                <w:rFonts w:ascii="宋体" w:hAnsi="宋体" w:cs="宋体"/>
                <w:szCs w:val="21"/>
              </w:rPr>
            </w:pPr>
            <w:r>
              <w:rPr>
                <w:rFonts w:hint="eastAsia" w:ascii="宋体" w:hAnsi="宋体" w:cs="宋体"/>
                <w:szCs w:val="21"/>
              </w:rPr>
              <w:t>22</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szCs w:val="21"/>
              </w:rPr>
            </w:pPr>
            <w:r>
              <w:rPr>
                <w:rFonts w:hint="eastAsia" w:ascii="宋体" w:hAnsi="宋体" w:cs="宋体"/>
                <w:color w:val="000000"/>
                <w:kern w:val="0"/>
                <w:szCs w:val="21"/>
              </w:rPr>
              <w:t>考核控制终端管理系统</w:t>
            </w:r>
          </w:p>
        </w:tc>
        <w:tc>
          <w:tcPr>
            <w:tcW w:w="9900"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ascii="宋体" w:hAnsi="宋体" w:cs="宋体"/>
                <w:kern w:val="0"/>
                <w:szCs w:val="21"/>
              </w:rPr>
            </w:pPr>
            <w:r>
              <w:rPr>
                <w:rFonts w:hint="eastAsia" w:ascii="宋体" w:hAnsi="宋体" w:cs="宋体"/>
                <w:szCs w:val="21"/>
              </w:rPr>
              <w:t>承担着列车模拟器的全方位监管、控制和系统维护任务。</w:t>
            </w:r>
          </w:p>
        </w:tc>
        <w:tc>
          <w:tcPr>
            <w:tcW w:w="1132" w:type="dxa"/>
            <w:tcBorders>
              <w:top w:val="single" w:color="auto" w:sz="4" w:space="0"/>
              <w:left w:val="single" w:color="auto" w:sz="4" w:space="0"/>
              <w:bottom w:val="single" w:color="auto" w:sz="4" w:space="0"/>
              <w:right w:val="single" w:color="auto" w:sz="4" w:space="0"/>
            </w:tcBorders>
          </w:tcPr>
          <w:p>
            <w:pPr>
              <w:widowControl/>
              <w:spacing w:line="420" w:lineRule="exact"/>
              <w:jc w:val="center"/>
              <w:textAlignment w:val="center"/>
              <w:rPr>
                <w:rFonts w:ascii="宋体" w:hAnsi="宋体" w:cs="宋体"/>
                <w:szCs w:val="21"/>
              </w:rPr>
            </w:pPr>
          </w:p>
        </w:tc>
      </w:tr>
    </w:tbl>
    <w:p>
      <w:pPr>
        <w:pStyle w:val="127"/>
        <w:numPr>
          <w:ilvl w:val="0"/>
          <w:numId w:val="0"/>
        </w:numPr>
        <w:spacing w:before="312" w:beforeLines="100" w:line="360" w:lineRule="auto"/>
        <w:jc w:val="left"/>
        <w:rPr>
          <w:rFonts w:ascii="宋体" w:hAnsi="宋体" w:cs="宋体"/>
          <w:snapToGrid w:val="0"/>
          <w:color w:val="000000"/>
          <w:kern w:val="0"/>
          <w:sz w:val="21"/>
          <w:szCs w:val="21"/>
        </w:rPr>
        <w:sectPr>
          <w:pgSz w:w="16783" w:h="11850" w:orient="landscape"/>
          <w:pgMar w:top="1800" w:right="1440" w:bottom="1800" w:left="1440" w:header="851" w:footer="992" w:gutter="0"/>
          <w:cols w:space="720" w:num="1"/>
          <w:docGrid w:type="lines" w:linePitch="312" w:charSpace="0"/>
        </w:sectPr>
      </w:pPr>
    </w:p>
    <w:p>
      <w:pPr>
        <w:pStyle w:val="127"/>
        <w:numPr>
          <w:ilvl w:val="0"/>
          <w:numId w:val="0"/>
        </w:numPr>
        <w:spacing w:line="360" w:lineRule="auto"/>
        <w:ind w:firstLine="422" w:firstLineChars="200"/>
        <w:jc w:val="left"/>
        <w:rPr>
          <w:rFonts w:ascii="宋体" w:hAnsi="宋体" w:cs="宋体"/>
          <w:color w:val="000000"/>
          <w:sz w:val="21"/>
          <w:szCs w:val="21"/>
        </w:rPr>
      </w:pPr>
      <w:r>
        <w:rPr>
          <w:rFonts w:hint="eastAsia" w:ascii="宋体" w:hAnsi="宋体" w:cs="宋体"/>
          <w:snapToGrid w:val="0"/>
          <w:color w:val="000000"/>
          <w:kern w:val="0"/>
          <w:sz w:val="21"/>
          <w:szCs w:val="21"/>
        </w:rPr>
        <w:t>4</w:t>
      </w:r>
      <w:r>
        <w:rPr>
          <w:rFonts w:hint="eastAsia" w:ascii="宋体" w:hAnsi="宋体" w:cs="宋体"/>
          <w:color w:val="000000"/>
          <w:sz w:val="21"/>
          <w:szCs w:val="21"/>
        </w:rPr>
        <w:t>项目管理</w:t>
      </w:r>
      <w:bookmarkEnd w:id="53"/>
      <w:bookmarkEnd w:id="54"/>
      <w:bookmarkEnd w:id="55"/>
    </w:p>
    <w:p>
      <w:pPr>
        <w:autoSpaceDE w:val="0"/>
        <w:autoSpaceDN w:val="0"/>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投标方应指定专人负责设备的安装、调试、培训、维保等工作。</w:t>
      </w:r>
    </w:p>
    <w:p>
      <w:pPr>
        <w:pStyle w:val="127"/>
        <w:numPr>
          <w:ilvl w:val="0"/>
          <w:numId w:val="0"/>
        </w:numPr>
        <w:spacing w:line="360" w:lineRule="auto"/>
        <w:ind w:firstLine="422" w:firstLineChars="200"/>
        <w:jc w:val="left"/>
        <w:rPr>
          <w:rFonts w:ascii="宋体" w:hAnsi="宋体" w:cs="宋体"/>
          <w:snapToGrid w:val="0"/>
          <w:color w:val="000000"/>
          <w:kern w:val="0"/>
          <w:sz w:val="21"/>
          <w:szCs w:val="21"/>
        </w:rPr>
      </w:pPr>
      <w:bookmarkStart w:id="56" w:name="_Toc21921_WPSOffice_Level1"/>
      <w:bookmarkStart w:id="57" w:name="_Toc3236"/>
      <w:r>
        <w:rPr>
          <w:rFonts w:hint="eastAsia" w:ascii="宋体" w:hAnsi="宋体" w:cs="宋体"/>
          <w:snapToGrid w:val="0"/>
          <w:color w:val="000000"/>
          <w:kern w:val="0"/>
          <w:sz w:val="21"/>
          <w:szCs w:val="21"/>
        </w:rPr>
        <w:t>5验收</w:t>
      </w:r>
      <w:bookmarkEnd w:id="56"/>
      <w:r>
        <w:rPr>
          <w:rFonts w:hint="eastAsia" w:ascii="宋体" w:hAnsi="宋体" w:cs="宋体"/>
          <w:snapToGrid w:val="0"/>
          <w:color w:val="000000"/>
          <w:kern w:val="0"/>
          <w:sz w:val="21"/>
          <w:szCs w:val="21"/>
        </w:rPr>
        <w:t>要求</w:t>
      </w:r>
      <w:bookmarkEnd w:id="57"/>
    </w:p>
    <w:p>
      <w:pPr>
        <w:pStyle w:val="153"/>
        <w:spacing w:line="360" w:lineRule="auto"/>
        <w:ind w:firstLine="420" w:firstLineChars="200"/>
        <w:jc w:val="left"/>
        <w:rPr>
          <w:rFonts w:hint="default" w:cs="宋体"/>
          <w:color w:val="000000"/>
          <w:sz w:val="21"/>
          <w:szCs w:val="21"/>
        </w:rPr>
      </w:pPr>
      <w:bookmarkStart w:id="58" w:name="_Toc30104"/>
      <w:bookmarkStart w:id="59" w:name="_Toc24976"/>
      <w:r>
        <w:rPr>
          <w:rFonts w:cs="宋体"/>
          <w:b w:val="0"/>
          <w:bCs/>
          <w:color w:val="000000"/>
          <w:sz w:val="21"/>
          <w:szCs w:val="21"/>
        </w:rPr>
        <w:t>投标方交付的模拟驾驶器必须达到3.1.1提及的质量标准以及合格证书、技术性能参数、质量参数和国家质量标准。</w:t>
      </w:r>
      <w:bookmarkEnd w:id="58"/>
      <w:bookmarkEnd w:id="59"/>
    </w:p>
    <w:p>
      <w:pPr>
        <w:pStyle w:val="88"/>
        <w:spacing w:before="0" w:line="360" w:lineRule="auto"/>
        <w:ind w:firstLine="420" w:firstLineChars="200"/>
        <w:jc w:val="left"/>
        <w:rPr>
          <w:rFonts w:cs="宋体"/>
          <w:snapToGrid/>
          <w:color w:val="000000"/>
          <w:kern w:val="2"/>
          <w:sz w:val="21"/>
          <w:szCs w:val="21"/>
        </w:rPr>
      </w:pPr>
      <w:bookmarkStart w:id="60" w:name="_Toc5339_WPSOffice_Level1"/>
      <w:bookmarkStart w:id="61" w:name="_Toc21834"/>
      <w:bookmarkStart w:id="62" w:name="_Toc31385"/>
      <w:r>
        <w:rPr>
          <w:rFonts w:hint="eastAsia" w:cs="宋体"/>
          <w:snapToGrid/>
          <w:color w:val="000000"/>
          <w:kern w:val="2"/>
          <w:sz w:val="21"/>
          <w:szCs w:val="21"/>
        </w:rPr>
        <w:t>5.1检验方法</w:t>
      </w:r>
      <w:bookmarkEnd w:id="60"/>
      <w:bookmarkEnd w:id="61"/>
      <w:bookmarkEnd w:id="62"/>
    </w:p>
    <w:p>
      <w:pPr>
        <w:pStyle w:val="88"/>
        <w:spacing w:before="0" w:line="360" w:lineRule="auto"/>
        <w:ind w:firstLine="420" w:firstLineChars="200"/>
        <w:jc w:val="left"/>
        <w:rPr>
          <w:rFonts w:cs="宋体"/>
          <w:snapToGrid/>
          <w:color w:val="000000"/>
          <w:kern w:val="2"/>
          <w:sz w:val="21"/>
          <w:szCs w:val="21"/>
        </w:rPr>
      </w:pPr>
      <w:bookmarkStart w:id="63" w:name="_Toc14214"/>
      <w:bookmarkStart w:id="64" w:name="_Toc2180"/>
      <w:r>
        <w:rPr>
          <w:rFonts w:hint="eastAsia" w:cs="宋体"/>
          <w:snapToGrid/>
          <w:color w:val="000000"/>
          <w:kern w:val="2"/>
          <w:sz w:val="21"/>
          <w:szCs w:val="21"/>
        </w:rPr>
        <w:t>5.1.1采取目测和简易测量的方法对货物的外观检验，对照合格证书、检验报告等对产品进行检验。</w:t>
      </w:r>
      <w:bookmarkEnd w:id="63"/>
      <w:bookmarkEnd w:id="64"/>
    </w:p>
    <w:p>
      <w:pPr>
        <w:pStyle w:val="88"/>
        <w:spacing w:before="0" w:line="360" w:lineRule="auto"/>
        <w:ind w:firstLine="420" w:firstLineChars="200"/>
        <w:jc w:val="left"/>
        <w:rPr>
          <w:rFonts w:cs="宋体"/>
          <w:snapToGrid/>
          <w:color w:val="000000"/>
          <w:kern w:val="2"/>
          <w:sz w:val="21"/>
          <w:szCs w:val="21"/>
        </w:rPr>
      </w:pPr>
      <w:bookmarkStart w:id="65" w:name="_Toc14933"/>
      <w:bookmarkStart w:id="66" w:name="_Toc29659"/>
      <w:r>
        <w:rPr>
          <w:rFonts w:hint="eastAsia" w:cs="宋体"/>
          <w:snapToGrid/>
          <w:color w:val="000000"/>
          <w:kern w:val="2"/>
          <w:sz w:val="21"/>
          <w:szCs w:val="21"/>
        </w:rPr>
        <w:t>5.1.2采取人工测试的方式对模拟驾驶器的安装调试情况进行检验，如检验不合格（如出现无法使用或使用故障短时间内无法修复等情况），由此产生的费用由投标方支付。</w:t>
      </w:r>
      <w:bookmarkEnd w:id="65"/>
      <w:bookmarkEnd w:id="66"/>
    </w:p>
    <w:p>
      <w:pPr>
        <w:pStyle w:val="88"/>
        <w:spacing w:before="0" w:line="360" w:lineRule="auto"/>
        <w:ind w:firstLine="420" w:firstLineChars="200"/>
        <w:jc w:val="left"/>
        <w:rPr>
          <w:rFonts w:cs="宋体"/>
          <w:snapToGrid/>
          <w:color w:val="000000"/>
          <w:kern w:val="2"/>
          <w:sz w:val="21"/>
          <w:szCs w:val="21"/>
        </w:rPr>
      </w:pPr>
      <w:bookmarkStart w:id="67" w:name="_Toc28405"/>
      <w:bookmarkStart w:id="68" w:name="_Toc20502"/>
      <w:r>
        <w:rPr>
          <w:rFonts w:hint="eastAsia" w:cs="宋体"/>
          <w:snapToGrid/>
          <w:color w:val="000000"/>
          <w:kern w:val="2"/>
          <w:sz w:val="21"/>
          <w:szCs w:val="21"/>
        </w:rPr>
        <w:t>5.1.3</w:t>
      </w:r>
      <w:bookmarkEnd w:id="67"/>
      <w:r>
        <w:rPr>
          <w:rFonts w:hint="eastAsia" w:cs="宋体"/>
          <w:snapToGrid/>
          <w:color w:val="000000"/>
          <w:kern w:val="2"/>
          <w:sz w:val="21"/>
          <w:szCs w:val="21"/>
        </w:rPr>
        <w:t>包括但不限于以上检验方法。</w:t>
      </w:r>
      <w:bookmarkEnd w:id="68"/>
    </w:p>
    <w:p>
      <w:pPr>
        <w:pStyle w:val="88"/>
        <w:spacing w:before="0" w:line="360" w:lineRule="auto"/>
        <w:ind w:firstLine="420" w:firstLineChars="200"/>
        <w:jc w:val="left"/>
        <w:rPr>
          <w:rFonts w:cs="宋体"/>
          <w:snapToGrid/>
          <w:kern w:val="2"/>
          <w:sz w:val="21"/>
          <w:szCs w:val="21"/>
        </w:rPr>
      </w:pPr>
      <w:r>
        <w:rPr>
          <w:rFonts w:hint="eastAsia" w:cs="宋体"/>
          <w:snapToGrid/>
          <w:kern w:val="2"/>
          <w:sz w:val="21"/>
          <w:szCs w:val="21"/>
        </w:rPr>
        <w:t>5.2 有效期要求</w:t>
      </w:r>
    </w:p>
    <w:p>
      <w:pPr>
        <w:pStyle w:val="88"/>
        <w:spacing w:before="0" w:line="360" w:lineRule="auto"/>
        <w:ind w:firstLine="420" w:firstLineChars="200"/>
        <w:jc w:val="left"/>
        <w:rPr>
          <w:rFonts w:cs="宋体"/>
          <w:snapToGrid/>
          <w:kern w:val="2"/>
          <w:sz w:val="21"/>
          <w:szCs w:val="21"/>
        </w:rPr>
      </w:pPr>
      <w:r>
        <w:rPr>
          <w:rFonts w:hint="eastAsia" w:cs="宋体"/>
          <w:snapToGrid/>
          <w:kern w:val="2"/>
          <w:sz w:val="21"/>
          <w:szCs w:val="21"/>
        </w:rPr>
        <w:t>5.2.1 含有有效期的物资到货时有效期需在总有效期的六分之五时间范围内。如：有效期为</w:t>
      </w:r>
      <w:r>
        <w:rPr>
          <w:rFonts w:hint="eastAsia" w:cs="宋体"/>
          <w:snapToGrid/>
          <w:kern w:val="2"/>
          <w:sz w:val="21"/>
          <w:szCs w:val="21"/>
          <w:u w:val="single"/>
        </w:rPr>
        <w:t>24</w:t>
      </w:r>
      <w:r>
        <w:rPr>
          <w:rFonts w:hint="eastAsia" w:cs="宋体"/>
          <w:snapToGrid/>
          <w:kern w:val="2"/>
          <w:sz w:val="21"/>
          <w:szCs w:val="21"/>
        </w:rPr>
        <w:t>个月，从到货之日算起，剩余有效期不少于</w:t>
      </w:r>
      <w:r>
        <w:rPr>
          <w:rFonts w:hint="eastAsia" w:cs="宋体"/>
          <w:snapToGrid/>
          <w:kern w:val="2"/>
          <w:sz w:val="21"/>
          <w:szCs w:val="21"/>
          <w:u w:val="single"/>
        </w:rPr>
        <w:t>20</w:t>
      </w:r>
      <w:r>
        <w:rPr>
          <w:rFonts w:hint="eastAsia" w:cs="宋体"/>
          <w:snapToGrid/>
          <w:kern w:val="2"/>
          <w:sz w:val="21"/>
          <w:szCs w:val="21"/>
        </w:rPr>
        <w:t>个月。</w:t>
      </w:r>
    </w:p>
    <w:p>
      <w:pPr>
        <w:pStyle w:val="127"/>
        <w:numPr>
          <w:ilvl w:val="0"/>
          <w:numId w:val="0"/>
        </w:numPr>
        <w:spacing w:line="360" w:lineRule="auto"/>
        <w:ind w:firstLine="422" w:firstLineChars="200"/>
        <w:jc w:val="left"/>
        <w:rPr>
          <w:rFonts w:ascii="宋体" w:hAnsi="宋体" w:cs="宋体"/>
          <w:snapToGrid w:val="0"/>
          <w:color w:val="000000"/>
          <w:kern w:val="0"/>
          <w:sz w:val="21"/>
          <w:szCs w:val="21"/>
        </w:rPr>
      </w:pPr>
      <w:bookmarkStart w:id="69" w:name="_Toc32591_WPSOffice_Level1"/>
      <w:bookmarkStart w:id="70" w:name="_Toc8417"/>
      <w:bookmarkStart w:id="71" w:name="_Toc4983"/>
      <w:r>
        <w:rPr>
          <w:rFonts w:hint="eastAsia" w:ascii="宋体" w:hAnsi="宋体" w:cs="宋体"/>
          <w:snapToGrid w:val="0"/>
          <w:color w:val="000000"/>
          <w:kern w:val="0"/>
          <w:sz w:val="21"/>
          <w:szCs w:val="21"/>
        </w:rPr>
        <w:t>6质保期</w:t>
      </w:r>
      <w:bookmarkEnd w:id="69"/>
      <w:bookmarkEnd w:id="70"/>
      <w:bookmarkEnd w:id="71"/>
    </w:p>
    <w:p>
      <w:pPr>
        <w:pStyle w:val="153"/>
        <w:spacing w:line="360" w:lineRule="auto"/>
        <w:ind w:firstLine="422" w:firstLineChars="200"/>
        <w:jc w:val="left"/>
        <w:rPr>
          <w:rFonts w:hint="default" w:cs="宋体"/>
          <w:color w:val="000000"/>
          <w:sz w:val="21"/>
          <w:szCs w:val="21"/>
        </w:rPr>
      </w:pPr>
      <w:bookmarkStart w:id="72" w:name="_Toc24020"/>
      <w:bookmarkStart w:id="73" w:name="_Toc29867"/>
      <w:bookmarkStart w:id="74" w:name="_Toc31679_WPSOffice_Level1"/>
      <w:bookmarkStart w:id="75" w:name="_Toc31583_WPSOffice_Level1"/>
      <w:bookmarkStart w:id="76" w:name="_Toc29053_WPSOffice_Level1"/>
      <w:r>
        <w:rPr>
          <w:rFonts w:cs="宋体"/>
          <w:color w:val="000000"/>
          <w:sz w:val="21"/>
          <w:szCs w:val="21"/>
        </w:rPr>
        <w:t>6.1质保期要求</w:t>
      </w:r>
      <w:bookmarkEnd w:id="72"/>
      <w:bookmarkEnd w:id="73"/>
      <w:bookmarkEnd w:id="74"/>
      <w:bookmarkEnd w:id="75"/>
      <w:bookmarkEnd w:id="76"/>
    </w:p>
    <w:p>
      <w:pPr>
        <w:pStyle w:val="88"/>
        <w:spacing w:before="0" w:line="360" w:lineRule="auto"/>
        <w:ind w:firstLine="420" w:firstLineChars="200"/>
        <w:jc w:val="left"/>
        <w:outlineLvl w:val="9"/>
        <w:rPr>
          <w:rFonts w:cs="宋体"/>
          <w:snapToGrid/>
          <w:color w:val="000000"/>
          <w:kern w:val="2"/>
          <w:sz w:val="21"/>
          <w:szCs w:val="21"/>
        </w:rPr>
      </w:pPr>
      <w:bookmarkStart w:id="77" w:name="_Toc18925"/>
      <w:r>
        <w:rPr>
          <w:rFonts w:hint="eastAsia" w:cs="宋体"/>
          <w:snapToGrid/>
          <w:color w:val="000000"/>
          <w:kern w:val="2"/>
          <w:sz w:val="21"/>
          <w:szCs w:val="21"/>
        </w:rPr>
        <w:t>6.1.1</w:t>
      </w:r>
      <w:r>
        <w:rPr>
          <w:rFonts w:hint="eastAsia" w:cs="宋体"/>
          <w:snapToGrid/>
          <w:kern w:val="2"/>
          <w:sz w:val="21"/>
          <w:szCs w:val="21"/>
        </w:rPr>
        <w:t>需求清单中</w:t>
      </w:r>
      <w:r>
        <w:rPr>
          <w:rFonts w:hint="eastAsia" w:cs="宋体"/>
          <w:snapToGrid/>
          <w:color w:val="000000"/>
          <w:kern w:val="2"/>
          <w:sz w:val="21"/>
          <w:szCs w:val="21"/>
        </w:rPr>
        <w:t>所有物资的质保期从全部物资验收合格</w:t>
      </w:r>
      <w:r>
        <w:rPr>
          <w:rFonts w:hint="eastAsia" w:cs="宋体"/>
          <w:snapToGrid/>
          <w:kern w:val="2"/>
          <w:sz w:val="21"/>
          <w:szCs w:val="21"/>
        </w:rPr>
        <w:t>之日算起为</w:t>
      </w:r>
      <w:r>
        <w:rPr>
          <w:rFonts w:hint="eastAsia" w:cs="宋体"/>
          <w:snapToGrid/>
          <w:color w:val="000000"/>
          <w:kern w:val="2"/>
          <w:sz w:val="21"/>
          <w:szCs w:val="21"/>
          <w:u w:val="single"/>
        </w:rPr>
        <w:t>36</w:t>
      </w:r>
      <w:r>
        <w:rPr>
          <w:rFonts w:hint="eastAsia" w:cs="宋体"/>
          <w:snapToGrid/>
          <w:color w:val="000000"/>
          <w:kern w:val="2"/>
          <w:sz w:val="21"/>
          <w:szCs w:val="21"/>
        </w:rPr>
        <w:t>个月。</w:t>
      </w:r>
      <w:bookmarkEnd w:id="77"/>
    </w:p>
    <w:p>
      <w:pPr>
        <w:pStyle w:val="88"/>
        <w:spacing w:before="0" w:line="360" w:lineRule="auto"/>
        <w:ind w:firstLine="420" w:firstLineChars="200"/>
        <w:jc w:val="left"/>
        <w:outlineLvl w:val="9"/>
        <w:rPr>
          <w:rFonts w:cs="宋体"/>
          <w:snapToGrid/>
          <w:color w:val="000000"/>
          <w:kern w:val="2"/>
          <w:sz w:val="21"/>
          <w:szCs w:val="21"/>
        </w:rPr>
      </w:pPr>
      <w:bookmarkStart w:id="78" w:name="_Toc11058"/>
      <w:r>
        <w:rPr>
          <w:rFonts w:hint="eastAsia" w:cs="宋体"/>
          <w:snapToGrid/>
          <w:color w:val="000000"/>
          <w:kern w:val="2"/>
          <w:sz w:val="21"/>
          <w:szCs w:val="21"/>
        </w:rPr>
        <w:t>6.1.2如</w:t>
      </w:r>
      <w:r>
        <w:rPr>
          <w:rFonts w:hint="eastAsia" w:cs="宋体"/>
          <w:snapToGrid/>
          <w:kern w:val="2"/>
          <w:sz w:val="21"/>
          <w:szCs w:val="21"/>
        </w:rPr>
        <w:t>需求清单中</w:t>
      </w:r>
      <w:r>
        <w:rPr>
          <w:rFonts w:hint="eastAsia" w:cs="宋体"/>
          <w:snapToGrid/>
          <w:color w:val="000000"/>
          <w:kern w:val="2"/>
          <w:sz w:val="21"/>
          <w:szCs w:val="21"/>
        </w:rPr>
        <w:t>物资的原品牌生产商质保期/有效期高于</w:t>
      </w:r>
      <w:r>
        <w:rPr>
          <w:rFonts w:hint="eastAsia" w:cs="宋体"/>
          <w:snapToGrid/>
          <w:color w:val="000000"/>
          <w:kern w:val="2"/>
          <w:sz w:val="21"/>
          <w:szCs w:val="21"/>
          <w:u w:val="single"/>
        </w:rPr>
        <w:t>36</w:t>
      </w:r>
      <w:r>
        <w:rPr>
          <w:rFonts w:hint="eastAsia" w:cs="宋体"/>
          <w:snapToGrid/>
          <w:color w:val="000000"/>
          <w:kern w:val="2"/>
          <w:sz w:val="21"/>
          <w:szCs w:val="21"/>
        </w:rPr>
        <w:t>个月的，按原品牌生产商承诺的质保期执行。投标方不能免除质保期结束后，原品牌生产商质保期/有效期高于6.1.1规定的质保期期间的质量责任。</w:t>
      </w:r>
      <w:bookmarkEnd w:id="78"/>
    </w:p>
    <w:p>
      <w:pPr>
        <w:pStyle w:val="88"/>
        <w:spacing w:before="0" w:line="360" w:lineRule="auto"/>
        <w:ind w:firstLine="422" w:firstLineChars="200"/>
        <w:jc w:val="left"/>
        <w:outlineLvl w:val="9"/>
        <w:rPr>
          <w:rFonts w:cs="宋体"/>
          <w:b/>
          <w:color w:val="000000"/>
          <w:sz w:val="21"/>
          <w:szCs w:val="21"/>
        </w:rPr>
      </w:pPr>
      <w:bookmarkStart w:id="79" w:name="_Toc18564_WPSOffice_Level1"/>
      <w:bookmarkStart w:id="80" w:name="_Toc6435"/>
      <w:bookmarkStart w:id="81" w:name="_Toc15855"/>
      <w:r>
        <w:rPr>
          <w:rFonts w:hint="eastAsia" w:cs="宋体"/>
          <w:b/>
          <w:bCs/>
          <w:snapToGrid/>
          <w:color w:val="000000"/>
          <w:kern w:val="2"/>
          <w:sz w:val="21"/>
          <w:szCs w:val="21"/>
        </w:rPr>
        <w:t>6.2</w:t>
      </w:r>
      <w:r>
        <w:rPr>
          <w:rFonts w:hint="eastAsia" w:cs="宋体"/>
          <w:b/>
          <w:color w:val="000000"/>
          <w:sz w:val="21"/>
          <w:szCs w:val="21"/>
        </w:rPr>
        <w:t>质保期投标方的履约责任</w:t>
      </w:r>
      <w:bookmarkEnd w:id="79"/>
      <w:bookmarkEnd w:id="80"/>
    </w:p>
    <w:p>
      <w:pPr>
        <w:pStyle w:val="88"/>
        <w:spacing w:before="0" w:line="360" w:lineRule="auto"/>
        <w:ind w:firstLine="420" w:firstLineChars="200"/>
        <w:jc w:val="left"/>
        <w:rPr>
          <w:rFonts w:cs="宋体"/>
          <w:snapToGrid/>
          <w:color w:val="000000"/>
          <w:kern w:val="2"/>
          <w:sz w:val="21"/>
          <w:szCs w:val="21"/>
        </w:rPr>
      </w:pPr>
      <w:bookmarkStart w:id="82" w:name="_Toc10689"/>
      <w:bookmarkStart w:id="83" w:name="_Toc415755728"/>
      <w:bookmarkStart w:id="84" w:name="_Toc15934"/>
      <w:r>
        <w:rPr>
          <w:rFonts w:hint="eastAsia" w:cs="宋体"/>
          <w:snapToGrid/>
          <w:color w:val="000000"/>
          <w:kern w:val="2"/>
          <w:sz w:val="21"/>
          <w:szCs w:val="21"/>
        </w:rPr>
        <w:t>6.2.1若在正常质保期内出现的缺陷，招标方应以书面形式向投标方索赔，投标方应说明其缺陷产生的原因以及弥补缺陷的方法。</w:t>
      </w:r>
      <w:bookmarkEnd w:id="82"/>
      <w:bookmarkEnd w:id="83"/>
      <w:bookmarkEnd w:id="84"/>
    </w:p>
    <w:p>
      <w:pPr>
        <w:pStyle w:val="88"/>
        <w:spacing w:before="0" w:line="360" w:lineRule="auto"/>
        <w:ind w:firstLine="420" w:firstLineChars="200"/>
        <w:jc w:val="left"/>
        <w:rPr>
          <w:rFonts w:cs="宋体"/>
          <w:snapToGrid/>
          <w:color w:val="000000"/>
          <w:kern w:val="2"/>
          <w:sz w:val="21"/>
          <w:szCs w:val="21"/>
        </w:rPr>
      </w:pPr>
      <w:bookmarkStart w:id="85" w:name="_Toc11520"/>
      <w:bookmarkStart w:id="86" w:name="_Toc31112"/>
      <w:bookmarkStart w:id="87" w:name="_Toc415755729"/>
      <w:r>
        <w:rPr>
          <w:rFonts w:hint="eastAsia" w:cs="宋体"/>
          <w:snapToGrid/>
          <w:color w:val="000000"/>
          <w:kern w:val="2"/>
          <w:sz w:val="21"/>
          <w:szCs w:val="21"/>
        </w:rPr>
        <w:t>6.2.2除非另有规定，原则上投标方应在招标方提出索赔的</w:t>
      </w:r>
      <w:r>
        <w:rPr>
          <w:rFonts w:hint="eastAsia" w:cs="宋体"/>
          <w:snapToGrid/>
          <w:color w:val="000000"/>
          <w:kern w:val="2"/>
          <w:sz w:val="21"/>
          <w:szCs w:val="21"/>
          <w:u w:val="single"/>
        </w:rPr>
        <w:t>5</w:t>
      </w:r>
      <w:r>
        <w:rPr>
          <w:rFonts w:hint="eastAsia" w:cs="宋体"/>
          <w:snapToGrid/>
          <w:color w:val="000000"/>
          <w:kern w:val="2"/>
          <w:sz w:val="21"/>
          <w:szCs w:val="21"/>
        </w:rPr>
        <w:t>个工作日内完成补救，投标方应根据招标方的要求，尽快修复、更换或更新物资有缺陷的部分，以使物资的相应部分恢复到合同所规定的状态和规格。</w:t>
      </w:r>
      <w:bookmarkEnd w:id="85"/>
      <w:bookmarkEnd w:id="86"/>
      <w:bookmarkEnd w:id="87"/>
    </w:p>
    <w:p>
      <w:pPr>
        <w:pStyle w:val="88"/>
        <w:spacing w:before="0" w:line="360" w:lineRule="auto"/>
        <w:ind w:firstLine="420" w:firstLineChars="200"/>
        <w:jc w:val="left"/>
        <w:rPr>
          <w:rFonts w:cs="宋体"/>
          <w:snapToGrid/>
          <w:color w:val="000000"/>
          <w:kern w:val="2"/>
          <w:sz w:val="21"/>
          <w:szCs w:val="21"/>
        </w:rPr>
      </w:pPr>
      <w:bookmarkStart w:id="88" w:name="_Toc415755730"/>
      <w:bookmarkStart w:id="89" w:name="_Toc12537"/>
      <w:bookmarkStart w:id="90" w:name="_Toc4733"/>
      <w:r>
        <w:rPr>
          <w:rFonts w:hint="eastAsia" w:cs="宋体"/>
          <w:snapToGrid/>
          <w:color w:val="000000"/>
          <w:kern w:val="2"/>
          <w:sz w:val="21"/>
          <w:szCs w:val="21"/>
        </w:rPr>
        <w:t>6.2.3投标方应承担因修补物资而产生的所有费用，包括但不限于更新物资缺陷部分的费用及往返之间的运输费用。若投标方不能在6.2.2所规定的时限内完成物资的修补，招标方有权在通知投标方后自行修补缺损，其费用及风险均由投标方承担，但这并不影响合同所规定的投标方的责任。</w:t>
      </w:r>
      <w:bookmarkEnd w:id="88"/>
      <w:bookmarkEnd w:id="89"/>
      <w:bookmarkEnd w:id="90"/>
    </w:p>
    <w:p>
      <w:pPr>
        <w:pStyle w:val="88"/>
        <w:spacing w:before="0" w:line="360" w:lineRule="auto"/>
        <w:ind w:firstLine="420" w:firstLineChars="200"/>
        <w:jc w:val="left"/>
        <w:rPr>
          <w:rFonts w:cs="宋体"/>
          <w:snapToGrid/>
          <w:color w:val="000000"/>
          <w:kern w:val="2"/>
          <w:sz w:val="21"/>
          <w:szCs w:val="21"/>
        </w:rPr>
      </w:pPr>
      <w:bookmarkStart w:id="91" w:name="_Toc415755731"/>
      <w:bookmarkStart w:id="92" w:name="OLE_LINK17"/>
      <w:bookmarkStart w:id="93" w:name="_Toc24065"/>
      <w:bookmarkStart w:id="94" w:name="_Toc18221"/>
      <w:r>
        <w:rPr>
          <w:rFonts w:hint="eastAsia" w:cs="宋体"/>
          <w:snapToGrid/>
          <w:color w:val="000000"/>
          <w:kern w:val="2"/>
          <w:sz w:val="21"/>
          <w:szCs w:val="21"/>
        </w:rPr>
        <w:t>6.2.4质保期后投标方将提供产品全寿命周期的技术支持和物资的长期供货支持。在某些零部件的型号停产后，投标方需协助招标方找到替代品。</w:t>
      </w:r>
      <w:bookmarkEnd w:id="91"/>
      <w:bookmarkEnd w:id="92"/>
      <w:bookmarkEnd w:id="93"/>
      <w:bookmarkEnd w:id="94"/>
    </w:p>
    <w:p>
      <w:pPr>
        <w:pStyle w:val="88"/>
        <w:spacing w:before="0" w:line="360" w:lineRule="auto"/>
        <w:ind w:firstLine="420" w:firstLineChars="200"/>
        <w:jc w:val="left"/>
        <w:rPr>
          <w:rFonts w:cs="宋体"/>
          <w:snapToGrid/>
          <w:color w:val="000000"/>
          <w:kern w:val="2"/>
          <w:sz w:val="21"/>
          <w:szCs w:val="21"/>
        </w:rPr>
      </w:pPr>
      <w:bookmarkStart w:id="95" w:name="_Toc8485"/>
      <w:r>
        <w:rPr>
          <w:rFonts w:hint="eastAsia" w:cs="宋体"/>
          <w:snapToGrid/>
          <w:color w:val="000000"/>
          <w:kern w:val="2"/>
          <w:sz w:val="21"/>
          <w:szCs w:val="21"/>
        </w:rPr>
        <w:t>6.2.5投标方必须提供返修件的合格证及故障检测报告，明确标明故障部位及原因。需返厂维修的备件，如厂家在国内必须在</w:t>
      </w:r>
      <w:r>
        <w:rPr>
          <w:rFonts w:hint="eastAsia" w:cs="宋体"/>
          <w:snapToGrid/>
          <w:color w:val="000000"/>
          <w:kern w:val="2"/>
          <w:sz w:val="21"/>
          <w:szCs w:val="21"/>
          <w:u w:val="single"/>
        </w:rPr>
        <w:t>15</w:t>
      </w:r>
      <w:r>
        <w:rPr>
          <w:rFonts w:hint="eastAsia" w:cs="宋体"/>
          <w:snapToGrid/>
          <w:color w:val="000000"/>
          <w:kern w:val="2"/>
          <w:sz w:val="21"/>
          <w:szCs w:val="21"/>
        </w:rPr>
        <w:t>个工作日之内完成返修，如不能在限期内完成则以双方商定日期为准；如厂家在国外必须在</w:t>
      </w:r>
      <w:r>
        <w:rPr>
          <w:rFonts w:hint="eastAsia" w:cs="宋体"/>
          <w:snapToGrid/>
          <w:color w:val="000000"/>
          <w:kern w:val="2"/>
          <w:sz w:val="21"/>
          <w:szCs w:val="21"/>
          <w:u w:val="single"/>
        </w:rPr>
        <w:t>25</w:t>
      </w:r>
      <w:r>
        <w:rPr>
          <w:rFonts w:hint="eastAsia" w:cs="宋体"/>
          <w:snapToGrid/>
          <w:color w:val="000000"/>
          <w:kern w:val="2"/>
          <w:sz w:val="21"/>
          <w:szCs w:val="21"/>
        </w:rPr>
        <w:t>个工作日之内完成返修，如不能在限期内完成则以双方商定日期为准。</w:t>
      </w:r>
      <w:bookmarkEnd w:id="95"/>
    </w:p>
    <w:p>
      <w:pPr>
        <w:pStyle w:val="88"/>
        <w:spacing w:before="0" w:line="360" w:lineRule="auto"/>
        <w:ind w:firstLine="420" w:firstLineChars="200"/>
        <w:jc w:val="left"/>
        <w:rPr>
          <w:rFonts w:cs="宋体"/>
          <w:snapToGrid/>
          <w:color w:val="000000"/>
          <w:kern w:val="2"/>
          <w:sz w:val="21"/>
          <w:szCs w:val="21"/>
        </w:rPr>
      </w:pPr>
      <w:bookmarkStart w:id="96" w:name="_Toc1818"/>
      <w:r>
        <w:rPr>
          <w:rFonts w:hint="eastAsia" w:cs="宋体"/>
          <w:snapToGrid/>
          <w:color w:val="000000"/>
          <w:kern w:val="2"/>
          <w:sz w:val="21"/>
          <w:szCs w:val="21"/>
        </w:rPr>
        <w:t>6.2.6备件返厂维修时，需投标方负责给予替换件，保证现场有合格备件做库存。</w:t>
      </w:r>
      <w:bookmarkEnd w:id="96"/>
    </w:p>
    <w:p>
      <w:pPr>
        <w:pStyle w:val="88"/>
        <w:spacing w:before="0" w:line="360" w:lineRule="auto"/>
        <w:ind w:firstLine="420" w:firstLineChars="200"/>
        <w:jc w:val="left"/>
        <w:rPr>
          <w:rFonts w:cs="宋体"/>
          <w:snapToGrid/>
          <w:color w:val="000000"/>
          <w:kern w:val="2"/>
          <w:sz w:val="21"/>
          <w:szCs w:val="21"/>
        </w:rPr>
      </w:pPr>
      <w:bookmarkStart w:id="97" w:name="_Toc9681"/>
      <w:r>
        <w:rPr>
          <w:rFonts w:hint="eastAsia" w:cs="宋体"/>
          <w:snapToGrid/>
          <w:color w:val="000000"/>
          <w:kern w:val="2"/>
          <w:sz w:val="21"/>
          <w:szCs w:val="21"/>
        </w:rPr>
        <w:t>6.2.7若投标方因未满足技术规格要求而须对该备件进行更换时，投标方将无偿更换该备件，包括硬件及软件。</w:t>
      </w:r>
      <w:bookmarkEnd w:id="97"/>
    </w:p>
    <w:p>
      <w:pPr>
        <w:pStyle w:val="88"/>
        <w:spacing w:before="0" w:line="360" w:lineRule="auto"/>
        <w:ind w:firstLine="420" w:firstLineChars="200"/>
        <w:jc w:val="left"/>
        <w:rPr>
          <w:rFonts w:cs="宋体"/>
          <w:sz w:val="21"/>
          <w:szCs w:val="21"/>
        </w:rPr>
      </w:pPr>
      <w:bookmarkStart w:id="98" w:name="_Toc4948"/>
      <w:r>
        <w:rPr>
          <w:rFonts w:hint="eastAsia" w:cs="宋体"/>
          <w:snapToGrid/>
          <w:color w:val="000000"/>
          <w:kern w:val="2"/>
          <w:sz w:val="21"/>
          <w:szCs w:val="21"/>
        </w:rPr>
        <w:t>6.2.8质保期内发生的零部件不正常磨损，或成品质量不符合生产工艺要求，或非人为原因而损坏、失效的零部件、电子元器件和易损件，发生上述情况时，投标方须免费更换上述零部件、电子元器件和易损件。如并非上述原因造成的零部件损坏，招标方须</w:t>
      </w:r>
      <w:bookmarkStart w:id="99" w:name="OLE_LINK4"/>
      <w:r>
        <w:rPr>
          <w:rFonts w:hint="eastAsia" w:cs="宋体"/>
          <w:snapToGrid/>
          <w:color w:val="000000"/>
          <w:kern w:val="2"/>
          <w:sz w:val="21"/>
          <w:szCs w:val="21"/>
        </w:rPr>
        <w:t>同</w:t>
      </w:r>
      <w:bookmarkEnd w:id="99"/>
      <w:r>
        <w:rPr>
          <w:rFonts w:hint="eastAsia" w:cs="宋体"/>
          <w:snapToGrid/>
          <w:color w:val="000000"/>
          <w:kern w:val="2"/>
          <w:sz w:val="21"/>
          <w:szCs w:val="21"/>
        </w:rPr>
        <w:t>投标方进行协商并提供相应的技术支持。</w:t>
      </w:r>
      <w:bookmarkEnd w:id="98"/>
    </w:p>
    <w:bookmarkEnd w:id="81"/>
    <w:p>
      <w:pPr>
        <w:tabs>
          <w:tab w:val="left" w:pos="576"/>
          <w:tab w:val="left" w:pos="945"/>
        </w:tabs>
        <w:spacing w:line="360" w:lineRule="auto"/>
        <w:jc w:val="center"/>
        <w:rPr>
          <w:rFonts w:ascii="宋体" w:hAnsi="宋体" w:cs="宋体"/>
          <w:b/>
          <w:kern w:val="0"/>
          <w:sz w:val="32"/>
          <w:szCs w:val="32"/>
        </w:rPr>
      </w:pPr>
      <w:r>
        <w:rPr>
          <w:rFonts w:hint="eastAsia" w:ascii="宋体" w:hAnsi="宋体" w:cs="宋体"/>
          <w:b/>
          <w:bCs/>
          <w:color w:val="000000"/>
          <w:sz w:val="28"/>
          <w:szCs w:val="28"/>
        </w:rPr>
        <w:br w:type="page"/>
      </w:r>
      <w:bookmarkEnd w:id="20"/>
      <w:r>
        <w:rPr>
          <w:rFonts w:hint="eastAsia" w:ascii="宋体" w:hAnsi="宋体" w:cs="宋体"/>
          <w:b/>
          <w:kern w:val="0"/>
          <w:sz w:val="32"/>
          <w:szCs w:val="32"/>
        </w:rPr>
        <w:t>第五章  合同格式条款</w:t>
      </w:r>
      <w:bookmarkEnd w:id="21"/>
    </w:p>
    <w:p>
      <w:pPr>
        <w:wordWrap w:val="0"/>
        <w:jc w:val="right"/>
        <w:rPr>
          <w:rFonts w:ascii="宋体" w:hAnsi="宋体" w:cs="宋体"/>
          <w:color w:val="000000"/>
          <w:sz w:val="30"/>
          <w:szCs w:val="30"/>
        </w:rPr>
      </w:pPr>
      <w:bookmarkStart w:id="100" w:name="_Toc282103911"/>
      <w:bookmarkStart w:id="101" w:name="_Toc452727364"/>
      <w:bookmarkStart w:id="102" w:name="_Toc16867237"/>
      <w:bookmarkStart w:id="103" w:name="_Toc452306160"/>
      <w:bookmarkStart w:id="104" w:name="_Toc282123562"/>
      <w:bookmarkStart w:id="105" w:name="_Toc434897350"/>
      <w:bookmarkStart w:id="106" w:name="_Toc452727004"/>
      <w:bookmarkStart w:id="107" w:name="_Toc434462846"/>
      <w:bookmarkStart w:id="108" w:name="_Toc283621756"/>
      <w:bookmarkStart w:id="109" w:name="_Toc283559417"/>
      <w:bookmarkStart w:id="110" w:name="_Toc16866787"/>
      <w:bookmarkStart w:id="111" w:name="_Toc2063646"/>
      <w:bookmarkStart w:id="112" w:name="_Toc452800749"/>
      <w:bookmarkStart w:id="113" w:name="_Toc282128562"/>
      <w:bookmarkStart w:id="114" w:name="_Toc283565127"/>
      <w:bookmarkStart w:id="115" w:name="_Toc283626740"/>
      <w:bookmarkStart w:id="116" w:name="_Toc434460942"/>
      <w:bookmarkStart w:id="117" w:name="_Toc158610791"/>
      <w:bookmarkStart w:id="118" w:name="_Toc2063771"/>
      <w:bookmarkStart w:id="119" w:name="_Toc8343780"/>
      <w:bookmarkStart w:id="120" w:name="_Toc18403161"/>
      <w:bookmarkStart w:id="121" w:name="_Toc282120609"/>
      <w:bookmarkStart w:id="122" w:name="_Toc434462235"/>
      <w:bookmarkStart w:id="123" w:name="_Toc282104321"/>
      <w:bookmarkStart w:id="124" w:name="_Toc18403317"/>
      <w:bookmarkStart w:id="125" w:name="_Toc16900909"/>
      <w:bookmarkStart w:id="126" w:name="_Toc2063902"/>
      <w:bookmarkStart w:id="127" w:name="_Toc158620815"/>
      <w:r>
        <w:rPr>
          <w:rFonts w:hint="eastAsia" w:ascii="宋体" w:hAnsi="宋体" w:cs="宋体"/>
          <w:color w:val="000000"/>
          <w:sz w:val="24"/>
        </w:rPr>
        <w:t xml:space="preserve">   合同编号</w:t>
      </w:r>
      <w:r>
        <w:rPr>
          <w:rFonts w:hint="eastAsia" w:ascii="宋体" w:hAnsi="宋体" w:cs="宋体"/>
          <w:color w:val="000000"/>
          <w:sz w:val="30"/>
          <w:szCs w:val="30"/>
        </w:rPr>
        <w:t>:</w:t>
      </w:r>
      <w:r>
        <w:rPr>
          <w:rFonts w:hint="eastAsia" w:ascii="宋体" w:hAnsi="宋体" w:cs="宋体"/>
          <w:color w:val="000000"/>
          <w:sz w:val="24"/>
        </w:rPr>
        <w:t>长轨运  物合[2019]  号</w:t>
      </w:r>
    </w:p>
    <w:p>
      <w:pPr>
        <w:ind w:firstLine="25" w:firstLineChars="7"/>
        <w:rPr>
          <w:rFonts w:ascii="宋体" w:hAnsi="宋体" w:cs="宋体"/>
          <w:b/>
          <w:color w:val="000000"/>
          <w:sz w:val="36"/>
          <w:szCs w:val="36"/>
        </w:rPr>
      </w:pPr>
    </w:p>
    <w:p>
      <w:pPr>
        <w:ind w:firstLine="39" w:firstLineChars="7"/>
        <w:jc w:val="center"/>
        <w:rPr>
          <w:rFonts w:ascii="宋体" w:hAnsi="宋体" w:cs="宋体"/>
          <w:b/>
          <w:color w:val="000000"/>
          <w:sz w:val="44"/>
          <w:szCs w:val="44"/>
        </w:rPr>
      </w:pPr>
      <w:r>
        <w:rPr>
          <w:rFonts w:hint="eastAsia" w:ascii="宋体" w:hAnsi="宋体" w:cs="宋体"/>
          <w:b/>
          <w:color w:val="000000"/>
          <w:spacing w:val="20"/>
          <w:sz w:val="52"/>
          <w:szCs w:val="52"/>
        </w:rPr>
        <w:t>机电设备采购合同</w:t>
      </w:r>
    </w:p>
    <w:p>
      <w:pPr>
        <w:ind w:firstLine="31" w:firstLineChars="7"/>
        <w:jc w:val="center"/>
        <w:rPr>
          <w:rFonts w:ascii="宋体" w:hAnsi="宋体" w:cs="宋体"/>
          <w:b/>
          <w:color w:val="000000"/>
          <w:sz w:val="44"/>
          <w:szCs w:val="44"/>
        </w:rPr>
      </w:pPr>
    </w:p>
    <w:p>
      <w:pPr>
        <w:ind w:firstLine="25" w:firstLineChars="7"/>
        <w:jc w:val="left"/>
        <w:rPr>
          <w:rFonts w:ascii="宋体" w:hAnsi="宋体" w:cs="宋体"/>
          <w:b/>
          <w:color w:val="000000"/>
          <w:sz w:val="36"/>
          <w:szCs w:val="36"/>
        </w:rPr>
      </w:pPr>
    </w:p>
    <w:p>
      <w:pPr>
        <w:ind w:left="1405" w:hanging="1405" w:hangingChars="500"/>
        <w:rPr>
          <w:rFonts w:ascii="宋体" w:hAnsi="宋体" w:cs="宋体"/>
          <w:b/>
          <w:bCs/>
          <w:color w:val="000000"/>
          <w:sz w:val="28"/>
          <w:szCs w:val="28"/>
          <w:u w:val="dotted"/>
        </w:rPr>
      </w:pPr>
      <w:r>
        <w:rPr>
          <w:rFonts w:hint="eastAsia" w:ascii="宋体" w:hAnsi="宋体" w:cs="宋体"/>
          <w:b/>
          <w:color w:val="000000"/>
          <w:sz w:val="28"/>
          <w:szCs w:val="28"/>
        </w:rPr>
        <w:t>合同名称:</w:t>
      </w:r>
      <w:r>
        <w:rPr>
          <w:rFonts w:hint="eastAsia" w:ascii="宋体" w:hAnsi="宋体" w:cs="宋体"/>
          <w:b/>
          <w:color w:val="000000"/>
          <w:sz w:val="28"/>
          <w:szCs w:val="28"/>
          <w:u w:val="dotted"/>
        </w:rPr>
        <w:t xml:space="preserve">                      </w:t>
      </w:r>
    </w:p>
    <w:p>
      <w:pPr>
        <w:ind w:left="1405" w:hanging="1405" w:hangingChars="500"/>
        <w:jc w:val="left"/>
        <w:rPr>
          <w:rFonts w:ascii="宋体" w:hAnsi="宋体" w:cs="宋体"/>
          <w:b/>
          <w:color w:val="000000"/>
          <w:sz w:val="28"/>
          <w:szCs w:val="28"/>
          <w:u w:val="dotted"/>
        </w:rPr>
      </w:pPr>
    </w:p>
    <w:p>
      <w:pPr>
        <w:ind w:firstLine="20" w:firstLineChars="7"/>
        <w:jc w:val="center"/>
        <w:rPr>
          <w:rFonts w:ascii="宋体" w:hAnsi="宋体" w:cs="宋体"/>
          <w:b/>
          <w:color w:val="000000"/>
          <w:sz w:val="28"/>
          <w:szCs w:val="28"/>
          <w:u w:val="dotted"/>
        </w:rPr>
      </w:pPr>
    </w:p>
    <w:p>
      <w:pPr>
        <w:rPr>
          <w:rFonts w:ascii="宋体" w:hAnsi="宋体" w:cs="宋体"/>
          <w:color w:val="000000"/>
          <w:sz w:val="30"/>
          <w:szCs w:val="30"/>
        </w:rPr>
      </w:pPr>
    </w:p>
    <w:p>
      <w:pPr>
        <w:rPr>
          <w:rFonts w:ascii="宋体" w:hAnsi="宋体" w:cs="宋体"/>
          <w:b/>
          <w:color w:val="000000"/>
          <w:sz w:val="28"/>
          <w:szCs w:val="28"/>
          <w:u w:val="dotted"/>
        </w:rPr>
      </w:pPr>
    </w:p>
    <w:p>
      <w:pPr>
        <w:ind w:firstLine="20" w:firstLineChars="7"/>
        <w:rPr>
          <w:rFonts w:ascii="宋体" w:hAnsi="宋体" w:cs="宋体"/>
          <w:b/>
          <w:color w:val="000000"/>
          <w:sz w:val="28"/>
          <w:szCs w:val="28"/>
        </w:rPr>
      </w:pPr>
      <w:r>
        <w:rPr>
          <w:rFonts w:hint="eastAsia" w:ascii="宋体" w:hAnsi="宋体" w:cs="宋体"/>
          <w:b/>
          <w:color w:val="000000"/>
          <w:sz w:val="28"/>
          <w:szCs w:val="28"/>
        </w:rPr>
        <w:t>买    方：</w:t>
      </w:r>
      <w:r>
        <w:rPr>
          <w:rFonts w:hint="eastAsia" w:ascii="宋体" w:hAnsi="宋体" w:cs="宋体"/>
          <w:b/>
          <w:color w:val="000000"/>
          <w:sz w:val="28"/>
          <w:szCs w:val="28"/>
          <w:u w:val="dotted"/>
        </w:rPr>
        <w:t xml:space="preserve">                         </w:t>
      </w:r>
    </w:p>
    <w:p>
      <w:pPr>
        <w:ind w:firstLine="20" w:firstLineChars="7"/>
        <w:rPr>
          <w:rFonts w:ascii="宋体" w:hAnsi="宋体" w:cs="宋体"/>
          <w:b/>
          <w:color w:val="000000"/>
          <w:sz w:val="28"/>
          <w:szCs w:val="28"/>
        </w:rPr>
      </w:pPr>
      <w:r>
        <w:rPr>
          <w:rFonts w:hint="eastAsia" w:ascii="宋体" w:hAnsi="宋体" w:cs="宋体"/>
          <w:b/>
          <w:color w:val="000000"/>
          <w:sz w:val="28"/>
          <w:szCs w:val="28"/>
        </w:rPr>
        <w:t>卖    方：</w:t>
      </w:r>
      <w:r>
        <w:rPr>
          <w:rFonts w:hint="eastAsia" w:ascii="宋体" w:hAnsi="宋体" w:cs="宋体"/>
          <w:b/>
          <w:color w:val="000000"/>
          <w:sz w:val="28"/>
          <w:szCs w:val="28"/>
          <w:u w:val="dotted"/>
        </w:rPr>
        <w:t xml:space="preserve">                           </w:t>
      </w:r>
    </w:p>
    <w:p>
      <w:pPr>
        <w:pStyle w:val="13"/>
        <w:rPr>
          <w:rFonts w:ascii="宋体" w:hAnsi="宋体" w:cs="宋体"/>
          <w:b/>
          <w:color w:val="000000"/>
          <w:sz w:val="28"/>
          <w:szCs w:val="28"/>
        </w:rPr>
      </w:pPr>
    </w:p>
    <w:p>
      <w:pPr>
        <w:rPr>
          <w:rFonts w:ascii="宋体" w:hAnsi="宋体" w:cs="宋体"/>
          <w:b/>
          <w:color w:val="000000"/>
          <w:sz w:val="28"/>
          <w:szCs w:val="28"/>
        </w:rPr>
      </w:pPr>
    </w:p>
    <w:p>
      <w:pPr>
        <w:pStyle w:val="13"/>
        <w:rPr>
          <w:rFonts w:ascii="宋体" w:hAnsi="宋体" w:cs="宋体"/>
        </w:rPr>
      </w:pPr>
    </w:p>
    <w:p>
      <w:pPr>
        <w:ind w:firstLine="20" w:firstLineChars="7"/>
        <w:rPr>
          <w:rFonts w:ascii="宋体" w:hAnsi="宋体" w:cs="宋体"/>
          <w:b/>
          <w:color w:val="000000"/>
          <w:sz w:val="28"/>
          <w:szCs w:val="28"/>
          <w:u w:val="dotted"/>
        </w:rPr>
      </w:pPr>
      <w:r>
        <w:rPr>
          <w:rFonts w:hint="eastAsia" w:ascii="宋体" w:hAnsi="宋体" w:cs="宋体"/>
          <w:b/>
          <w:color w:val="000000"/>
          <w:sz w:val="28"/>
          <w:szCs w:val="28"/>
        </w:rPr>
        <w:t>签订地点：</w:t>
      </w:r>
      <w:r>
        <w:rPr>
          <w:rFonts w:hint="eastAsia" w:ascii="宋体" w:hAnsi="宋体" w:cs="宋体"/>
          <w:b/>
          <w:color w:val="000000"/>
          <w:sz w:val="28"/>
          <w:szCs w:val="28"/>
          <w:u w:val="dotted"/>
        </w:rPr>
        <w:t>湖南省长沙市</w:t>
      </w:r>
    </w:p>
    <w:p>
      <w:pPr>
        <w:ind w:firstLine="20" w:firstLineChars="7"/>
        <w:rPr>
          <w:rFonts w:ascii="宋体" w:hAnsi="宋体" w:cs="宋体"/>
          <w:b/>
          <w:color w:val="000000"/>
          <w:sz w:val="28"/>
          <w:szCs w:val="28"/>
        </w:rPr>
      </w:pPr>
    </w:p>
    <w:p>
      <w:pPr>
        <w:ind w:firstLine="20" w:firstLineChars="7"/>
        <w:rPr>
          <w:rFonts w:ascii="宋体" w:hAnsi="宋体" w:cs="宋体"/>
          <w:b/>
          <w:color w:val="000000"/>
          <w:sz w:val="28"/>
          <w:szCs w:val="28"/>
          <w:u w:val="dotted"/>
        </w:rPr>
      </w:pPr>
      <w:r>
        <w:rPr>
          <w:rFonts w:hint="eastAsia" w:ascii="宋体" w:hAnsi="宋体" w:cs="宋体"/>
          <w:b/>
          <w:color w:val="000000"/>
          <w:sz w:val="28"/>
          <w:szCs w:val="28"/>
        </w:rPr>
        <w:t>签订时间：</w:t>
      </w:r>
      <w:r>
        <w:rPr>
          <w:rFonts w:hint="eastAsia" w:ascii="宋体" w:hAnsi="宋体" w:cs="宋体"/>
          <w:b/>
          <w:color w:val="000000"/>
          <w:sz w:val="28"/>
          <w:szCs w:val="28"/>
          <w:u w:val="dotted"/>
        </w:rPr>
        <w:t>二〇一九年   月</w:t>
      </w:r>
    </w:p>
    <w:p>
      <w:pPr>
        <w:jc w:val="center"/>
        <w:rPr>
          <w:rFonts w:ascii="宋体" w:hAnsi="宋体" w:cs="宋体"/>
          <w:b/>
          <w:color w:val="000000"/>
          <w:sz w:val="24"/>
        </w:rPr>
        <w:sectPr>
          <w:pgSz w:w="11850" w:h="16783"/>
          <w:pgMar w:top="1440" w:right="1800" w:bottom="1440" w:left="1800" w:header="851" w:footer="992" w:gutter="0"/>
          <w:cols w:space="0" w:num="1"/>
          <w:docGrid w:type="lines" w:linePitch="312" w:charSpace="0"/>
        </w:sectPr>
      </w:pPr>
    </w:p>
    <w:p>
      <w:pPr>
        <w:pStyle w:val="14"/>
        <w:adjustRightInd w:val="0"/>
        <w:snapToGrid w:val="0"/>
        <w:spacing w:line="360" w:lineRule="auto"/>
        <w:ind w:firstLine="0"/>
        <w:jc w:val="center"/>
        <w:rPr>
          <w:rFonts w:ascii="宋体" w:hAnsi="宋体" w:cs="宋体"/>
          <w:sz w:val="24"/>
          <w:szCs w:val="24"/>
        </w:rPr>
      </w:pPr>
      <w:r>
        <w:rPr>
          <w:rFonts w:hint="eastAsia" w:ascii="宋体" w:hAnsi="宋体" w:cs="宋体"/>
          <w:b/>
          <w:bCs/>
          <w:sz w:val="32"/>
          <w:szCs w:val="32"/>
        </w:rPr>
        <w:t>第一部分 合同协议书</w:t>
      </w:r>
    </w:p>
    <w:p>
      <w:pPr>
        <w:pStyle w:val="14"/>
        <w:adjustRightInd w:val="0"/>
        <w:snapToGrid w:val="0"/>
        <w:spacing w:line="360" w:lineRule="auto"/>
        <w:ind w:firstLine="0"/>
        <w:rPr>
          <w:rFonts w:ascii="宋体" w:hAnsi="宋体" w:cs="宋体"/>
          <w:b/>
          <w:sz w:val="24"/>
          <w:szCs w:val="24"/>
        </w:rPr>
      </w:pPr>
    </w:p>
    <w:p>
      <w:pPr>
        <w:pStyle w:val="14"/>
        <w:adjustRightInd w:val="0"/>
        <w:snapToGrid w:val="0"/>
        <w:spacing w:line="360" w:lineRule="auto"/>
        <w:ind w:firstLine="0"/>
        <w:jc w:val="both"/>
        <w:rPr>
          <w:rFonts w:ascii="宋体" w:hAnsi="宋体" w:cs="宋体"/>
          <w:b/>
          <w:sz w:val="21"/>
          <w:szCs w:val="21"/>
          <w:u w:val="single"/>
        </w:rPr>
      </w:pPr>
      <w:r>
        <w:rPr>
          <w:rFonts w:hint="eastAsia" w:ascii="宋体" w:hAnsi="宋体" w:cs="宋体"/>
          <w:b/>
          <w:sz w:val="21"/>
          <w:szCs w:val="21"/>
        </w:rPr>
        <w:t>买方（全称）：</w:t>
      </w:r>
      <w:r>
        <w:rPr>
          <w:rFonts w:hint="eastAsia" w:ascii="宋体" w:hAnsi="宋体" w:cs="宋体"/>
          <w:b/>
          <w:sz w:val="21"/>
          <w:szCs w:val="21"/>
          <w:u w:val="single"/>
        </w:rPr>
        <w:t xml:space="preserve">                         </w:t>
      </w:r>
    </w:p>
    <w:p>
      <w:pPr>
        <w:pStyle w:val="14"/>
        <w:adjustRightInd w:val="0"/>
        <w:snapToGrid w:val="0"/>
        <w:spacing w:line="360" w:lineRule="auto"/>
        <w:ind w:firstLine="0"/>
        <w:jc w:val="both"/>
        <w:rPr>
          <w:rFonts w:ascii="宋体" w:hAnsi="宋体" w:cs="宋体"/>
          <w:b/>
          <w:sz w:val="21"/>
          <w:szCs w:val="21"/>
          <w:u w:val="single"/>
        </w:rPr>
      </w:pPr>
      <w:r>
        <w:rPr>
          <w:rFonts w:hint="eastAsia" w:ascii="宋体" w:hAnsi="宋体" w:cs="宋体"/>
          <w:b/>
          <w:sz w:val="21"/>
          <w:szCs w:val="21"/>
        </w:rPr>
        <w:t>卖方（全称）：</w:t>
      </w:r>
      <w:r>
        <w:rPr>
          <w:rFonts w:hint="eastAsia" w:ascii="宋体" w:hAnsi="宋体" w:cs="宋体"/>
          <w:b/>
          <w:sz w:val="21"/>
          <w:szCs w:val="21"/>
          <w:u w:val="single"/>
        </w:rPr>
        <w:t xml:space="preserve">                         </w:t>
      </w:r>
    </w:p>
    <w:p>
      <w:pPr>
        <w:pStyle w:val="14"/>
        <w:adjustRightInd w:val="0"/>
        <w:snapToGrid w:val="0"/>
        <w:spacing w:line="360" w:lineRule="auto"/>
        <w:ind w:firstLineChars="200"/>
        <w:rPr>
          <w:rFonts w:ascii="宋体" w:hAnsi="宋体" w:cs="宋体"/>
          <w:sz w:val="21"/>
          <w:szCs w:val="21"/>
        </w:rPr>
      </w:pPr>
      <w:r>
        <w:rPr>
          <w:rFonts w:hint="eastAsia" w:ascii="宋体" w:hAnsi="宋体" w:cs="宋体"/>
          <w:sz w:val="21"/>
          <w:szCs w:val="21"/>
        </w:rPr>
        <w:t>依照《中华人民共和国合同法》及其他有关法律、行政法规，遵循平等、自愿、公平和诚实信用的原则，买、卖双方就项目及有关事宜协商一致，于</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日在</w:t>
      </w:r>
      <w:r>
        <w:rPr>
          <w:rFonts w:hint="eastAsia" w:ascii="宋体" w:hAnsi="宋体" w:cs="宋体"/>
          <w:sz w:val="21"/>
          <w:szCs w:val="21"/>
          <w:u w:val="single"/>
        </w:rPr>
        <w:t>湖南省长沙市雨花区</w:t>
      </w:r>
      <w:r>
        <w:rPr>
          <w:rFonts w:hint="eastAsia" w:ascii="宋体" w:hAnsi="宋体" w:cs="宋体"/>
          <w:sz w:val="21"/>
          <w:szCs w:val="21"/>
        </w:rPr>
        <w:t>共同签订本合同。</w:t>
      </w:r>
    </w:p>
    <w:p>
      <w:pPr>
        <w:adjustRightInd w:val="0"/>
        <w:snapToGrid w:val="0"/>
        <w:spacing w:line="360" w:lineRule="auto"/>
        <w:ind w:firstLine="413" w:firstLineChars="196"/>
        <w:rPr>
          <w:rFonts w:ascii="宋体" w:hAnsi="宋体" w:cs="宋体"/>
          <w:b/>
          <w:szCs w:val="21"/>
        </w:rPr>
      </w:pPr>
      <w:r>
        <w:rPr>
          <w:rFonts w:hint="eastAsia" w:ascii="宋体" w:hAnsi="宋体" w:cs="宋体"/>
          <w:b/>
          <w:szCs w:val="21"/>
        </w:rPr>
        <w:t>一、项目概况</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1.1项目名称：</w:t>
      </w:r>
      <w:r>
        <w:rPr>
          <w:rFonts w:hint="eastAsia" w:ascii="宋体" w:hAnsi="宋体" w:cs="宋体"/>
          <w:b/>
          <w:szCs w:val="21"/>
          <w:u w:val="single"/>
        </w:rPr>
        <w:t xml:space="preserve">                         </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1.2项目范围及工作内容：</w:t>
      </w:r>
      <w:r>
        <w:rPr>
          <w:rFonts w:hint="eastAsia" w:ascii="宋体" w:hAnsi="宋体" w:cs="宋体"/>
          <w:b/>
          <w:szCs w:val="21"/>
          <w:u w:val="single"/>
        </w:rPr>
        <w:t xml:space="preserve">                         </w:t>
      </w:r>
    </w:p>
    <w:p>
      <w:pPr>
        <w:adjustRightInd w:val="0"/>
        <w:snapToGrid w:val="0"/>
        <w:spacing w:line="360" w:lineRule="auto"/>
        <w:ind w:firstLine="413" w:firstLineChars="196"/>
        <w:rPr>
          <w:rFonts w:ascii="宋体" w:hAnsi="宋体" w:cs="宋体"/>
          <w:b/>
          <w:szCs w:val="21"/>
        </w:rPr>
      </w:pPr>
      <w:r>
        <w:rPr>
          <w:rFonts w:hint="eastAsia" w:ascii="宋体" w:hAnsi="宋体" w:cs="宋体"/>
          <w:b/>
          <w:szCs w:val="21"/>
        </w:rPr>
        <w:t>二、合同计划工期</w:t>
      </w:r>
    </w:p>
    <w:p>
      <w:pPr>
        <w:adjustRightInd w:val="0"/>
        <w:snapToGrid w:val="0"/>
        <w:spacing w:line="360" w:lineRule="auto"/>
        <w:ind w:firstLine="413" w:firstLineChars="196"/>
        <w:rPr>
          <w:rFonts w:ascii="宋体" w:hAnsi="宋体" w:cs="宋体"/>
          <w:b/>
          <w:szCs w:val="21"/>
          <w:u w:val="single"/>
        </w:rPr>
      </w:pPr>
      <w:r>
        <w:rPr>
          <w:rFonts w:hint="eastAsia" w:ascii="宋体" w:hAnsi="宋体" w:cs="宋体"/>
          <w:b/>
          <w:szCs w:val="21"/>
          <w:u w:val="single"/>
        </w:rPr>
        <w:t xml:space="preserve">                         </w:t>
      </w:r>
    </w:p>
    <w:p>
      <w:pPr>
        <w:adjustRightInd w:val="0"/>
        <w:snapToGrid w:val="0"/>
        <w:spacing w:line="360" w:lineRule="auto"/>
        <w:ind w:firstLine="482"/>
        <w:rPr>
          <w:rFonts w:ascii="宋体" w:hAnsi="宋体" w:cs="宋体"/>
          <w:b/>
          <w:szCs w:val="21"/>
        </w:rPr>
      </w:pPr>
      <w:r>
        <w:rPr>
          <w:rFonts w:hint="eastAsia" w:ascii="宋体" w:hAnsi="宋体" w:cs="宋体"/>
          <w:b/>
          <w:szCs w:val="21"/>
        </w:rPr>
        <w:t>三、合同价款</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3.1合同价款形式：</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u w:val="single"/>
        </w:rPr>
        <w:t>□总价合同</w:t>
      </w:r>
      <w:r>
        <w:rPr>
          <w:rFonts w:hint="eastAsia" w:ascii="宋体" w:hAnsi="宋体" w:cs="宋体"/>
          <w:bCs/>
          <w:szCs w:val="21"/>
        </w:rPr>
        <w:t>（</w:t>
      </w:r>
      <w:r>
        <w:rPr>
          <w:rFonts w:hint="eastAsia" w:ascii="宋体" w:hAnsi="宋体" w:cs="宋体"/>
          <w:szCs w:val="21"/>
        </w:rPr>
        <w:t>合同总价在合同执行过程中固定不变，不受政策、法规变化以及汇率浮动、物价指数浮动等因素的影响</w:t>
      </w:r>
      <w:r>
        <w:rPr>
          <w:rFonts w:hint="eastAsia" w:ascii="宋体" w:hAnsi="宋体" w:cs="宋体"/>
          <w:bCs/>
          <w:szCs w:val="21"/>
        </w:rPr>
        <w:t>）。</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u w:val="single"/>
        </w:rPr>
        <w:t>□单价合同</w:t>
      </w:r>
      <w:r>
        <w:rPr>
          <w:rFonts w:hint="eastAsia" w:ascii="宋体" w:hAnsi="宋体" w:cs="宋体"/>
          <w:bCs/>
          <w:szCs w:val="21"/>
        </w:rPr>
        <w:t>（</w:t>
      </w:r>
      <w:r>
        <w:rPr>
          <w:rFonts w:hint="eastAsia" w:ascii="宋体" w:hAnsi="宋体" w:cs="宋体"/>
          <w:szCs w:val="21"/>
        </w:rPr>
        <w:t>合同单价在合同执行过程中固定不变，不受政策、法规变化以及汇率浮动、物价指数浮动等因素的影响</w:t>
      </w:r>
      <w:r>
        <w:rPr>
          <w:rFonts w:hint="eastAsia" w:ascii="宋体" w:hAnsi="宋体" w:cs="宋体"/>
          <w:bCs/>
          <w:szCs w:val="21"/>
        </w:rPr>
        <w:t>）。</w:t>
      </w:r>
    </w:p>
    <w:p>
      <w:pPr>
        <w:adjustRightInd w:val="0"/>
        <w:snapToGrid w:val="0"/>
        <w:spacing w:line="360" w:lineRule="auto"/>
        <w:ind w:firstLine="420" w:firstLineChars="200"/>
        <w:rPr>
          <w:rFonts w:ascii="宋体" w:hAnsi="宋体" w:cs="宋体"/>
          <w:bCs/>
          <w:szCs w:val="21"/>
          <w:u w:val="single"/>
        </w:rPr>
      </w:pPr>
      <w:r>
        <w:rPr>
          <w:rFonts w:hint="eastAsia" w:ascii="宋体" w:hAnsi="宋体" w:cs="宋体"/>
          <w:bCs/>
          <w:szCs w:val="21"/>
          <w:u w:val="single"/>
        </w:rPr>
        <w:t xml:space="preserve">□                             </w:t>
      </w:r>
      <w:r>
        <w:rPr>
          <w:rFonts w:hint="eastAsia" w:ascii="宋体" w:hAnsi="宋体" w:cs="宋体"/>
          <w:bCs/>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3.2签约合同价（含税价）：人民币（大写）</w:t>
      </w:r>
      <w:r>
        <w:rPr>
          <w:rFonts w:hint="eastAsia" w:ascii="宋体" w:hAnsi="宋体" w:cs="宋体"/>
          <w:b/>
          <w:szCs w:val="21"/>
          <w:u w:val="single"/>
        </w:rPr>
        <w:t xml:space="preserve">        </w:t>
      </w:r>
      <w:r>
        <w:rPr>
          <w:rFonts w:hint="eastAsia" w:ascii="宋体" w:hAnsi="宋体" w:cs="宋体"/>
          <w:szCs w:val="21"/>
        </w:rPr>
        <w:t>（¥</w:t>
      </w:r>
      <w:r>
        <w:rPr>
          <w:rFonts w:hint="eastAsia" w:ascii="宋体" w:hAnsi="宋体" w:cs="宋体"/>
          <w:b/>
          <w:szCs w:val="21"/>
          <w:u w:val="single"/>
        </w:rPr>
        <w:t xml:space="preserve">        </w:t>
      </w:r>
      <w:r>
        <w:rPr>
          <w:rFonts w:hint="eastAsia" w:ascii="宋体" w:hAnsi="宋体" w:cs="宋体"/>
          <w:szCs w:val="21"/>
        </w:rPr>
        <w:t>）。具体详见签约合同价清单。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合同价格包括卖方为履行合同义务进行的设备制造前准备、设计联络（如有）、设备（包括备品备件、易损易耗件、专用工具)设计、制造、检验、包装、发货、运输至现场指定交货地点、装卸、安装（如有）/安装督导（如有）、检验及验收、调试、人员培训、向政府机构报检（如有）、试运行服务及质量保证服务等履行合同标的全过程产生的所有成本费用和利润以及卖方应承担的一切税费。</w:t>
      </w:r>
    </w:p>
    <w:p>
      <w:pPr>
        <w:tabs>
          <w:tab w:val="left" w:pos="1620"/>
        </w:tabs>
        <w:adjustRightInd w:val="0"/>
        <w:snapToGrid w:val="0"/>
        <w:spacing w:line="360" w:lineRule="auto"/>
        <w:ind w:firstLine="422" w:firstLineChars="200"/>
        <w:rPr>
          <w:rFonts w:ascii="宋体" w:hAnsi="宋体" w:cs="宋体"/>
          <w:b/>
          <w:szCs w:val="21"/>
        </w:rPr>
      </w:pPr>
      <w:r>
        <w:rPr>
          <w:rFonts w:hint="eastAsia" w:ascii="宋体" w:hAnsi="宋体" w:cs="宋体"/>
          <w:b/>
          <w:szCs w:val="21"/>
        </w:rPr>
        <w:t>四、价款支付</w:t>
      </w:r>
    </w:p>
    <w:p>
      <w:pPr>
        <w:tabs>
          <w:tab w:val="left" w:pos="1248"/>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4.1 预付款：</w:t>
      </w:r>
    </w:p>
    <w:p>
      <w:pPr>
        <w:tabs>
          <w:tab w:val="left" w:pos="1248"/>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本项目不支付预付款。</w:t>
      </w:r>
    </w:p>
    <w:p>
      <w:pPr>
        <w:tabs>
          <w:tab w:val="left" w:pos="1248"/>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4.2 履约验收完成付款：</w:t>
      </w:r>
      <w:r>
        <w:rPr>
          <w:rFonts w:hint="eastAsia" w:ascii="宋体" w:hAnsi="宋体" w:cs="宋体"/>
          <w:szCs w:val="21"/>
        </w:rPr>
        <w:t>卖方按合同约定完成所有货物供货、安装（如有）/安装督导（如有）及相关服务，项目整体验收合格</w:t>
      </w:r>
      <w:r>
        <w:rPr>
          <w:rFonts w:hint="eastAsia" w:ascii="宋体" w:hAnsi="宋体" w:cs="宋体"/>
          <w:color w:val="000000"/>
          <w:szCs w:val="21"/>
        </w:rPr>
        <w:t>且按买方相关规定办理履约验收，履约验收完成后，在收到卖方支付申请并证实完整后28个工作日内，支付至合同价格的95%。</w:t>
      </w:r>
    </w:p>
    <w:p>
      <w:pPr>
        <w:tabs>
          <w:tab w:val="left" w:pos="1248"/>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4.3 质保期满付款：质保期满且最终验收合格，收到卖方支付请求并经买方审核无误后28个工作日内，支付合同价格的剩余款项。</w:t>
      </w:r>
    </w:p>
    <w:p>
      <w:pPr>
        <w:tabs>
          <w:tab w:val="left" w:pos="1248"/>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4.4 卖方应理解本合同的资金来源为政府资金，款项的拨付须经有关部门批准，若买方在规定的支付期限内未支付合同价款，卖方不得以款项延迟支付而停止、拒绝履行本合同或要求买方支付任何利息。</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color w:val="000000"/>
          <w:szCs w:val="21"/>
        </w:rPr>
        <w:t>4.5 卖方提供的相关单据，其中增值税专用发票应符合税法相关规定，金额为合同总价款，包括收取的奖励费、包装物租金等价外费用，安装调试费、运输费不得另行开具服务类专用发票。</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五、质量标准、质量保证及质量保证期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5.1质量标准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质量标准应不低于中国国家、地方现行标准（各种试验报告、国家强制性认证证书）及相关行业标准及规定，不低于生产厂提供的出厂、验收标准，不低于合同文件中的相关要求。标准、法规及合同文件中的相关要求有不同规定时，按照高标准和高要求执行。</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5.2质量保证</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5.2.1卖方应保证合同项下所供货物是全新的、未使用过的，是最新或目前的型号，货物应含有设计和材料的全部最新改进。卖方进一步保证，合同项下提供的全部货物没有设计、材料或工艺上的缺陷，或者没有因卖方的行为或疏忽而产生的缺陷，这些缺陷是所供货物在项目现场现行条件下正常使用可能产生的。</w:t>
      </w:r>
    </w:p>
    <w:p>
      <w:pPr>
        <w:tabs>
          <w:tab w:val="left" w:pos="1620"/>
        </w:tabs>
        <w:adjustRightInd w:val="0"/>
        <w:snapToGrid w:val="0"/>
        <w:spacing w:line="360" w:lineRule="auto"/>
        <w:ind w:firstLine="420" w:firstLineChars="200"/>
        <w:rPr>
          <w:rFonts w:ascii="宋体" w:hAnsi="宋体" w:cs="宋体"/>
          <w:szCs w:val="21"/>
        </w:rPr>
      </w:pPr>
      <w:r>
        <w:rPr>
          <w:rFonts w:hint="eastAsia" w:ascii="宋体" w:hAnsi="宋体" w:cs="宋体"/>
          <w:szCs w:val="21"/>
        </w:rPr>
        <w:t>5.2.2卖方保证合同项下的设备、系统及材料，在项目现场现有条件下，在正常维护和操作情况下，在货物寿命周期内出现的因卖方或卖方分包商的设计、材料选用及制造工艺产生的缺陷，卖方应负责及时修正。若由于设备、系统及材料在设计制造工艺上的缺陷（包括潜在缺陷）而导致质量、安全事故，给买方造成所有的损失应由卖方赔偿。</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5.3质量保证期</w:t>
      </w:r>
    </w:p>
    <w:p>
      <w:pPr>
        <w:tabs>
          <w:tab w:val="left" w:pos="1620"/>
        </w:tabs>
        <w:adjustRightInd w:val="0"/>
        <w:snapToGrid w:val="0"/>
        <w:spacing w:line="360" w:lineRule="auto"/>
        <w:ind w:firstLine="420" w:firstLineChars="200"/>
        <w:rPr>
          <w:rFonts w:ascii="宋体" w:hAnsi="宋体" w:cs="宋体"/>
          <w:szCs w:val="21"/>
        </w:rPr>
      </w:pPr>
      <w:r>
        <w:rPr>
          <w:rFonts w:hint="eastAsia" w:ascii="宋体" w:hAnsi="宋体" w:cs="宋体"/>
          <w:szCs w:val="21"/>
        </w:rPr>
        <w:t>5.3.1本合同货物的质量保证期自项目整体验收合格之日起计算</w:t>
      </w:r>
      <w:r>
        <w:rPr>
          <w:rFonts w:hint="eastAsia" w:ascii="宋体" w:hAnsi="宋体" w:cs="宋体"/>
          <w:szCs w:val="21"/>
          <w:u w:val="single"/>
        </w:rPr>
        <w:t xml:space="preserve">   </w:t>
      </w:r>
      <w:r>
        <w:rPr>
          <w:rFonts w:hint="eastAsia" w:ascii="宋体" w:hAnsi="宋体" w:cs="宋体"/>
          <w:szCs w:val="21"/>
        </w:rPr>
        <w:t>月，具体要求详见用户需求书/技术规格书。如货物原厂规定的质量保证期长于本合同约定的，以原厂规定为准。</w:t>
      </w:r>
    </w:p>
    <w:p>
      <w:pPr>
        <w:tabs>
          <w:tab w:val="left" w:pos="1248"/>
        </w:tabs>
        <w:adjustRightInd w:val="0"/>
        <w:snapToGrid w:val="0"/>
        <w:spacing w:line="360" w:lineRule="auto"/>
        <w:ind w:firstLine="422" w:firstLineChars="200"/>
        <w:rPr>
          <w:rFonts w:ascii="宋体" w:hAnsi="宋体" w:cs="宋体"/>
          <w:b/>
          <w:szCs w:val="21"/>
        </w:rPr>
      </w:pPr>
      <w:r>
        <w:rPr>
          <w:rFonts w:hint="eastAsia" w:ascii="宋体" w:hAnsi="宋体" w:cs="宋体"/>
          <w:b/>
          <w:szCs w:val="21"/>
        </w:rPr>
        <w:t>六、检验、测试和验收</w:t>
      </w:r>
    </w:p>
    <w:p>
      <w:pPr>
        <w:tabs>
          <w:tab w:val="left" w:pos="1620"/>
        </w:tabs>
        <w:adjustRightInd w:val="0"/>
        <w:snapToGrid w:val="0"/>
        <w:spacing w:line="360" w:lineRule="auto"/>
        <w:ind w:firstLine="420" w:firstLineChars="200"/>
        <w:rPr>
          <w:rFonts w:ascii="宋体" w:hAnsi="宋体" w:cs="宋体"/>
          <w:szCs w:val="21"/>
        </w:rPr>
      </w:pPr>
      <w:r>
        <w:rPr>
          <w:rFonts w:hint="eastAsia" w:ascii="宋体" w:hAnsi="宋体" w:cs="宋体"/>
          <w:szCs w:val="21"/>
        </w:rPr>
        <w:t>6.1卖方应按照经买方确认的供货清单进行交货，买卖双方依据经买方确认的供货清单办理检验、测试、验收。</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6.2检验、测试和验收可以在卖方或其分包人的驻地或现场指定交货地点或货物安装地点（如有）进行。如果在卖方或其分包人的驻地进行，进行检验、测试和验收的买方人员应能得到全部合理的设施和协助，买方不应为此承担费用。</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6.3 买方或其代表应有权检验、测试和验收货物，以确认货物是否符合用户需求书/技术规格书的要求，并且不承担额外的费用。买方应将进行检验和/或测试和／或验收的买方人员的身份通知卖方。</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6.4在货物交货前，卖方应让制造商对货物的质量、规格、性能、数量和重量等进行详细而全面的检验，并出具一份证明货物符合合同规定的检验证书，检验证书是付款时提交文件的一个组成部分，但不能作为有关质量、规格、性能、数量或重量的最终检验。制造商检验的结果和细节应附在质量检验证书后面。</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6.5如果任何被检验、测试和验收的货物不能满足用户需求书/技术规格书的要求，买方可以拒绝接受该货物，卖方应更换被拒绝的货物，或者免费进行必要的修改直至满足用户需求书/技术规格书的要求为止。</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6.6买方在货物到达买方指定的交货地点后对货物进行检验、测试及卖方在必要时拒绝接受货物的权力将不会因为货物在启运前通过了买方或其代表的检验、测试、验收和认可而受到限制或放弃。</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6.7检测、测试和验收具体要求按用户需求书/技术规格书执行。</w:t>
      </w:r>
    </w:p>
    <w:p>
      <w:pPr>
        <w:tabs>
          <w:tab w:val="left" w:pos="1248"/>
        </w:tabs>
        <w:adjustRightInd w:val="0"/>
        <w:snapToGrid w:val="0"/>
        <w:spacing w:line="360" w:lineRule="auto"/>
        <w:ind w:firstLine="422" w:firstLineChars="200"/>
        <w:rPr>
          <w:rFonts w:ascii="宋体" w:hAnsi="宋体" w:cs="宋体"/>
          <w:b/>
          <w:szCs w:val="21"/>
        </w:rPr>
      </w:pPr>
      <w:r>
        <w:rPr>
          <w:rFonts w:hint="eastAsia" w:ascii="宋体" w:hAnsi="宋体" w:cs="宋体"/>
          <w:b/>
          <w:szCs w:val="21"/>
        </w:rPr>
        <w:t>七、包装及运输</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7.1卖方应提供货物运至买方的现场指定交货地点所需要的包装，以防止货物在转运中损坏或变质。这类包装应采取防潮、防晒、防锈、防腐蚀、防震动及防止其它损坏的必要保护措施，从而保护货物能够经受多次搬运、装卸。</w:t>
      </w:r>
    </w:p>
    <w:p>
      <w:pPr>
        <w:tabs>
          <w:tab w:val="left" w:pos="851"/>
        </w:tabs>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7.2卖方在包装货物时应考虑到买方现场保管无空调、无抽湿、露天存放的条件，并按签约价格清单分类包装。包装箱尺寸及重量应考虑货物交货地点偏远程度以及在所有转运地点缺乏重型装卸设施的情况。</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7.3卖方应承担由于其包装或其防护措施不妥而引起货物锈蚀、损坏和丢失的任何损失的责任或费用。</w:t>
      </w:r>
    </w:p>
    <w:p>
      <w:pPr>
        <w:tabs>
          <w:tab w:val="left" w:pos="851"/>
        </w:tabs>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7.4卖方负责将货物运至买方的现场指定交货地点，并负责货物到达交货地点前后的装卸；由此所发生的的一切费用，包括但不限于运输、保险、中转、装卸和仓储等费用均含合同价格中。</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7.5包装及运输具体要求按用户需求书/技术规格书执行。</w:t>
      </w:r>
    </w:p>
    <w:p>
      <w:pPr>
        <w:tabs>
          <w:tab w:val="left" w:pos="1248"/>
        </w:tabs>
        <w:adjustRightInd w:val="0"/>
        <w:snapToGrid w:val="0"/>
        <w:spacing w:line="360" w:lineRule="auto"/>
        <w:ind w:firstLine="422" w:firstLineChars="200"/>
        <w:rPr>
          <w:rFonts w:ascii="宋体" w:hAnsi="宋体" w:cs="宋体"/>
          <w:b/>
          <w:szCs w:val="21"/>
        </w:rPr>
      </w:pPr>
      <w:r>
        <w:rPr>
          <w:rFonts w:hint="eastAsia" w:ascii="宋体" w:hAnsi="宋体" w:cs="宋体"/>
          <w:b/>
          <w:szCs w:val="21"/>
        </w:rPr>
        <w:t>八、备品备件及专用工具（如有）</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8.1卖方应按照用户需求书/技术规格书的规定提供项目所需的备品备件及专用工具。</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8.2卖方应提供下列与备品备件及专用工具有关的材料：</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（1）买方从卖方选购备品备件及专用工具的资料，但前提条件是该选择并不能免除卖方在合同保证期内所承担的义务；</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（2）在备件停止生产的情况下，卖方应事先将要停止生产的计划通知买方使买方有足够的时间采购所需的备品备件及专用工具；</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（3）在备品备件及专用工具停止生产后，如果买方要求，卖方应免费向买方提供备件的蓝图、图纸和规格。</w:t>
      </w:r>
    </w:p>
    <w:p>
      <w:pPr>
        <w:snapToGrid w:val="0"/>
        <w:spacing w:line="360" w:lineRule="auto"/>
        <w:ind w:firstLine="422" w:firstLineChars="200"/>
        <w:outlineLvl w:val="2"/>
        <w:rPr>
          <w:rFonts w:ascii="宋体" w:hAnsi="宋体" w:cs="宋体"/>
          <w:b/>
          <w:szCs w:val="21"/>
        </w:rPr>
      </w:pPr>
      <w:r>
        <w:rPr>
          <w:rFonts w:hint="eastAsia" w:ascii="宋体" w:hAnsi="宋体" w:cs="宋体"/>
          <w:b/>
          <w:szCs w:val="21"/>
        </w:rPr>
        <w:t>九、知识产权</w:t>
      </w:r>
    </w:p>
    <w:p>
      <w:pPr>
        <w:snapToGrid w:val="0"/>
        <w:spacing w:line="360" w:lineRule="auto"/>
        <w:ind w:firstLine="420" w:firstLineChars="200"/>
        <w:outlineLvl w:val="2"/>
        <w:rPr>
          <w:rFonts w:ascii="宋体" w:hAnsi="宋体" w:cs="宋体"/>
          <w:szCs w:val="21"/>
        </w:rPr>
      </w:pPr>
      <w:r>
        <w:rPr>
          <w:rFonts w:hint="eastAsia" w:ascii="宋体" w:hAnsi="宋体" w:cs="宋体"/>
          <w:szCs w:val="21"/>
        </w:rPr>
        <w:t>9.1卖方应保证，买方在中华人民共和国使用该货物或货物的任何一部分时，免受第三方提出的侵犯其专利权、商标权、著作权或其它知识产权的起诉。</w:t>
      </w:r>
    </w:p>
    <w:p>
      <w:pPr>
        <w:tabs>
          <w:tab w:val="left" w:pos="851"/>
        </w:tabs>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9.2卖方按本合同规定提供的货物及服务，使用了第三人专利、专有技术、技术秘密、商业秘密、著作权、商标权等知识产权的，卖方在签订合同时应向买方说明知识产权的权利人、名称等权利状况，相应知识产权使用费由卖方负责支付。</w:t>
      </w:r>
    </w:p>
    <w:p>
      <w:pPr>
        <w:tabs>
          <w:tab w:val="left" w:pos="851"/>
        </w:tabs>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9.3卖方提供的货物或服务，如侵犯了第三人专利，技术秘密、商业秘密、著作权、商标权等知识产权的，由此引起的全部法律责任和经济赔偿责任由卖方承担。</w:t>
      </w:r>
    </w:p>
    <w:p>
      <w:pPr>
        <w:tabs>
          <w:tab w:val="left" w:pos="851"/>
        </w:tabs>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9.4买方永久享有卖方为本合同项下提供的产品、软件、技术资料的使用权，并无需交纳特许使用费（如有此类费用的话）。卖方同意在任何情况下买方可以无偿使用卖方提供的产品、软件、技术资料。</w:t>
      </w:r>
    </w:p>
    <w:p>
      <w:pPr>
        <w:tabs>
          <w:tab w:val="left" w:pos="1248"/>
        </w:tabs>
        <w:adjustRightInd w:val="0"/>
        <w:snapToGrid w:val="0"/>
        <w:spacing w:line="360" w:lineRule="auto"/>
        <w:ind w:firstLine="422" w:firstLineChars="200"/>
        <w:rPr>
          <w:rFonts w:ascii="宋体" w:hAnsi="宋体" w:cs="宋体"/>
          <w:b/>
          <w:szCs w:val="21"/>
        </w:rPr>
      </w:pPr>
      <w:r>
        <w:rPr>
          <w:rFonts w:hint="eastAsia" w:ascii="宋体" w:hAnsi="宋体" w:cs="宋体"/>
          <w:b/>
          <w:szCs w:val="21"/>
        </w:rPr>
        <w:t>十、质量问题的处理</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10.1在合同规定的检验、安装、调试、验收和质量保证期内，因卖方原因造成货物质量问题，买方提出了书面通知（说明其缺陷或损坏的程度、提出弥补缺陷或损坏的要求），卖方应按照买方同意的下列一种或几种方式结合起来解决货物质量问题：</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（1）卖方同意退货并将货款退还给买方，并承担由此发生的一切损失和费用，包括利息、银行手续费、运费、保险费、检验费、仓储费、装卸费以及为看管和保护退回货物所需的其它必要费用。</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（2）根据货物的缺陷情况、损坏程度以及买方所遭受损失的金额，经买卖双方商定降低货物的价格。</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（3）用符合用户需求书/技术规格书规定的规格、质量和性能要求的新零件、部件和/或设备来更换有缺陷的部分和/或修补缺陷部分，卖方应承担一切费用和风险并负担买方蒙受的全部直接损失费用。</w:t>
      </w:r>
    </w:p>
    <w:p>
      <w:pPr>
        <w:tabs>
          <w:tab w:val="left" w:pos="851"/>
        </w:tabs>
        <w:adjustRightInd w:val="0"/>
        <w:snapToGrid w:val="0"/>
        <w:spacing w:line="360" w:lineRule="auto"/>
        <w:ind w:firstLine="420" w:firstLineChars="200"/>
        <w:rPr>
          <w:rFonts w:ascii="宋体" w:hAnsi="宋体" w:cs="宋体"/>
          <w:szCs w:val="21"/>
        </w:rPr>
      </w:pPr>
      <w:r>
        <w:rPr>
          <w:rFonts w:hint="eastAsia" w:ascii="宋体" w:hAnsi="宋体" w:cs="宋体"/>
          <w:szCs w:val="21"/>
        </w:rPr>
        <w:t>（4）卖方装运的设备和材料出现短缺、误装或因卖方原因引起的损坏，卖方应无偿地补足短装货物，替换错装或损坏的货物。</w:t>
      </w:r>
    </w:p>
    <w:p>
      <w:pPr>
        <w:tabs>
          <w:tab w:val="left" w:pos="851"/>
        </w:tabs>
        <w:adjustRightInd w:val="0"/>
        <w:snapToGrid w:val="0"/>
        <w:spacing w:line="360" w:lineRule="auto"/>
        <w:ind w:firstLine="420" w:firstLineChars="200"/>
        <w:rPr>
          <w:rFonts w:ascii="宋体" w:hAnsi="宋体" w:cs="宋体"/>
          <w:szCs w:val="21"/>
        </w:rPr>
      </w:pPr>
      <w:r>
        <w:rPr>
          <w:rFonts w:hint="eastAsia" w:ascii="宋体" w:hAnsi="宋体" w:cs="宋体"/>
          <w:szCs w:val="21"/>
        </w:rPr>
        <w:t>（5）安装调试及运行过程中，因卖方设备质量问题导致设备拆卸而引起相关接口设备的拆卸所产生的工程直接和间接费用均应由卖方承担。</w:t>
      </w:r>
    </w:p>
    <w:p>
      <w:pPr>
        <w:tabs>
          <w:tab w:val="left" w:pos="1620"/>
        </w:tabs>
        <w:adjustRightInd w:val="0"/>
        <w:snapToGrid w:val="0"/>
        <w:spacing w:line="360" w:lineRule="auto"/>
        <w:ind w:firstLine="420" w:firstLineChars="200"/>
        <w:rPr>
          <w:rFonts w:ascii="宋体" w:hAnsi="宋体" w:cs="宋体"/>
          <w:szCs w:val="21"/>
        </w:rPr>
      </w:pPr>
      <w:r>
        <w:rPr>
          <w:rFonts w:hint="eastAsia" w:ascii="宋体" w:hAnsi="宋体" w:cs="宋体"/>
          <w:szCs w:val="21"/>
        </w:rPr>
        <w:t>（6）若货物在质量保证期内需要更换、重新设计、修改或更新，则这部分更换、重新设计、修改或更新的货物的质量保证期自双方确认的修复完成日起重新计算。</w:t>
      </w:r>
    </w:p>
    <w:p>
      <w:pPr>
        <w:tabs>
          <w:tab w:val="left" w:pos="851"/>
        </w:tabs>
        <w:adjustRightInd w:val="0"/>
        <w:snapToGrid w:val="0"/>
        <w:spacing w:line="360" w:lineRule="auto"/>
        <w:ind w:firstLine="420" w:firstLineChars="200"/>
        <w:rPr>
          <w:rFonts w:ascii="宋体" w:hAnsi="宋体" w:cs="宋体"/>
          <w:szCs w:val="21"/>
        </w:rPr>
      </w:pPr>
      <w:r>
        <w:rPr>
          <w:rFonts w:hint="eastAsia" w:ascii="宋体" w:hAnsi="宋体" w:cs="宋体"/>
          <w:szCs w:val="21"/>
        </w:rPr>
        <w:t>10.2买方买方以书面形式向卖方提出索赔，。应附上下列文件之一作为向卖方进行索赔的依据：</w:t>
      </w:r>
    </w:p>
    <w:p>
      <w:pPr>
        <w:tabs>
          <w:tab w:val="left" w:pos="851"/>
        </w:tabs>
        <w:adjustRightInd w:val="0"/>
        <w:snapToGrid w:val="0"/>
        <w:spacing w:line="360" w:lineRule="auto"/>
        <w:ind w:firstLine="420" w:firstLineChars="200"/>
        <w:rPr>
          <w:rFonts w:ascii="宋体" w:hAnsi="宋体" w:cs="宋体"/>
          <w:szCs w:val="21"/>
        </w:rPr>
      </w:pPr>
      <w:r>
        <w:rPr>
          <w:rFonts w:hint="eastAsia" w:ascii="宋体" w:hAnsi="宋体" w:cs="宋体"/>
          <w:szCs w:val="21"/>
        </w:rPr>
        <w:t>（1）由各方授权代表签署的检验结果记录或开箱检验单；卖方代表拒不签署前述文件的，买方代表有权单方签署。</w:t>
      </w:r>
    </w:p>
    <w:p>
      <w:pPr>
        <w:tabs>
          <w:tab w:val="left" w:pos="851"/>
        </w:tabs>
        <w:adjustRightInd w:val="0"/>
        <w:snapToGrid w:val="0"/>
        <w:spacing w:line="360" w:lineRule="auto"/>
        <w:ind w:firstLine="420" w:firstLineChars="200"/>
        <w:rPr>
          <w:rFonts w:ascii="宋体" w:hAnsi="宋体" w:cs="宋体"/>
          <w:szCs w:val="21"/>
        </w:rPr>
      </w:pPr>
      <w:r>
        <w:rPr>
          <w:rFonts w:hint="eastAsia" w:ascii="宋体" w:hAnsi="宋体" w:cs="宋体"/>
          <w:szCs w:val="21"/>
        </w:rPr>
        <w:t>（2）证明设备及材料的质量不能达到合同要求的试/检验结果报告；</w:t>
      </w:r>
    </w:p>
    <w:p>
      <w:pPr>
        <w:tabs>
          <w:tab w:val="left" w:pos="851"/>
        </w:tabs>
        <w:adjustRightInd w:val="0"/>
        <w:snapToGrid w:val="0"/>
        <w:spacing w:line="360" w:lineRule="auto"/>
        <w:ind w:firstLine="420" w:firstLineChars="200"/>
        <w:rPr>
          <w:rFonts w:ascii="宋体" w:hAnsi="宋体" w:cs="宋体"/>
          <w:szCs w:val="21"/>
        </w:rPr>
      </w:pPr>
      <w:r>
        <w:rPr>
          <w:rFonts w:hint="eastAsia" w:ascii="宋体" w:hAnsi="宋体" w:cs="宋体"/>
          <w:szCs w:val="21"/>
        </w:rPr>
        <w:t>（3）国家相关行政监管机构或权威检验机构出具的检验证书。</w:t>
      </w:r>
    </w:p>
    <w:p>
      <w:pPr>
        <w:tabs>
          <w:tab w:val="left" w:pos="851"/>
        </w:tabs>
        <w:adjustRightInd w:val="0"/>
        <w:snapToGrid w:val="0"/>
        <w:spacing w:line="360" w:lineRule="auto"/>
        <w:ind w:firstLine="422" w:firstLineChars="200"/>
        <w:textAlignment w:val="baseline"/>
        <w:rPr>
          <w:rFonts w:ascii="宋体" w:hAnsi="宋体" w:cs="宋体"/>
          <w:szCs w:val="21"/>
        </w:rPr>
      </w:pPr>
      <w:r>
        <w:rPr>
          <w:rFonts w:hint="eastAsia" w:ascii="宋体" w:hAnsi="宋体" w:cs="宋体"/>
          <w:b/>
          <w:szCs w:val="21"/>
        </w:rPr>
        <w:t>十一、违约责任及合同解除</w:t>
      </w:r>
    </w:p>
    <w:p>
      <w:pPr>
        <w:tabs>
          <w:tab w:val="left" w:pos="851"/>
        </w:tabs>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11.1卖方未按照合同规定的时间交付货物和提供服务的，每延误一天，买方有权要求卖方交纳签约合同价1%的违约金；延期超过20天的，买方有权解除合同。</w:t>
      </w:r>
    </w:p>
    <w:p>
      <w:pPr>
        <w:tabs>
          <w:tab w:val="left" w:pos="851"/>
        </w:tabs>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11.2卖方提供的货物或服务不符合用户需求书/技术规格书要求，买方有权要求卖方交纳签约合同价10%/次的违约金，并负责更换合格的货物直至满足合同规定；更换两次仍未达到合同和/或技术要求的，买方有权解除合同，卖方应承担由此给买方造成的损失。</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11.3买方发出通知后，卖方无特殊原因未能按买方通知要求派遣人员到达现场进行服务的，每超出一天，买方有权要求卖方交纳人民币1000元/人·天的违约金。</w:t>
      </w:r>
    </w:p>
    <w:p>
      <w:pPr>
        <w:tabs>
          <w:tab w:val="left" w:pos="851"/>
        </w:tabs>
        <w:adjustRightInd w:val="0"/>
        <w:snapToGrid w:val="0"/>
        <w:spacing w:line="360" w:lineRule="auto"/>
        <w:ind w:firstLine="420" w:firstLineChars="200"/>
        <w:rPr>
          <w:rFonts w:ascii="宋体" w:hAnsi="宋体" w:cs="宋体"/>
          <w:szCs w:val="21"/>
        </w:rPr>
      </w:pPr>
      <w:r>
        <w:rPr>
          <w:rFonts w:hint="eastAsia" w:ascii="宋体" w:hAnsi="宋体" w:cs="宋体"/>
          <w:szCs w:val="21"/>
        </w:rPr>
        <w:t>11.4无特殊原因，卖方未按要求参加买方组织的会议，买方有权要求卖方按1000元/次交纳违约金。</w:t>
      </w:r>
    </w:p>
    <w:p>
      <w:pPr>
        <w:tabs>
          <w:tab w:val="left" w:pos="851"/>
        </w:tabs>
        <w:adjustRightInd w:val="0"/>
        <w:snapToGrid w:val="0"/>
        <w:spacing w:line="360" w:lineRule="auto"/>
        <w:ind w:firstLine="420" w:firstLineChars="200"/>
        <w:rPr>
          <w:rFonts w:ascii="宋体" w:hAnsi="宋体" w:cs="宋体"/>
          <w:b/>
          <w:szCs w:val="21"/>
        </w:rPr>
      </w:pPr>
      <w:r>
        <w:rPr>
          <w:rFonts w:hint="eastAsia" w:ascii="宋体" w:hAnsi="宋体" w:cs="宋体"/>
          <w:szCs w:val="21"/>
        </w:rPr>
        <w:t>11.5因卖方安装督导人员（如有）或安装人员（如有）的工作疏忽、失误造成的安装进度延误、买方及第三方的误工等直接损失由卖方负责，具体损失由买方计算，经买卖双方协商确认后由卖方支付给损失方。</w:t>
      </w:r>
    </w:p>
    <w:p>
      <w:pPr>
        <w:pStyle w:val="41"/>
        <w:snapToGrid w:val="0"/>
        <w:spacing w:before="0" w:beforeAutospacing="0" w:after="0" w:afterAutospacing="0" w:line="360" w:lineRule="auto"/>
        <w:ind w:firstLine="420" w:firstLineChars="200"/>
        <w:rPr>
          <w:sz w:val="21"/>
          <w:szCs w:val="21"/>
        </w:rPr>
      </w:pPr>
      <w:r>
        <w:rPr>
          <w:rFonts w:hint="eastAsia"/>
          <w:sz w:val="21"/>
          <w:szCs w:val="21"/>
        </w:rPr>
        <w:t>11.6</w:t>
      </w:r>
      <w:r>
        <w:rPr>
          <w:rFonts w:hint="eastAsia"/>
          <w:color w:val="000000"/>
          <w:sz w:val="21"/>
          <w:szCs w:val="21"/>
        </w:rPr>
        <w:t>卖方未在本合同签订后15个工作日内提供履约担保的，每延迟一天卖方应按签约合同价的5‰向买方缴纳违约金，违约金最高不超过签约合同价的10%。</w:t>
      </w:r>
    </w:p>
    <w:p>
      <w:pPr>
        <w:tabs>
          <w:tab w:val="left" w:pos="1610"/>
        </w:tabs>
        <w:adjustRightInd w:val="0"/>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11.7违约金以现金或转账方式交纳或从合同应付款项中扣除。买方开具收款收据、不提供发票，卖方不得因此冲减增值税专用发票金额。</w:t>
      </w:r>
    </w:p>
    <w:p>
      <w:pPr>
        <w:tabs>
          <w:tab w:val="left" w:pos="900"/>
        </w:tabs>
        <w:adjustRightInd w:val="0"/>
        <w:snapToGrid w:val="0"/>
        <w:spacing w:line="360" w:lineRule="auto"/>
        <w:ind w:firstLine="422" w:firstLineChars="200"/>
        <w:textAlignment w:val="baseline"/>
        <w:outlineLvl w:val="2"/>
        <w:rPr>
          <w:rFonts w:ascii="宋体" w:hAnsi="宋体" w:cs="宋体"/>
          <w:b/>
          <w:szCs w:val="21"/>
        </w:rPr>
      </w:pPr>
      <w:bookmarkStart w:id="128" w:name="_Toc437444948"/>
      <w:bookmarkStart w:id="129" w:name="_Toc9661"/>
      <w:bookmarkStart w:id="130" w:name="_Toc490669712"/>
      <w:bookmarkStart w:id="131" w:name="_Toc14042"/>
      <w:bookmarkStart w:id="132" w:name="_Toc17321"/>
      <w:r>
        <w:rPr>
          <w:rFonts w:hint="eastAsia" w:ascii="宋体" w:hAnsi="宋体" w:cs="宋体"/>
          <w:b/>
          <w:szCs w:val="21"/>
        </w:rPr>
        <w:t>十二、履约</w:t>
      </w:r>
      <w:bookmarkEnd w:id="128"/>
      <w:bookmarkEnd w:id="129"/>
      <w:bookmarkEnd w:id="130"/>
      <w:bookmarkEnd w:id="131"/>
      <w:bookmarkEnd w:id="132"/>
      <w:r>
        <w:rPr>
          <w:rFonts w:hint="eastAsia" w:ascii="宋体" w:hAnsi="宋体" w:cs="宋体"/>
          <w:b/>
          <w:szCs w:val="21"/>
        </w:rPr>
        <w:t>担保</w:t>
      </w:r>
    </w:p>
    <w:p>
      <w:pPr>
        <w:tabs>
          <w:tab w:val="left" w:pos="851"/>
        </w:tabs>
        <w:adjustRightInd w:val="0"/>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12.1 卖方</w:t>
      </w:r>
      <w:r>
        <w:rPr>
          <w:rFonts w:hint="eastAsia" w:ascii="宋体" w:hAnsi="宋体" w:cs="宋体"/>
          <w:kern w:val="0"/>
          <w:szCs w:val="21"/>
          <w:u w:val="single"/>
        </w:rPr>
        <w:t>■需要/□不需要</w:t>
      </w:r>
      <w:r>
        <w:rPr>
          <w:rFonts w:hint="eastAsia" w:ascii="宋体" w:hAnsi="宋体" w:cs="宋体"/>
          <w:kern w:val="0"/>
          <w:szCs w:val="21"/>
        </w:rPr>
        <w:t>提供履约担保。</w:t>
      </w:r>
    </w:p>
    <w:p>
      <w:pPr>
        <w:tabs>
          <w:tab w:val="left" w:pos="851"/>
        </w:tabs>
        <w:adjustRightInd w:val="0"/>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12.2 如需要卖方提供履约担保，则：</w:t>
      </w:r>
    </w:p>
    <w:p>
      <w:pPr>
        <w:tabs>
          <w:tab w:val="left" w:pos="851"/>
        </w:tabs>
        <w:adjustRightInd w:val="0"/>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12.2.1履约担保是办理付款的必要条件之一，卖方应在本合同签订后15个工作日内提供履约担保。</w:t>
      </w:r>
    </w:p>
    <w:p>
      <w:pPr>
        <w:tabs>
          <w:tab w:val="left" w:pos="851"/>
        </w:tabs>
        <w:adjustRightInd w:val="0"/>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12.2.2履约担保用于补偿买方因卖方不能完成其合同义务而蒙受的损失。</w:t>
      </w:r>
    </w:p>
    <w:p>
      <w:pPr>
        <w:tabs>
          <w:tab w:val="left" w:pos="851"/>
        </w:tabs>
        <w:adjustRightInd w:val="0"/>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12.2.3卖方提供履约担保的形式、金额及期限可采用以下两种方式之一：</w:t>
      </w:r>
    </w:p>
    <w:p>
      <w:pPr>
        <w:tabs>
          <w:tab w:val="left" w:pos="851"/>
        </w:tabs>
        <w:adjustRightInd w:val="0"/>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1）采用银行履约保函形式，银行履约保函的担保额度为签约合同价的10%，担保期限为自保函生效之日起，至项目整体验收合格之日止。银行履约保函应为在中国境内注册和营业的银行出具的、以买方为受益人首次申请即作为无条件付款的保函，银行履约保函格式具体详见合同附录。</w:t>
      </w:r>
    </w:p>
    <w:p>
      <w:pPr>
        <w:tabs>
          <w:tab w:val="left" w:pos="851"/>
        </w:tabs>
        <w:adjustRightInd w:val="0"/>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（2）采用现金形式，现金担保额度为签约合同价的10%，担保期限为履约保证金到账之日起，至项目整体验收合格之日止。履约担保以现金形式提交的，卖方应从其基本账户通过转帐或电汇至买方指定的账户。</w:t>
      </w:r>
      <w:r>
        <w:rPr>
          <w:rFonts w:hint="eastAsia" w:ascii="宋体" w:hAnsi="宋体" w:cs="宋体"/>
          <w:color w:val="000000"/>
          <w:szCs w:val="21"/>
        </w:rPr>
        <w:t>户名：</w:t>
      </w:r>
      <w:r>
        <w:rPr>
          <w:rFonts w:hint="eastAsia" w:ascii="宋体" w:hAnsi="宋体" w:cs="宋体"/>
          <w:color w:val="000000"/>
          <w:szCs w:val="21"/>
          <w:u w:val="single"/>
        </w:rPr>
        <w:t xml:space="preserve">      </w:t>
      </w:r>
      <w:r>
        <w:rPr>
          <w:rFonts w:hint="eastAsia" w:ascii="宋体" w:hAnsi="宋体" w:cs="宋体"/>
          <w:color w:val="000000"/>
          <w:szCs w:val="21"/>
        </w:rPr>
        <w:t>；开户行：</w:t>
      </w:r>
      <w:r>
        <w:rPr>
          <w:rFonts w:hint="eastAsia" w:ascii="宋体" w:hAnsi="宋体" w:cs="宋体"/>
          <w:color w:val="000000"/>
          <w:szCs w:val="21"/>
          <w:u w:val="single"/>
        </w:rPr>
        <w:t xml:space="preserve">     </w:t>
      </w:r>
      <w:r>
        <w:rPr>
          <w:rFonts w:hint="eastAsia" w:ascii="宋体" w:hAnsi="宋体" w:cs="宋体"/>
          <w:color w:val="000000"/>
          <w:szCs w:val="21"/>
        </w:rPr>
        <w:t>；账号：</w:t>
      </w:r>
      <w:r>
        <w:rPr>
          <w:rFonts w:hint="eastAsia" w:ascii="宋体" w:hAnsi="宋体" w:cs="宋体"/>
          <w:color w:val="000000"/>
          <w:szCs w:val="21"/>
          <w:u w:val="single"/>
        </w:rPr>
        <w:t xml:space="preserve">     </w:t>
      </w:r>
      <w:r>
        <w:rPr>
          <w:rFonts w:hint="eastAsia" w:ascii="宋体" w:hAnsi="宋体" w:cs="宋体"/>
          <w:color w:val="000000"/>
          <w:szCs w:val="21"/>
        </w:rPr>
        <w:t>。</w:t>
      </w:r>
    </w:p>
    <w:p>
      <w:pPr>
        <w:tabs>
          <w:tab w:val="left" w:pos="851"/>
        </w:tabs>
        <w:adjustRightInd w:val="0"/>
        <w:snapToGrid w:val="0"/>
        <w:spacing w:line="360" w:lineRule="auto"/>
        <w:ind w:firstLine="420" w:firstLineChars="200"/>
        <w:rPr>
          <w:rFonts w:ascii="宋体" w:hAnsi="宋体" w:cs="宋体"/>
          <w:szCs w:val="21"/>
        </w:rPr>
      </w:pPr>
      <w:r>
        <w:rPr>
          <w:rFonts w:hint="eastAsia" w:ascii="宋体" w:hAnsi="宋体" w:cs="宋体"/>
          <w:kern w:val="0"/>
          <w:szCs w:val="21"/>
        </w:rPr>
        <w:t>12.2.4在卖方完成其合同义务包括任何保证义务后，买方将把履约担保无息退还卖方。</w:t>
      </w:r>
    </w:p>
    <w:p>
      <w:pPr>
        <w:pStyle w:val="4"/>
        <w:keepNext w:val="0"/>
        <w:keepLines w:val="0"/>
        <w:tabs>
          <w:tab w:val="left" w:pos="0"/>
        </w:tabs>
        <w:snapToGrid w:val="0"/>
        <w:ind w:firstLine="422" w:firstLineChars="200"/>
        <w:rPr>
          <w:rFonts w:ascii="宋体" w:hAnsi="宋体" w:cs="宋体"/>
          <w:sz w:val="21"/>
          <w:szCs w:val="21"/>
        </w:rPr>
      </w:pPr>
      <w:r>
        <w:rPr>
          <w:rFonts w:hint="eastAsia" w:ascii="宋体" w:hAnsi="宋体" w:cs="宋体"/>
          <w:sz w:val="21"/>
          <w:szCs w:val="21"/>
        </w:rPr>
        <w:t>十三、不可抗力</w:t>
      </w:r>
    </w:p>
    <w:p>
      <w:pPr>
        <w:widowControl/>
        <w:snapToGrid w:val="0"/>
        <w:spacing w:line="360" w:lineRule="auto"/>
        <w:ind w:firstLine="420" w:firstLineChars="200"/>
        <w:jc w:val="left"/>
        <w:rPr>
          <w:rFonts w:ascii="宋体" w:hAnsi="宋体" w:cs="宋体"/>
          <w:szCs w:val="21"/>
          <w:shd w:val="clear" w:color="auto" w:fill="FFFFFF"/>
        </w:rPr>
      </w:pPr>
      <w:bookmarkStart w:id="133" w:name="_Toc351203608"/>
      <w:r>
        <w:rPr>
          <w:rFonts w:hint="eastAsia" w:ascii="宋体" w:hAnsi="宋体" w:cs="宋体"/>
          <w:szCs w:val="21"/>
          <w:shd w:val="clear" w:color="auto" w:fill="FFFFFF"/>
        </w:rPr>
        <w:t>13.1</w:t>
      </w:r>
      <w:bookmarkEnd w:id="133"/>
      <w:r>
        <w:rPr>
          <w:rFonts w:hint="eastAsia" w:ascii="宋体" w:hAnsi="宋体" w:cs="宋体"/>
          <w:szCs w:val="21"/>
          <w:shd w:val="clear" w:color="auto" w:fill="FFFFFF"/>
        </w:rPr>
        <w:t>不可抗力的确认</w:t>
      </w:r>
    </w:p>
    <w:p>
      <w:pPr>
        <w:widowControl/>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不可抗力发生后，合同当事人应收集证明不可抗力发生及不可抗力造成损失的证据，并及时认真统计所造成的损失。合同当事人对是否属于不可抗力或其损失发生争议时，按第九条的约定处理。</w:t>
      </w:r>
    </w:p>
    <w:p>
      <w:pPr>
        <w:widowControl/>
        <w:snapToGrid w:val="0"/>
        <w:spacing w:line="360" w:lineRule="auto"/>
        <w:ind w:firstLine="420" w:firstLineChars="200"/>
        <w:jc w:val="left"/>
        <w:rPr>
          <w:rFonts w:ascii="宋体" w:hAnsi="宋体" w:cs="宋体"/>
          <w:szCs w:val="21"/>
          <w:shd w:val="clear" w:color="auto" w:fill="FFFFFF"/>
        </w:rPr>
      </w:pPr>
      <w:bookmarkStart w:id="134" w:name="_Toc296346619"/>
      <w:bookmarkEnd w:id="134"/>
      <w:bookmarkStart w:id="135" w:name="_Toc337558825"/>
      <w:bookmarkEnd w:id="135"/>
      <w:bookmarkStart w:id="136" w:name="_Toc296503118"/>
      <w:bookmarkEnd w:id="136"/>
      <w:bookmarkStart w:id="137" w:name="_Toc351203609"/>
      <w:r>
        <w:rPr>
          <w:rFonts w:hint="eastAsia" w:ascii="宋体" w:hAnsi="宋体" w:cs="宋体"/>
          <w:szCs w:val="21"/>
          <w:shd w:val="clear" w:color="auto" w:fill="FFFFFF"/>
        </w:rPr>
        <w:t>13.2</w:t>
      </w:r>
      <w:bookmarkEnd w:id="137"/>
      <w:r>
        <w:rPr>
          <w:rFonts w:hint="eastAsia" w:ascii="宋体" w:hAnsi="宋体" w:cs="宋体"/>
          <w:szCs w:val="21"/>
          <w:shd w:val="clear" w:color="auto" w:fill="FFFFFF"/>
        </w:rPr>
        <w:t>不可抗力的通知</w:t>
      </w:r>
    </w:p>
    <w:p>
      <w:pPr>
        <w:widowControl/>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snapToGrid w:val="0"/>
        <w:spacing w:line="360" w:lineRule="auto"/>
        <w:ind w:firstLine="420" w:firstLineChars="200"/>
        <w:jc w:val="left"/>
        <w:rPr>
          <w:rFonts w:ascii="宋体" w:hAnsi="宋体" w:cs="宋体"/>
          <w:szCs w:val="21"/>
          <w:shd w:val="clear" w:color="auto" w:fill="FFFFFF"/>
        </w:rPr>
      </w:pPr>
      <w:bookmarkStart w:id="138" w:name="_Toc296503119"/>
      <w:bookmarkEnd w:id="138"/>
      <w:bookmarkStart w:id="139" w:name="_Toc337558826"/>
      <w:bookmarkEnd w:id="139"/>
      <w:bookmarkStart w:id="140" w:name="_Toc296346620"/>
      <w:bookmarkEnd w:id="140"/>
      <w:bookmarkStart w:id="141" w:name="_Toc351203610"/>
      <w:r>
        <w:rPr>
          <w:rFonts w:hint="eastAsia" w:ascii="宋体" w:hAnsi="宋体" w:cs="宋体"/>
          <w:szCs w:val="21"/>
          <w:shd w:val="clear" w:color="auto" w:fill="FFFFFF"/>
        </w:rPr>
        <w:t>13.3</w:t>
      </w:r>
      <w:bookmarkEnd w:id="141"/>
      <w:r>
        <w:rPr>
          <w:rFonts w:hint="eastAsia" w:ascii="宋体" w:hAnsi="宋体" w:cs="宋体"/>
          <w:szCs w:val="21"/>
          <w:shd w:val="clear" w:color="auto" w:fill="FFFFFF"/>
        </w:rPr>
        <w:t>不可抗力后果的承担</w:t>
      </w:r>
    </w:p>
    <w:p>
      <w:pPr>
        <w:widowControl/>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不可抗力引起的后果及造成的损失由合同当事人按照法律规定及合同约定各自承担。不可抗力发生前已完成的监测工作应当按照合同约定进行支付。</w:t>
      </w:r>
    </w:p>
    <w:p>
      <w:pPr>
        <w:widowControl/>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不可抗力发生后，合同当事人均应采取措施尽量避免和减少损失的扩大，任何一方当事人没有采取有效措施导致损失扩大的，应对扩大的损失承担责任。</w:t>
      </w:r>
    </w:p>
    <w:p>
      <w:pPr>
        <w:widowControl/>
        <w:snapToGrid w:val="0"/>
        <w:spacing w:line="360" w:lineRule="auto"/>
        <w:ind w:firstLine="420" w:firstLineChars="200"/>
        <w:jc w:val="left"/>
        <w:rPr>
          <w:rFonts w:ascii="宋体" w:hAnsi="宋体" w:cs="宋体"/>
          <w:szCs w:val="21"/>
        </w:rPr>
      </w:pPr>
      <w:r>
        <w:rPr>
          <w:rFonts w:hint="eastAsia" w:ascii="宋体" w:hAnsi="宋体" w:cs="宋体"/>
          <w:szCs w:val="21"/>
          <w:shd w:val="clear" w:color="auto" w:fill="FFFFFF"/>
        </w:rPr>
        <w:t>因合同一方迟延履行合同义务，在迟延履行期间遭遇不可抗力的，不免除其违约责任。</w:t>
      </w:r>
    </w:p>
    <w:p>
      <w:pPr>
        <w:tabs>
          <w:tab w:val="left" w:pos="540"/>
          <w:tab w:val="left" w:pos="720"/>
        </w:tabs>
        <w:adjustRightInd w:val="0"/>
        <w:snapToGrid w:val="0"/>
        <w:spacing w:line="360" w:lineRule="auto"/>
        <w:ind w:firstLine="422" w:firstLineChars="200"/>
        <w:jc w:val="left"/>
        <w:outlineLvl w:val="1"/>
        <w:rPr>
          <w:rFonts w:ascii="宋体" w:hAnsi="宋体" w:cs="宋体"/>
          <w:b/>
          <w:szCs w:val="21"/>
        </w:rPr>
      </w:pPr>
      <w:r>
        <w:rPr>
          <w:rFonts w:hint="eastAsia" w:ascii="宋体" w:hAnsi="宋体" w:cs="宋体"/>
          <w:b/>
          <w:szCs w:val="21"/>
        </w:rPr>
        <w:t>十四、合同生效及终止</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14.1 本合同自</w:t>
      </w:r>
      <w:r>
        <w:rPr>
          <w:rFonts w:hint="eastAsia" w:ascii="宋体" w:hAnsi="宋体" w:cs="宋体"/>
          <w:szCs w:val="21"/>
        </w:rPr>
        <w:t>双方法定代表人或其授权代表签字并加盖合同专用章</w:t>
      </w:r>
      <w:r>
        <w:rPr>
          <w:rFonts w:hint="eastAsia" w:ascii="宋体" w:hAnsi="宋体" w:cs="宋体"/>
          <w:bCs/>
          <w:szCs w:val="21"/>
        </w:rPr>
        <w:t>生效。</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14.2 买方、卖方履行合同全部义务，合同价款支付完毕，本合同即告终止。</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14.3 合同的权利义务终止后，合同当事人应遵循诚实信用原则，履行通知、协助和保密等义务。</w:t>
      </w:r>
    </w:p>
    <w:p>
      <w:pPr>
        <w:pStyle w:val="41"/>
        <w:snapToGrid w:val="0"/>
        <w:spacing w:before="0" w:beforeAutospacing="0" w:after="0" w:afterAutospacing="0" w:line="360" w:lineRule="auto"/>
        <w:ind w:firstLine="422" w:firstLineChars="200"/>
        <w:rPr>
          <w:b/>
          <w:sz w:val="21"/>
          <w:szCs w:val="21"/>
        </w:rPr>
      </w:pPr>
      <w:r>
        <w:rPr>
          <w:rFonts w:hint="eastAsia"/>
          <w:b/>
          <w:bCs/>
          <w:sz w:val="21"/>
          <w:szCs w:val="21"/>
        </w:rPr>
        <w:t>十五、</w:t>
      </w:r>
      <w:r>
        <w:rPr>
          <w:rFonts w:hint="eastAsia"/>
          <w:b/>
          <w:sz w:val="21"/>
          <w:szCs w:val="21"/>
        </w:rPr>
        <w:t>争议解决</w:t>
      </w:r>
    </w:p>
    <w:p>
      <w:pPr>
        <w:pStyle w:val="41"/>
        <w:snapToGrid w:val="0"/>
        <w:spacing w:before="0" w:beforeAutospacing="0" w:after="0" w:afterAutospacing="0" w:line="360" w:lineRule="auto"/>
        <w:ind w:firstLine="420" w:firstLineChars="200"/>
        <w:rPr>
          <w:sz w:val="21"/>
          <w:szCs w:val="21"/>
        </w:rPr>
      </w:pPr>
      <w:r>
        <w:rPr>
          <w:rFonts w:hint="eastAsia"/>
          <w:sz w:val="21"/>
          <w:szCs w:val="21"/>
        </w:rPr>
        <w:t>双方因履行本合同而发生的争议，应协商、调解解决。协商、调解不成的，确定按以下第</w:t>
      </w:r>
      <w:r>
        <w:rPr>
          <w:rFonts w:hint="eastAsia"/>
          <w:sz w:val="21"/>
          <w:szCs w:val="21"/>
          <w:u w:val="single"/>
        </w:rPr>
        <w:t>（2）</w:t>
      </w:r>
      <w:r>
        <w:rPr>
          <w:rFonts w:hint="eastAsia"/>
          <w:sz w:val="21"/>
          <w:szCs w:val="21"/>
        </w:rPr>
        <w:t>种方式处理：</w:t>
      </w:r>
    </w:p>
    <w:p>
      <w:pPr>
        <w:pStyle w:val="41"/>
        <w:snapToGrid w:val="0"/>
        <w:spacing w:before="0" w:beforeAutospacing="0" w:after="0" w:afterAutospacing="0" w:line="360" w:lineRule="auto"/>
        <w:ind w:firstLine="420" w:firstLineChars="200"/>
        <w:rPr>
          <w:sz w:val="21"/>
          <w:szCs w:val="21"/>
        </w:rPr>
      </w:pPr>
      <w:r>
        <w:rPr>
          <w:rFonts w:hint="eastAsia"/>
          <w:sz w:val="21"/>
          <w:szCs w:val="21"/>
        </w:rPr>
        <w:t>（1）提交</w:t>
      </w:r>
      <w:r>
        <w:rPr>
          <w:rFonts w:hint="eastAsia"/>
          <w:sz w:val="21"/>
          <w:szCs w:val="21"/>
          <w:u w:val="single"/>
        </w:rPr>
        <w:t>长沙</w:t>
      </w:r>
      <w:r>
        <w:rPr>
          <w:rFonts w:hint="eastAsia"/>
          <w:sz w:val="21"/>
          <w:szCs w:val="21"/>
        </w:rPr>
        <w:t>仲裁委员会仲裁；</w:t>
      </w:r>
    </w:p>
    <w:p>
      <w:pPr>
        <w:tabs>
          <w:tab w:val="left" w:pos="1610"/>
        </w:tabs>
        <w:adjustRightInd w:val="0"/>
        <w:snapToGrid w:val="0"/>
        <w:spacing w:line="360" w:lineRule="auto"/>
        <w:ind w:firstLine="420" w:firstLineChars="200"/>
        <w:textAlignment w:val="baseline"/>
        <w:rPr>
          <w:rFonts w:ascii="宋体" w:hAnsi="宋体" w:cs="宋体"/>
          <w:b/>
          <w:kern w:val="0"/>
          <w:szCs w:val="21"/>
          <w:shd w:val="clear" w:color="auto" w:fill="FFFFFF"/>
        </w:rPr>
      </w:pPr>
      <w:r>
        <w:rPr>
          <w:rFonts w:hint="eastAsia" w:ascii="宋体" w:hAnsi="宋体" w:cs="宋体"/>
          <w:szCs w:val="21"/>
        </w:rPr>
        <w:t>（2）</w:t>
      </w:r>
      <w:r>
        <w:rPr>
          <w:rFonts w:hint="eastAsia" w:ascii="宋体" w:hAnsi="宋体" w:cs="宋体"/>
          <w:kern w:val="0"/>
          <w:szCs w:val="21"/>
        </w:rPr>
        <w:t>依法向</w:t>
      </w:r>
      <w:r>
        <w:rPr>
          <w:rFonts w:hint="eastAsia" w:ascii="宋体" w:hAnsi="宋体" w:cs="宋体"/>
          <w:kern w:val="0"/>
          <w:szCs w:val="21"/>
          <w:u w:val="single"/>
        </w:rPr>
        <w:t>买方所在地</w:t>
      </w:r>
      <w:r>
        <w:rPr>
          <w:rFonts w:hint="eastAsia" w:ascii="宋体" w:hAnsi="宋体" w:cs="宋体"/>
          <w:kern w:val="0"/>
          <w:szCs w:val="21"/>
        </w:rPr>
        <w:t>人民法院起诉</w:t>
      </w:r>
      <w:r>
        <w:rPr>
          <w:rFonts w:hint="eastAsia" w:ascii="宋体" w:hAnsi="宋体" w:cs="宋体"/>
          <w:szCs w:val="21"/>
        </w:rPr>
        <w:t>。</w:t>
      </w:r>
    </w:p>
    <w:p>
      <w:pPr>
        <w:tabs>
          <w:tab w:val="left" w:pos="1610"/>
        </w:tabs>
        <w:adjustRightInd w:val="0"/>
        <w:snapToGrid w:val="0"/>
        <w:spacing w:line="360" w:lineRule="auto"/>
        <w:ind w:firstLine="422" w:firstLineChars="200"/>
        <w:textAlignment w:val="baseline"/>
        <w:rPr>
          <w:rFonts w:ascii="宋体" w:hAnsi="宋体" w:cs="宋体"/>
          <w:b/>
          <w:kern w:val="0"/>
          <w:szCs w:val="21"/>
          <w:shd w:val="clear" w:color="auto" w:fill="FFFFFF"/>
        </w:rPr>
      </w:pPr>
      <w:r>
        <w:rPr>
          <w:rFonts w:hint="eastAsia" w:ascii="宋体" w:hAnsi="宋体" w:cs="宋体"/>
          <w:b/>
          <w:kern w:val="0"/>
          <w:szCs w:val="21"/>
          <w:shd w:val="clear" w:color="auto" w:fill="FFFFFF"/>
        </w:rPr>
        <w:t>十六、其他约定</w:t>
      </w:r>
    </w:p>
    <w:p>
      <w:pPr>
        <w:tabs>
          <w:tab w:val="left" w:pos="1610"/>
        </w:tabs>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16.1定义</w:t>
      </w:r>
    </w:p>
    <w:p>
      <w:pPr>
        <w:snapToGrid w:val="0"/>
        <w:spacing w:line="360" w:lineRule="auto"/>
        <w:ind w:firstLine="420" w:firstLineChars="200"/>
        <w:outlineLvl w:val="2"/>
        <w:rPr>
          <w:rFonts w:ascii="宋体" w:hAnsi="宋体" w:cs="宋体"/>
          <w:szCs w:val="21"/>
        </w:rPr>
      </w:pPr>
      <w:r>
        <w:rPr>
          <w:rFonts w:hint="eastAsia" w:ascii="宋体" w:hAnsi="宋体" w:cs="宋体"/>
          <w:szCs w:val="21"/>
        </w:rPr>
        <w:t>（1）“合同”系指买卖双方签署的、合同格式中载明的买卖双方所达成的协议，包括所有的附件、附录和上述文件所提到的构成合同的所有文件。</w:t>
      </w:r>
    </w:p>
    <w:p>
      <w:pPr>
        <w:snapToGrid w:val="0"/>
        <w:spacing w:line="360" w:lineRule="auto"/>
        <w:ind w:firstLine="420" w:firstLineChars="200"/>
        <w:outlineLvl w:val="2"/>
        <w:rPr>
          <w:rFonts w:ascii="宋体" w:hAnsi="宋体" w:cs="宋体"/>
          <w:szCs w:val="21"/>
        </w:rPr>
      </w:pPr>
      <w:r>
        <w:rPr>
          <w:rFonts w:hint="eastAsia" w:ascii="宋体" w:hAnsi="宋体" w:cs="宋体"/>
          <w:szCs w:val="21"/>
        </w:rPr>
        <w:t>（2）“签约合同价”系指买方和卖方在合同协议书中确定的金额，即本项目的中标价或中选价或成交价。</w:t>
      </w:r>
    </w:p>
    <w:p>
      <w:pPr>
        <w:snapToGrid w:val="0"/>
        <w:spacing w:line="360" w:lineRule="auto"/>
        <w:ind w:firstLine="420" w:firstLineChars="200"/>
        <w:outlineLvl w:val="2"/>
        <w:rPr>
          <w:rFonts w:ascii="宋体" w:hAnsi="宋体" w:cs="宋体"/>
          <w:szCs w:val="21"/>
        </w:rPr>
      </w:pPr>
      <w:r>
        <w:rPr>
          <w:rFonts w:hint="eastAsia" w:ascii="宋体" w:hAnsi="宋体" w:cs="宋体"/>
          <w:szCs w:val="21"/>
        </w:rPr>
        <w:t>（3）“合同价格”系指根据本合同规定卖方在正确地完全履行合同义务后，买方应支付给卖方的价款，即经</w:t>
      </w:r>
      <w:r>
        <w:rPr>
          <w:rFonts w:hint="eastAsia" w:ascii="宋体" w:hAnsi="宋体" w:cs="宋体"/>
          <w:color w:val="000000"/>
          <w:szCs w:val="21"/>
        </w:rPr>
        <w:t>长沙市政府相关职能部门或经甲方审定的结算价格</w:t>
      </w:r>
      <w:r>
        <w:rPr>
          <w:rFonts w:hint="eastAsia" w:ascii="宋体" w:hAnsi="宋体" w:cs="宋体"/>
          <w:szCs w:val="21"/>
        </w:rPr>
        <w:t>。</w:t>
      </w:r>
    </w:p>
    <w:p>
      <w:pPr>
        <w:snapToGrid w:val="0"/>
        <w:spacing w:line="360" w:lineRule="auto"/>
        <w:ind w:firstLine="420" w:firstLineChars="200"/>
        <w:outlineLvl w:val="2"/>
        <w:rPr>
          <w:rFonts w:ascii="宋体" w:hAnsi="宋体" w:cs="宋体"/>
          <w:szCs w:val="21"/>
        </w:rPr>
      </w:pPr>
      <w:r>
        <w:rPr>
          <w:rFonts w:hint="eastAsia" w:ascii="宋体" w:hAnsi="宋体" w:cs="宋体"/>
          <w:szCs w:val="21"/>
        </w:rPr>
        <w:t>（4）“货物”系指卖方根据本合同规定向买方提供的设备、备品备件（含易损易耗件）、专用工具、仪器与仪表、模型（如有）、技术文件以及必须向买方提供的相关文件。</w:t>
      </w:r>
    </w:p>
    <w:p>
      <w:pPr>
        <w:snapToGrid w:val="0"/>
        <w:spacing w:line="360" w:lineRule="auto"/>
        <w:ind w:firstLine="420" w:firstLineChars="200"/>
        <w:outlineLvl w:val="2"/>
        <w:rPr>
          <w:rFonts w:ascii="宋体" w:hAnsi="宋体" w:cs="宋体"/>
          <w:szCs w:val="21"/>
        </w:rPr>
      </w:pPr>
      <w:r>
        <w:rPr>
          <w:rFonts w:hint="eastAsia" w:ascii="宋体" w:hAnsi="宋体" w:cs="宋体"/>
          <w:szCs w:val="21"/>
        </w:rPr>
        <w:t>（5）“服务”系指根据合同规定卖方承担与供货有关的服务，包括但不限于设计联络（如有）、设备设计（含工艺设计）、外协考察、出厂检验、试验、验收、安装（如有）/安装督导（如有）、单机（单系统）调试、联调配合、培训、售后服务、技术支持以及货物至合同指定地点的有关的包装、运输、装卸、仓储和相关保险等以及向政府有关机构报验（如果有）、质量保证期服务、提供技术文件及图纸和售后服务及合同中规定卖方应承担的其它义务等。</w:t>
      </w:r>
    </w:p>
    <w:p>
      <w:pPr>
        <w:snapToGrid w:val="0"/>
        <w:spacing w:line="360" w:lineRule="auto"/>
        <w:ind w:firstLine="420" w:firstLineChars="200"/>
        <w:outlineLvl w:val="2"/>
        <w:rPr>
          <w:rFonts w:ascii="宋体" w:hAnsi="宋体" w:cs="宋体"/>
          <w:szCs w:val="21"/>
        </w:rPr>
      </w:pPr>
      <w:r>
        <w:rPr>
          <w:rFonts w:hint="eastAsia" w:ascii="宋体" w:hAnsi="宋体" w:cs="宋体"/>
          <w:szCs w:val="21"/>
        </w:rPr>
        <w:t>（6）“验收”系指在本项目各阶段买方组织的用以确认货物质量、货物安装质量（如有）符合用户需求书/技术规格书要求的验收，包括到货验收、安装验收（如有）、项目整体验收。其中：</w:t>
      </w:r>
    </w:p>
    <w:p>
      <w:pPr>
        <w:snapToGrid w:val="0"/>
        <w:spacing w:line="360" w:lineRule="auto"/>
        <w:ind w:firstLine="420" w:firstLineChars="200"/>
        <w:outlineLvl w:val="2"/>
        <w:rPr>
          <w:rFonts w:ascii="宋体" w:hAnsi="宋体" w:cs="宋体"/>
          <w:szCs w:val="21"/>
        </w:rPr>
      </w:pPr>
      <w:r>
        <w:rPr>
          <w:rFonts w:hint="eastAsia" w:ascii="宋体" w:hAnsi="宋体" w:cs="宋体"/>
          <w:szCs w:val="21"/>
        </w:rPr>
        <w:t>“到货验收”系指货物到货或分批次到货后买方组织的现场指定交货的交货验收。</w:t>
      </w:r>
    </w:p>
    <w:p>
      <w:pPr>
        <w:snapToGrid w:val="0"/>
        <w:spacing w:line="360" w:lineRule="auto"/>
        <w:ind w:firstLine="420" w:firstLineChars="200"/>
        <w:outlineLvl w:val="2"/>
        <w:rPr>
          <w:rFonts w:ascii="宋体" w:hAnsi="宋体" w:cs="宋体"/>
          <w:szCs w:val="21"/>
        </w:rPr>
      </w:pPr>
      <w:r>
        <w:rPr>
          <w:rFonts w:hint="eastAsia" w:ascii="宋体" w:hAnsi="宋体" w:cs="宋体"/>
          <w:szCs w:val="21"/>
        </w:rPr>
        <w:t>“安装验收”货物完成安装（如有）/安装督导（如有）后买方组织的对安装质量的验收。</w:t>
      </w:r>
    </w:p>
    <w:p>
      <w:pPr>
        <w:snapToGrid w:val="0"/>
        <w:spacing w:line="360" w:lineRule="auto"/>
        <w:ind w:firstLine="420" w:firstLineChars="200"/>
        <w:outlineLvl w:val="2"/>
        <w:rPr>
          <w:rFonts w:ascii="宋体" w:hAnsi="宋体" w:cs="宋体"/>
          <w:szCs w:val="21"/>
        </w:rPr>
      </w:pPr>
      <w:r>
        <w:rPr>
          <w:rFonts w:hint="eastAsia" w:ascii="宋体" w:hAnsi="宋体" w:cs="宋体"/>
          <w:szCs w:val="21"/>
        </w:rPr>
        <w:t>“项目整体验收”系指合同约定所有货物完成供货、安装（如有）/安装督导（如有）及相关服务全部完成后买方组织的对项目履约情况的进行整体验收。</w:t>
      </w:r>
    </w:p>
    <w:p>
      <w:pPr>
        <w:snapToGrid w:val="0"/>
        <w:spacing w:line="360" w:lineRule="auto"/>
        <w:ind w:firstLine="420" w:firstLineChars="200"/>
        <w:outlineLvl w:val="2"/>
        <w:rPr>
          <w:rFonts w:ascii="宋体" w:hAnsi="宋体" w:cs="宋体"/>
          <w:szCs w:val="21"/>
        </w:rPr>
      </w:pPr>
      <w:r>
        <w:rPr>
          <w:rFonts w:hint="eastAsia" w:ascii="宋体" w:hAnsi="宋体" w:cs="宋体"/>
          <w:szCs w:val="21"/>
        </w:rPr>
        <w:t>（7）“工程管理规定”系指政府相关职能部门及委托人已下发和在合同履约过程中陆续下发的文件、制度、规定等。工程管理规定作为本合同的组成部分，卖方在合同履行过程中应严格遵照执行。</w:t>
      </w:r>
    </w:p>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Pr>
        <w:pStyle w:val="41"/>
        <w:snapToGrid w:val="0"/>
        <w:spacing w:before="0" w:beforeAutospacing="0" w:after="0" w:afterAutospacing="0" w:line="360" w:lineRule="auto"/>
        <w:ind w:firstLine="420" w:firstLineChars="200"/>
        <w:rPr>
          <w:sz w:val="21"/>
          <w:szCs w:val="21"/>
        </w:rPr>
      </w:pPr>
      <w:r>
        <w:rPr>
          <w:rFonts w:hint="eastAsia"/>
          <w:sz w:val="21"/>
          <w:szCs w:val="21"/>
        </w:rPr>
        <w:t>16.2合同组成及优先顺序</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16.2.1本合同由以下文件组成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（1）补充协议（如有）；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（2）合同协议书；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kern w:val="0"/>
          <w:szCs w:val="21"/>
        </w:rPr>
        <w:t>合同附件（包括但不限于中选通知书（如有）、用户需求书/技术规格书、签约合同价格清单、</w:t>
      </w:r>
      <w:r>
        <w:rPr>
          <w:rFonts w:hint="eastAsia" w:ascii="宋体" w:hAnsi="宋体" w:cs="宋体"/>
          <w:szCs w:val="21"/>
        </w:rPr>
        <w:t>自主竞争性谈判文件/直接委托谈判文件及其附件（如有）、谈判响应文件及其附件（如有）</w:t>
      </w:r>
      <w:r>
        <w:rPr>
          <w:rFonts w:hint="eastAsia" w:ascii="宋体" w:hAnsi="宋体" w:cs="宋体"/>
          <w:kern w:val="0"/>
          <w:szCs w:val="21"/>
        </w:rPr>
        <w:t>）</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（4）其他构成本合同的文件以及在合同履行过程中形成的与合同有关的文件构成合同文件组成部分。</w:t>
      </w:r>
    </w:p>
    <w:p>
      <w:pPr>
        <w:snapToGrid w:val="0"/>
        <w:spacing w:line="360" w:lineRule="auto"/>
        <w:ind w:firstLine="420" w:firstLineChars="200"/>
        <w:rPr>
          <w:rFonts w:ascii="宋体" w:hAnsi="宋体" w:cs="宋体"/>
          <w:szCs w:val="21"/>
        </w:rPr>
      </w:pPr>
      <w:r>
        <w:rPr>
          <w:rFonts w:hint="eastAsia" w:ascii="宋体" w:hAnsi="宋体" w:cs="宋体"/>
          <w:szCs w:val="21"/>
        </w:rPr>
        <w:t>16.2.2上述组成合同的文件应认为是互为补充和解释的。如出现文件规定相互矛盾或冲突的，按上述合同文件序号从前向后确定适用顺序，顺序在先者优先适用；如果出现了意思含混或矛盾之处，属于同一类内容的文件，应以最新签署的为准。</w:t>
      </w:r>
    </w:p>
    <w:p>
      <w:pPr>
        <w:pStyle w:val="41"/>
        <w:snapToGrid w:val="0"/>
        <w:spacing w:before="0" w:beforeAutospacing="0" w:after="0" w:afterAutospacing="0" w:line="360" w:lineRule="auto"/>
        <w:ind w:firstLine="420" w:firstLineChars="200"/>
        <w:rPr>
          <w:sz w:val="21"/>
          <w:szCs w:val="21"/>
        </w:rPr>
      </w:pPr>
      <w:r>
        <w:rPr>
          <w:rFonts w:hint="eastAsia"/>
          <w:sz w:val="21"/>
          <w:szCs w:val="21"/>
        </w:rPr>
        <w:t>16.3本合同正本二份、副本十份，买方持正本一份、副本七份，卖方持正本一份、副本三份。合同正本与副本具有同等效力，当合同副本与正本之间存有差异时，以合同正本为准。</w:t>
      </w:r>
    </w:p>
    <w:p>
      <w:pPr>
        <w:pStyle w:val="41"/>
        <w:snapToGrid w:val="0"/>
        <w:spacing w:before="0" w:beforeAutospacing="0" w:after="0" w:afterAutospacing="0" w:line="360" w:lineRule="auto"/>
        <w:ind w:firstLine="420" w:firstLineChars="200"/>
        <w:rPr>
          <w:sz w:val="21"/>
          <w:szCs w:val="21"/>
        </w:rPr>
      </w:pPr>
      <w:r>
        <w:rPr>
          <w:rFonts w:hint="eastAsia"/>
          <w:sz w:val="21"/>
          <w:szCs w:val="21"/>
        </w:rPr>
        <w:t>16.4双方约定的其他事项</w:t>
      </w:r>
    </w:p>
    <w:p>
      <w:pPr>
        <w:pStyle w:val="41"/>
        <w:snapToGrid w:val="0"/>
        <w:spacing w:before="0" w:beforeAutospacing="0" w:after="0" w:afterAutospacing="0" w:line="360" w:lineRule="auto"/>
        <w:ind w:firstLine="422" w:firstLineChars="200"/>
        <w:rPr>
          <w:b/>
          <w:sz w:val="21"/>
          <w:szCs w:val="21"/>
          <w:u w:val="single"/>
        </w:rPr>
      </w:pPr>
      <w:r>
        <w:rPr>
          <w:rFonts w:hint="eastAsia"/>
          <w:b/>
          <w:sz w:val="21"/>
          <w:szCs w:val="21"/>
          <w:u w:val="single"/>
        </w:rPr>
        <w:t xml:space="preserve">                             </w:t>
      </w:r>
      <w:r>
        <w:rPr>
          <w:rFonts w:hint="eastAsia"/>
          <w:sz w:val="21"/>
          <w:szCs w:val="21"/>
        </w:rPr>
        <w:br w:type="page"/>
      </w:r>
    </w:p>
    <w:p>
      <w:pPr>
        <w:widowControl/>
        <w:snapToGrid w:val="0"/>
        <w:spacing w:line="360" w:lineRule="auto"/>
        <w:jc w:val="left"/>
        <w:rPr>
          <w:rFonts w:ascii="宋体" w:hAnsi="宋体" w:cs="宋体"/>
          <w:szCs w:val="21"/>
        </w:rPr>
      </w:pPr>
      <w:r>
        <w:rPr>
          <w:rFonts w:hint="eastAsia" w:ascii="宋体" w:hAnsi="宋体" w:cs="宋体"/>
          <w:szCs w:val="21"/>
        </w:rPr>
        <w:t>（本页无正文）</w:t>
      </w:r>
    </w:p>
    <w:p>
      <w:pPr>
        <w:widowControl/>
        <w:snapToGrid w:val="0"/>
        <w:spacing w:line="360" w:lineRule="auto"/>
        <w:ind w:firstLine="465"/>
        <w:jc w:val="left"/>
        <w:rPr>
          <w:rFonts w:ascii="宋体" w:hAnsi="宋体" w:cs="宋体"/>
          <w:szCs w:val="21"/>
        </w:rPr>
      </w:pPr>
    </w:p>
    <w:p>
      <w:pPr>
        <w:widowControl/>
        <w:snapToGrid w:val="0"/>
        <w:spacing w:line="360" w:lineRule="auto"/>
        <w:ind w:firstLine="465"/>
        <w:jc w:val="left"/>
        <w:rPr>
          <w:rFonts w:ascii="宋体" w:hAnsi="宋体" w:cs="宋体"/>
          <w:szCs w:val="21"/>
        </w:rPr>
      </w:pPr>
    </w:p>
    <w:tbl>
      <w:tblPr>
        <w:tblStyle w:val="46"/>
        <w:tblW w:w="8719" w:type="dxa"/>
        <w:jc w:val="center"/>
        <w:tblInd w:w="0" w:type="dxa"/>
        <w:tblLayout w:type="fixed"/>
        <w:tblCellMar>
          <w:top w:w="0" w:type="dxa"/>
          <w:left w:w="108" w:type="dxa"/>
          <w:bottom w:w="0" w:type="dxa"/>
          <w:right w:w="108" w:type="dxa"/>
        </w:tblCellMar>
      </w:tblPr>
      <w:tblGrid>
        <w:gridCol w:w="4467"/>
        <w:gridCol w:w="4252"/>
      </w:tblGrid>
      <w:tr>
        <w:tblPrEx>
          <w:tblLayout w:type="fixed"/>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rPr>
                <w:rFonts w:hAnsi="宋体" w:cs="宋体"/>
              </w:rPr>
            </w:pPr>
            <w:r>
              <w:rPr>
                <w:rFonts w:hint="eastAsia" w:hAnsi="宋体" w:cs="宋体"/>
              </w:rPr>
              <w:t>买方：(盖章)</w:t>
            </w:r>
          </w:p>
          <w:p>
            <w:pPr>
              <w:pStyle w:val="25"/>
              <w:snapToGrid w:val="0"/>
              <w:spacing w:line="360" w:lineRule="auto"/>
              <w:rPr>
                <w:rFonts w:hAnsi="宋体" w:cs="宋体"/>
              </w:rPr>
            </w:pPr>
          </w:p>
        </w:tc>
        <w:tc>
          <w:tcPr>
            <w:tcW w:w="4252" w:type="dxa"/>
            <w:tcBorders>
              <w:top w:val="nil"/>
              <w:left w:val="nil"/>
              <w:bottom w:val="nil"/>
              <w:right w:val="nil"/>
            </w:tcBorders>
          </w:tcPr>
          <w:p>
            <w:pPr>
              <w:pStyle w:val="25"/>
              <w:snapToGrid w:val="0"/>
              <w:spacing w:line="360" w:lineRule="auto"/>
              <w:rPr>
                <w:rFonts w:hAnsi="宋体" w:cs="宋体"/>
              </w:rPr>
            </w:pPr>
            <w:r>
              <w:rPr>
                <w:rFonts w:hint="eastAsia" w:hAnsi="宋体" w:cs="宋体"/>
              </w:rPr>
              <w:t>卖方：（盖章）</w:t>
            </w:r>
          </w:p>
          <w:p>
            <w:pPr>
              <w:pStyle w:val="25"/>
              <w:snapToGrid w:val="0"/>
              <w:spacing w:line="360" w:lineRule="auto"/>
              <w:rPr>
                <w:rFonts w:hAnsi="宋体" w:cs="宋体"/>
              </w:rPr>
            </w:pPr>
          </w:p>
        </w:tc>
      </w:tr>
      <w:tr>
        <w:tblPrEx>
          <w:tblLayout w:type="fixed"/>
          <w:tblCellMar>
            <w:top w:w="0" w:type="dxa"/>
            <w:left w:w="108" w:type="dxa"/>
            <w:bottom w:w="0" w:type="dxa"/>
            <w:right w:w="108" w:type="dxa"/>
          </w:tblCellMar>
        </w:tblPrEx>
        <w:trPr>
          <w:trHeight w:val="858" w:hRule="atLeast"/>
          <w:jc w:val="center"/>
        </w:trPr>
        <w:tc>
          <w:tcPr>
            <w:tcW w:w="4467" w:type="dxa"/>
            <w:tcBorders>
              <w:top w:val="nil"/>
              <w:left w:val="nil"/>
              <w:bottom w:val="nil"/>
              <w:right w:val="nil"/>
            </w:tcBorders>
          </w:tcPr>
          <w:p>
            <w:pPr>
              <w:pStyle w:val="25"/>
              <w:snapToGrid w:val="0"/>
              <w:spacing w:line="360" w:lineRule="auto"/>
              <w:ind w:left="19" w:leftChars="9"/>
              <w:rPr>
                <w:rFonts w:hAnsi="宋体" w:cs="宋体"/>
              </w:rPr>
            </w:pPr>
            <w:r>
              <w:rPr>
                <w:rFonts w:hint="eastAsia" w:hAnsi="宋体" w:cs="宋体"/>
              </w:rPr>
              <w:t>法定代表人或其授权代表：</w:t>
            </w:r>
          </w:p>
          <w:p>
            <w:pPr>
              <w:pStyle w:val="25"/>
              <w:snapToGrid w:val="0"/>
              <w:spacing w:line="360" w:lineRule="auto"/>
              <w:ind w:left="19" w:leftChars="9"/>
              <w:rPr>
                <w:rFonts w:hAnsi="宋体" w:cs="宋体"/>
              </w:rPr>
            </w:pPr>
          </w:p>
          <w:p>
            <w:pPr>
              <w:pStyle w:val="25"/>
              <w:snapToGrid w:val="0"/>
              <w:spacing w:line="360" w:lineRule="auto"/>
              <w:ind w:left="19" w:leftChars="9"/>
              <w:rPr>
                <w:rFonts w:hAnsi="宋体" w:cs="宋体"/>
              </w:rPr>
            </w:pPr>
          </w:p>
        </w:tc>
        <w:tc>
          <w:tcPr>
            <w:tcW w:w="4252" w:type="dxa"/>
            <w:tcBorders>
              <w:top w:val="nil"/>
              <w:left w:val="nil"/>
              <w:bottom w:val="nil"/>
              <w:right w:val="nil"/>
            </w:tcBorders>
          </w:tcPr>
          <w:p>
            <w:pPr>
              <w:pStyle w:val="25"/>
              <w:snapToGrid w:val="0"/>
              <w:spacing w:line="360" w:lineRule="auto"/>
              <w:ind w:left="34" w:leftChars="16"/>
              <w:rPr>
                <w:rFonts w:hAnsi="宋体" w:cs="宋体"/>
              </w:rPr>
            </w:pPr>
            <w:r>
              <w:rPr>
                <w:rFonts w:hint="eastAsia" w:hAnsi="宋体" w:cs="宋体"/>
              </w:rPr>
              <w:t>法定代表人或其授权代表：</w:t>
            </w:r>
          </w:p>
          <w:p>
            <w:pPr>
              <w:pStyle w:val="25"/>
              <w:snapToGrid w:val="0"/>
              <w:spacing w:line="360" w:lineRule="auto"/>
              <w:ind w:left="34" w:leftChars="16"/>
              <w:rPr>
                <w:rFonts w:hAnsi="宋体" w:cs="宋体"/>
              </w:rPr>
            </w:pPr>
          </w:p>
          <w:p>
            <w:pPr>
              <w:pStyle w:val="25"/>
              <w:snapToGrid w:val="0"/>
              <w:spacing w:line="360" w:lineRule="auto"/>
              <w:ind w:left="34" w:leftChars="16"/>
              <w:rPr>
                <w:rFonts w:hAnsi="宋体" w:cs="宋体"/>
              </w:rPr>
            </w:pPr>
          </w:p>
        </w:tc>
      </w:tr>
      <w:tr>
        <w:tblPrEx>
          <w:tblLayout w:type="fixed"/>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tcPr>
          <w:p>
            <w:pPr>
              <w:pStyle w:val="25"/>
              <w:snapToGrid w:val="0"/>
              <w:spacing w:line="360" w:lineRule="auto"/>
              <w:rPr>
                <w:rFonts w:hAnsi="宋体" w:cs="宋体"/>
              </w:rPr>
            </w:pPr>
            <w:r>
              <w:rPr>
                <w:rFonts w:hint="eastAsia" w:hAnsi="宋体" w:cs="宋体"/>
              </w:rPr>
              <w:t xml:space="preserve">地址： </w:t>
            </w:r>
          </w:p>
        </w:tc>
        <w:tc>
          <w:tcPr>
            <w:tcW w:w="4252" w:type="dxa"/>
            <w:tcBorders>
              <w:top w:val="nil"/>
              <w:left w:val="nil"/>
              <w:bottom w:val="nil"/>
              <w:right w:val="nil"/>
            </w:tcBorders>
          </w:tcPr>
          <w:p>
            <w:pPr>
              <w:pStyle w:val="25"/>
              <w:snapToGrid w:val="0"/>
              <w:spacing w:line="360" w:lineRule="auto"/>
              <w:rPr>
                <w:rFonts w:hAnsi="宋体" w:cs="宋体"/>
              </w:rPr>
            </w:pPr>
            <w:r>
              <w:rPr>
                <w:rFonts w:hint="eastAsia" w:hAnsi="宋体" w:cs="宋体"/>
              </w:rPr>
              <w:t>地址：</w:t>
            </w:r>
          </w:p>
        </w:tc>
      </w:tr>
      <w:tr>
        <w:tblPrEx>
          <w:tblLayout w:type="fixed"/>
          <w:tblCellMar>
            <w:top w:w="0" w:type="dxa"/>
            <w:left w:w="108" w:type="dxa"/>
            <w:bottom w:w="0" w:type="dxa"/>
            <w:right w:w="108" w:type="dxa"/>
          </w:tblCellMar>
        </w:tblPrEx>
        <w:trPr>
          <w:trHeight w:val="816" w:hRule="atLeast"/>
          <w:jc w:val="center"/>
        </w:trPr>
        <w:tc>
          <w:tcPr>
            <w:tcW w:w="4467" w:type="dxa"/>
            <w:tcBorders>
              <w:top w:val="nil"/>
              <w:left w:val="nil"/>
              <w:bottom w:val="nil"/>
              <w:right w:val="nil"/>
            </w:tcBorders>
          </w:tcPr>
          <w:p>
            <w:pPr>
              <w:pStyle w:val="25"/>
              <w:snapToGrid w:val="0"/>
              <w:spacing w:line="360" w:lineRule="auto"/>
              <w:rPr>
                <w:rFonts w:hAnsi="宋体" w:cs="宋体"/>
              </w:rPr>
            </w:pPr>
            <w:r>
              <w:rPr>
                <w:rFonts w:hint="eastAsia" w:hAnsi="宋体" w:cs="宋体"/>
              </w:rPr>
              <w:t xml:space="preserve">邮编： </w:t>
            </w:r>
          </w:p>
        </w:tc>
        <w:tc>
          <w:tcPr>
            <w:tcW w:w="4252" w:type="dxa"/>
            <w:tcBorders>
              <w:top w:val="nil"/>
              <w:left w:val="nil"/>
              <w:bottom w:val="nil"/>
              <w:right w:val="nil"/>
            </w:tcBorders>
          </w:tcPr>
          <w:p>
            <w:pPr>
              <w:pStyle w:val="25"/>
              <w:snapToGrid w:val="0"/>
              <w:spacing w:line="360" w:lineRule="auto"/>
              <w:ind w:left="34" w:leftChars="16"/>
              <w:rPr>
                <w:rFonts w:hAnsi="宋体" w:cs="宋体"/>
              </w:rPr>
            </w:pPr>
            <w:r>
              <w:rPr>
                <w:rFonts w:hint="eastAsia" w:hAnsi="宋体" w:cs="宋体"/>
              </w:rPr>
              <w:t>邮编：</w:t>
            </w:r>
          </w:p>
        </w:tc>
      </w:tr>
      <w:tr>
        <w:tblPrEx>
          <w:tblLayout w:type="fixed"/>
          <w:tblCellMar>
            <w:top w:w="0" w:type="dxa"/>
            <w:left w:w="108" w:type="dxa"/>
            <w:bottom w:w="0" w:type="dxa"/>
            <w:right w:w="108" w:type="dxa"/>
          </w:tblCellMar>
        </w:tblPrEx>
        <w:trPr>
          <w:trHeight w:val="753" w:hRule="atLeast"/>
          <w:jc w:val="center"/>
        </w:trPr>
        <w:tc>
          <w:tcPr>
            <w:tcW w:w="4467" w:type="dxa"/>
            <w:tcBorders>
              <w:top w:val="nil"/>
              <w:left w:val="nil"/>
              <w:bottom w:val="nil"/>
              <w:right w:val="nil"/>
            </w:tcBorders>
          </w:tcPr>
          <w:p>
            <w:pPr>
              <w:pStyle w:val="25"/>
              <w:snapToGrid w:val="0"/>
              <w:spacing w:line="360" w:lineRule="auto"/>
              <w:ind w:left="19" w:leftChars="9"/>
              <w:rPr>
                <w:rFonts w:hAnsi="宋体" w:cs="宋体"/>
              </w:rPr>
            </w:pPr>
            <w:r>
              <w:rPr>
                <w:rFonts w:hint="eastAsia" w:hAnsi="宋体" w:cs="宋体"/>
              </w:rPr>
              <w:t xml:space="preserve">电话： </w:t>
            </w:r>
          </w:p>
        </w:tc>
        <w:tc>
          <w:tcPr>
            <w:tcW w:w="4252" w:type="dxa"/>
            <w:tcBorders>
              <w:top w:val="nil"/>
              <w:left w:val="nil"/>
              <w:bottom w:val="nil"/>
              <w:right w:val="nil"/>
            </w:tcBorders>
          </w:tcPr>
          <w:p>
            <w:pPr>
              <w:pStyle w:val="25"/>
              <w:snapToGrid w:val="0"/>
              <w:spacing w:line="360" w:lineRule="auto"/>
              <w:ind w:left="34" w:leftChars="16"/>
              <w:rPr>
                <w:rFonts w:hAnsi="宋体" w:cs="宋体"/>
              </w:rPr>
            </w:pPr>
            <w:r>
              <w:rPr>
                <w:rFonts w:hint="eastAsia" w:hAnsi="宋体" w:cs="宋体"/>
              </w:rPr>
              <w:t>电话：</w:t>
            </w:r>
          </w:p>
        </w:tc>
      </w:tr>
      <w:tr>
        <w:tblPrEx>
          <w:tblLayout w:type="fixed"/>
          <w:tblCellMar>
            <w:top w:w="0" w:type="dxa"/>
            <w:left w:w="108" w:type="dxa"/>
            <w:bottom w:w="0" w:type="dxa"/>
            <w:right w:w="108" w:type="dxa"/>
          </w:tblCellMar>
        </w:tblPrEx>
        <w:trPr>
          <w:trHeight w:val="783" w:hRule="atLeast"/>
          <w:jc w:val="center"/>
        </w:trPr>
        <w:tc>
          <w:tcPr>
            <w:tcW w:w="4467" w:type="dxa"/>
            <w:tcBorders>
              <w:top w:val="nil"/>
              <w:left w:val="nil"/>
              <w:bottom w:val="nil"/>
              <w:right w:val="nil"/>
            </w:tcBorders>
          </w:tcPr>
          <w:p>
            <w:pPr>
              <w:pStyle w:val="25"/>
              <w:snapToGrid w:val="0"/>
              <w:spacing w:line="360" w:lineRule="auto"/>
              <w:ind w:left="19" w:leftChars="9"/>
              <w:rPr>
                <w:rFonts w:hAnsi="宋体" w:cs="宋体"/>
              </w:rPr>
            </w:pPr>
            <w:r>
              <w:rPr>
                <w:rFonts w:hint="eastAsia" w:hAnsi="宋体" w:cs="宋体"/>
              </w:rPr>
              <w:t xml:space="preserve">传真： </w:t>
            </w:r>
          </w:p>
        </w:tc>
        <w:tc>
          <w:tcPr>
            <w:tcW w:w="4252" w:type="dxa"/>
            <w:tcBorders>
              <w:top w:val="nil"/>
              <w:left w:val="nil"/>
              <w:bottom w:val="nil"/>
              <w:right w:val="nil"/>
            </w:tcBorders>
          </w:tcPr>
          <w:p>
            <w:pPr>
              <w:pStyle w:val="25"/>
              <w:snapToGrid w:val="0"/>
              <w:spacing w:line="360" w:lineRule="auto"/>
              <w:rPr>
                <w:rFonts w:hAnsi="宋体" w:cs="宋体"/>
              </w:rPr>
            </w:pPr>
            <w:r>
              <w:rPr>
                <w:rFonts w:hint="eastAsia" w:hAnsi="宋体" w:cs="宋体"/>
              </w:rPr>
              <w:t>传真：</w:t>
            </w:r>
          </w:p>
        </w:tc>
      </w:tr>
      <w:tr>
        <w:tblPrEx>
          <w:tblLayout w:type="fixed"/>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tcPr>
          <w:p>
            <w:pPr>
              <w:pStyle w:val="25"/>
              <w:snapToGrid w:val="0"/>
              <w:spacing w:line="360" w:lineRule="auto"/>
              <w:rPr>
                <w:rFonts w:hAnsi="宋体" w:cs="宋体"/>
              </w:rPr>
            </w:pPr>
            <w:r>
              <w:rPr>
                <w:rFonts w:hint="eastAsia" w:hAnsi="宋体" w:cs="宋体"/>
              </w:rPr>
              <w:t>开户银行：</w:t>
            </w:r>
          </w:p>
        </w:tc>
        <w:tc>
          <w:tcPr>
            <w:tcW w:w="4252" w:type="dxa"/>
            <w:tcBorders>
              <w:top w:val="nil"/>
              <w:left w:val="nil"/>
              <w:bottom w:val="nil"/>
              <w:right w:val="nil"/>
            </w:tcBorders>
          </w:tcPr>
          <w:p>
            <w:pPr>
              <w:pStyle w:val="25"/>
              <w:snapToGrid w:val="0"/>
              <w:spacing w:line="360" w:lineRule="auto"/>
              <w:rPr>
                <w:rFonts w:hAnsi="宋体" w:cs="宋体"/>
              </w:rPr>
            </w:pPr>
            <w:r>
              <w:rPr>
                <w:rFonts w:hint="eastAsia" w:hAnsi="宋体" w:cs="宋体"/>
              </w:rPr>
              <w:t>开户银行：</w:t>
            </w:r>
          </w:p>
        </w:tc>
      </w:tr>
      <w:tr>
        <w:tblPrEx>
          <w:tblLayout w:type="fixed"/>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tcPr>
          <w:p>
            <w:pPr>
              <w:pStyle w:val="25"/>
              <w:snapToGrid w:val="0"/>
              <w:spacing w:line="360" w:lineRule="auto"/>
              <w:rPr>
                <w:rFonts w:hAnsi="宋体" w:cs="宋体"/>
              </w:rPr>
            </w:pPr>
            <w:r>
              <w:rPr>
                <w:rFonts w:hint="eastAsia" w:hAnsi="宋体" w:cs="宋体"/>
              </w:rPr>
              <w:t>账号：</w:t>
            </w:r>
          </w:p>
          <w:p>
            <w:pPr>
              <w:pStyle w:val="25"/>
              <w:snapToGrid w:val="0"/>
              <w:spacing w:line="360" w:lineRule="auto"/>
              <w:ind w:left="19" w:leftChars="9"/>
              <w:rPr>
                <w:rFonts w:hAnsi="宋体" w:cs="宋体"/>
              </w:rPr>
            </w:pPr>
          </w:p>
          <w:p>
            <w:pPr>
              <w:pStyle w:val="25"/>
              <w:snapToGrid w:val="0"/>
              <w:spacing w:line="360" w:lineRule="auto"/>
              <w:ind w:left="19" w:leftChars="9"/>
              <w:rPr>
                <w:rFonts w:hAnsi="宋体" w:cs="宋体"/>
              </w:rPr>
            </w:pPr>
            <w:r>
              <w:rPr>
                <w:rFonts w:hint="eastAsia" w:hAnsi="宋体" w:cs="宋体"/>
              </w:rPr>
              <w:t>时间：</w:t>
            </w:r>
          </w:p>
        </w:tc>
        <w:tc>
          <w:tcPr>
            <w:tcW w:w="4252" w:type="dxa"/>
            <w:tcBorders>
              <w:top w:val="nil"/>
              <w:left w:val="nil"/>
              <w:bottom w:val="nil"/>
              <w:right w:val="nil"/>
            </w:tcBorders>
          </w:tcPr>
          <w:p>
            <w:pPr>
              <w:pStyle w:val="25"/>
              <w:snapToGrid w:val="0"/>
              <w:spacing w:line="360" w:lineRule="auto"/>
              <w:ind w:left="34" w:leftChars="16"/>
              <w:rPr>
                <w:rFonts w:hAnsi="宋体" w:cs="宋体"/>
              </w:rPr>
            </w:pPr>
            <w:r>
              <w:rPr>
                <w:rFonts w:hint="eastAsia" w:hAnsi="宋体" w:cs="宋体"/>
              </w:rPr>
              <w:t>账号：</w:t>
            </w:r>
          </w:p>
          <w:p>
            <w:pPr>
              <w:pStyle w:val="25"/>
              <w:snapToGrid w:val="0"/>
              <w:spacing w:line="360" w:lineRule="auto"/>
              <w:ind w:left="34" w:leftChars="16"/>
              <w:rPr>
                <w:rFonts w:hAnsi="宋体" w:cs="宋体"/>
              </w:rPr>
            </w:pPr>
          </w:p>
          <w:p>
            <w:pPr>
              <w:pStyle w:val="25"/>
              <w:snapToGrid w:val="0"/>
              <w:spacing w:line="360" w:lineRule="auto"/>
              <w:ind w:left="34" w:leftChars="16"/>
              <w:rPr>
                <w:rFonts w:hAnsi="宋体" w:cs="宋体"/>
              </w:rPr>
            </w:pPr>
            <w:r>
              <w:rPr>
                <w:rFonts w:hint="eastAsia" w:hAnsi="宋体" w:cs="宋体"/>
              </w:rPr>
              <w:t>时间：</w:t>
            </w:r>
          </w:p>
        </w:tc>
      </w:tr>
    </w:tbl>
    <w:p>
      <w:pPr>
        <w:widowControl/>
        <w:jc w:val="left"/>
        <w:rPr>
          <w:rFonts w:ascii="宋体" w:hAnsi="宋体" w:cs="宋体"/>
          <w:b/>
          <w:sz w:val="24"/>
        </w:rPr>
      </w:pPr>
    </w:p>
    <w:p>
      <w:pPr>
        <w:widowControl/>
        <w:jc w:val="left"/>
        <w:rPr>
          <w:rFonts w:ascii="宋体" w:hAnsi="宋体" w:cs="宋体"/>
          <w:b/>
          <w:sz w:val="24"/>
        </w:rPr>
      </w:pPr>
      <w:r>
        <w:rPr>
          <w:rFonts w:hint="eastAsia" w:ascii="宋体" w:hAnsi="宋体" w:cs="宋体"/>
          <w:b/>
          <w:sz w:val="24"/>
        </w:rPr>
        <w:br w:type="page"/>
      </w:r>
    </w:p>
    <w:p>
      <w:pPr>
        <w:tabs>
          <w:tab w:val="left" w:pos="2580"/>
          <w:tab w:val="center" w:pos="5121"/>
        </w:tabs>
        <w:snapToGrid w:val="0"/>
        <w:jc w:val="center"/>
        <w:outlineLvl w:val="0"/>
        <w:rPr>
          <w:rFonts w:ascii="宋体" w:hAnsi="宋体" w:cs="宋体"/>
          <w:b/>
          <w:bCs/>
          <w:kern w:val="0"/>
          <w:sz w:val="32"/>
          <w:szCs w:val="32"/>
        </w:rPr>
      </w:pPr>
      <w:r>
        <w:rPr>
          <w:rFonts w:hint="eastAsia" w:ascii="宋体" w:hAnsi="宋体" w:cs="宋体"/>
          <w:b/>
          <w:bCs/>
          <w:kern w:val="0"/>
          <w:sz w:val="32"/>
          <w:szCs w:val="32"/>
        </w:rPr>
        <w:t>第二部分合同附件</w:t>
      </w:r>
    </w:p>
    <w:p>
      <w:pPr>
        <w:tabs>
          <w:tab w:val="left" w:pos="2580"/>
          <w:tab w:val="center" w:pos="5121"/>
        </w:tabs>
        <w:snapToGrid w:val="0"/>
        <w:spacing w:line="360" w:lineRule="auto"/>
        <w:ind w:firstLine="420" w:firstLineChars="200"/>
        <w:outlineLvl w:val="0"/>
        <w:rPr>
          <w:rFonts w:ascii="宋体" w:hAnsi="宋体" w:cs="宋体"/>
          <w:kern w:val="0"/>
          <w:szCs w:val="21"/>
        </w:rPr>
      </w:pPr>
      <w:r>
        <w:rPr>
          <w:rFonts w:hint="eastAsia" w:ascii="宋体" w:hAnsi="宋体" w:cs="宋体"/>
          <w:kern w:val="0"/>
          <w:szCs w:val="21"/>
        </w:rPr>
        <w:t>（包括但不限于用户需求书/技术规格书、签约合同价格清单、中选通知书（如有）、</w:t>
      </w:r>
      <w:r>
        <w:rPr>
          <w:rFonts w:hint="eastAsia" w:ascii="宋体" w:hAnsi="宋体" w:cs="宋体"/>
          <w:szCs w:val="21"/>
        </w:rPr>
        <w:t>自主竞争性谈判文件/直接委托谈判文件及其附件（如有）、谈判响应文件及其附件（如有）</w:t>
      </w:r>
      <w:r>
        <w:rPr>
          <w:rFonts w:hint="eastAsia" w:ascii="宋体" w:hAnsi="宋体" w:cs="宋体"/>
          <w:kern w:val="0"/>
          <w:szCs w:val="21"/>
        </w:rPr>
        <w:t>）</w:t>
      </w:r>
    </w:p>
    <w:p>
      <w:pPr>
        <w:widowControl/>
        <w:snapToGrid w:val="0"/>
        <w:spacing w:line="360" w:lineRule="auto"/>
        <w:ind w:firstLine="420" w:firstLineChars="200"/>
        <w:rPr>
          <w:rFonts w:ascii="宋体" w:hAnsi="宋体" w:cs="宋体"/>
          <w:szCs w:val="21"/>
        </w:rPr>
      </w:pPr>
    </w:p>
    <w:p>
      <w:pPr>
        <w:pStyle w:val="41"/>
        <w:snapToGrid w:val="0"/>
        <w:spacing w:before="0" w:beforeAutospacing="0" w:after="0" w:afterAutospacing="0" w:line="360" w:lineRule="auto"/>
        <w:ind w:firstLine="422" w:firstLineChars="200"/>
        <w:jc w:val="both"/>
        <w:rPr>
          <w:b/>
          <w:sz w:val="21"/>
          <w:szCs w:val="21"/>
        </w:rPr>
      </w:pPr>
      <w:r>
        <w:rPr>
          <w:rFonts w:hint="eastAsia"/>
          <w:b/>
          <w:sz w:val="21"/>
          <w:szCs w:val="21"/>
        </w:rPr>
        <w:t>附件1 中选通知书（如有）</w:t>
      </w:r>
    </w:p>
    <w:p>
      <w:pPr>
        <w:pStyle w:val="41"/>
        <w:snapToGrid w:val="0"/>
        <w:spacing w:before="0" w:beforeAutospacing="0" w:after="0" w:afterAutospacing="0" w:line="360" w:lineRule="auto"/>
        <w:ind w:firstLine="422" w:firstLineChars="200"/>
        <w:jc w:val="both"/>
        <w:rPr>
          <w:b/>
          <w:sz w:val="21"/>
          <w:szCs w:val="21"/>
        </w:rPr>
      </w:pPr>
      <w:r>
        <w:rPr>
          <w:rFonts w:hint="eastAsia"/>
          <w:b/>
          <w:sz w:val="21"/>
          <w:szCs w:val="21"/>
        </w:rPr>
        <w:t>附件2 用户需求书/技术规格书</w:t>
      </w:r>
    </w:p>
    <w:p>
      <w:pPr>
        <w:pStyle w:val="41"/>
        <w:snapToGrid w:val="0"/>
        <w:spacing w:before="0" w:beforeAutospacing="0" w:after="0" w:afterAutospacing="0" w:line="360" w:lineRule="auto"/>
        <w:ind w:firstLine="422" w:firstLineChars="200"/>
        <w:jc w:val="both"/>
        <w:rPr>
          <w:b/>
          <w:sz w:val="21"/>
          <w:szCs w:val="21"/>
        </w:rPr>
      </w:pPr>
      <w:r>
        <w:rPr>
          <w:rFonts w:hint="eastAsia"/>
          <w:b/>
          <w:sz w:val="21"/>
          <w:szCs w:val="21"/>
        </w:rPr>
        <w:t>附件3 签约合同价格清单</w:t>
      </w:r>
    </w:p>
    <w:p>
      <w:pPr>
        <w:pStyle w:val="41"/>
        <w:snapToGrid w:val="0"/>
        <w:spacing w:before="0" w:beforeAutospacing="0" w:after="0" w:afterAutospacing="0" w:line="360" w:lineRule="auto"/>
        <w:ind w:firstLine="422" w:firstLineChars="200"/>
        <w:jc w:val="both"/>
        <w:rPr>
          <w:b/>
          <w:sz w:val="21"/>
          <w:szCs w:val="21"/>
        </w:rPr>
      </w:pPr>
      <w:bookmarkStart w:id="142" w:name="_Toc471985084"/>
      <w:bookmarkStart w:id="143" w:name="_Toc471994703"/>
      <w:bookmarkStart w:id="144" w:name="_Toc13758"/>
      <w:bookmarkStart w:id="145" w:name="_Toc471984500"/>
      <w:bookmarkStart w:id="146" w:name="_Toc471994670"/>
      <w:bookmarkStart w:id="147" w:name="_Toc471995645"/>
      <w:bookmarkStart w:id="148" w:name="_Toc471994658"/>
      <w:r>
        <w:rPr>
          <w:rFonts w:hint="eastAsia"/>
          <w:b/>
          <w:sz w:val="21"/>
          <w:szCs w:val="21"/>
        </w:rPr>
        <w:t>附件4 自主竞争性谈判文件/直接委托谈判文件及其附件（如有，另册）</w:t>
      </w:r>
    </w:p>
    <w:p>
      <w:pPr>
        <w:pStyle w:val="41"/>
        <w:snapToGrid w:val="0"/>
        <w:spacing w:before="0" w:beforeAutospacing="0" w:after="0" w:afterAutospacing="0" w:line="360" w:lineRule="auto"/>
        <w:ind w:firstLine="422" w:firstLineChars="200"/>
        <w:jc w:val="both"/>
        <w:rPr>
          <w:b/>
          <w:sz w:val="21"/>
          <w:szCs w:val="21"/>
        </w:rPr>
      </w:pPr>
      <w:r>
        <w:rPr>
          <w:rFonts w:hint="eastAsia"/>
          <w:b/>
          <w:sz w:val="21"/>
          <w:szCs w:val="21"/>
        </w:rPr>
        <w:t>附件5 谈判响应文件及其附件（如有，另册）</w:t>
      </w:r>
    </w:p>
    <w:p>
      <w:pPr>
        <w:pStyle w:val="41"/>
        <w:snapToGrid w:val="0"/>
        <w:spacing w:before="0" w:beforeAutospacing="0" w:after="0" w:afterAutospacing="0" w:line="360" w:lineRule="auto"/>
        <w:rPr>
          <w:b/>
          <w:sz w:val="21"/>
          <w:szCs w:val="21"/>
        </w:rPr>
      </w:pPr>
    </w:p>
    <w:p>
      <w:pPr>
        <w:widowControl/>
        <w:jc w:val="center"/>
        <w:rPr>
          <w:rFonts w:ascii="宋体" w:hAnsi="宋体" w:cs="宋体"/>
          <w:b/>
          <w:bCs/>
          <w:sz w:val="32"/>
          <w:szCs w:val="32"/>
        </w:rPr>
      </w:pPr>
      <w:r>
        <w:rPr>
          <w:rFonts w:hint="eastAsia" w:ascii="宋体" w:hAnsi="宋体" w:cs="宋体"/>
          <w:b/>
        </w:rPr>
        <w:br w:type="page"/>
      </w:r>
      <w:r>
        <w:rPr>
          <w:rFonts w:hint="eastAsia" w:ascii="宋体" w:hAnsi="宋体" w:cs="宋体"/>
          <w:b/>
          <w:bCs/>
          <w:sz w:val="32"/>
          <w:szCs w:val="32"/>
        </w:rPr>
        <w:t>第三部分 合同附录</w:t>
      </w:r>
      <w:bookmarkEnd w:id="142"/>
      <w:bookmarkEnd w:id="143"/>
      <w:bookmarkEnd w:id="144"/>
      <w:bookmarkEnd w:id="145"/>
      <w:bookmarkEnd w:id="146"/>
      <w:bookmarkEnd w:id="147"/>
      <w:bookmarkEnd w:id="148"/>
    </w:p>
    <w:p>
      <w:pPr>
        <w:pStyle w:val="14"/>
        <w:snapToGrid w:val="0"/>
        <w:spacing w:line="360" w:lineRule="auto"/>
        <w:ind w:firstLine="422" w:firstLineChars="200"/>
        <w:outlineLvl w:val="1"/>
        <w:rPr>
          <w:rFonts w:ascii="宋体" w:hAnsi="宋体" w:cs="宋体"/>
          <w:b/>
          <w:sz w:val="21"/>
          <w:szCs w:val="21"/>
        </w:rPr>
      </w:pPr>
      <w:bookmarkStart w:id="149" w:name="_Toc6333"/>
      <w:r>
        <w:rPr>
          <w:rFonts w:hint="eastAsia" w:ascii="宋体" w:hAnsi="宋体" w:cs="宋体"/>
          <w:b/>
          <w:sz w:val="21"/>
          <w:szCs w:val="21"/>
        </w:rPr>
        <w:t>附录1  履约保函格式</w:t>
      </w:r>
      <w:bookmarkEnd w:id="149"/>
    </w:p>
    <w:p>
      <w:pPr>
        <w:pStyle w:val="14"/>
        <w:snapToGrid w:val="0"/>
        <w:spacing w:line="360" w:lineRule="auto"/>
        <w:ind w:firstLine="422" w:firstLineChars="200"/>
        <w:jc w:val="center"/>
        <w:rPr>
          <w:rFonts w:ascii="宋体" w:hAnsi="宋体" w:cs="宋体"/>
          <w:b/>
          <w:sz w:val="21"/>
          <w:szCs w:val="21"/>
        </w:rPr>
      </w:pPr>
      <w:r>
        <w:rPr>
          <w:rFonts w:hint="eastAsia" w:ascii="宋体" w:hAnsi="宋体" w:cs="宋体"/>
          <w:b/>
          <w:sz w:val="21"/>
          <w:szCs w:val="21"/>
        </w:rPr>
        <w:t>银行履约保函</w:t>
      </w:r>
    </w:p>
    <w:p>
      <w:pPr>
        <w:snapToGrid w:val="0"/>
        <w:spacing w:line="360" w:lineRule="auto"/>
        <w:ind w:right="480" w:firstLine="420" w:firstLineChars="200"/>
        <w:jc w:val="center"/>
        <w:rPr>
          <w:rFonts w:ascii="宋体" w:hAnsi="宋体" w:cs="宋体"/>
          <w:szCs w:val="21"/>
        </w:rPr>
      </w:pPr>
    </w:p>
    <w:p>
      <w:pPr>
        <w:snapToGrid w:val="0"/>
        <w:spacing w:line="360" w:lineRule="auto"/>
        <w:ind w:right="480" w:firstLine="420" w:firstLineChars="200"/>
        <w:jc w:val="right"/>
        <w:rPr>
          <w:rFonts w:ascii="宋体" w:hAnsi="宋体" w:cs="宋体"/>
          <w:szCs w:val="21"/>
          <w:u w:val="single"/>
        </w:rPr>
      </w:pPr>
      <w:r>
        <w:rPr>
          <w:rFonts w:hint="eastAsia" w:ascii="宋体" w:hAnsi="宋体" w:cs="宋体"/>
          <w:szCs w:val="21"/>
        </w:rPr>
        <w:t>保函编号：</w:t>
      </w:r>
      <w:r>
        <w:rPr>
          <w:rFonts w:hint="eastAsia" w:ascii="宋体" w:hAnsi="宋体" w:cs="宋体"/>
          <w:szCs w:val="21"/>
          <w:u w:val="single"/>
        </w:rPr>
        <w:t xml:space="preserve">             </w:t>
      </w:r>
    </w:p>
    <w:p>
      <w:pPr>
        <w:adjustRightInd w:val="0"/>
        <w:snapToGrid w:val="0"/>
        <w:spacing w:line="360" w:lineRule="auto"/>
        <w:rPr>
          <w:rFonts w:ascii="宋体" w:hAnsi="宋体" w:cs="宋体"/>
          <w:szCs w:val="21"/>
          <w:u w:val="single"/>
        </w:rPr>
      </w:pPr>
      <w:r>
        <w:rPr>
          <w:rFonts w:hint="eastAsia" w:ascii="宋体" w:hAnsi="宋体" w:cs="宋体"/>
          <w:szCs w:val="21"/>
          <w:u w:val="single"/>
        </w:rPr>
        <w:t xml:space="preserve">             </w:t>
      </w:r>
      <w:r>
        <w:rPr>
          <w:rFonts w:hint="eastAsia" w:ascii="宋体" w:hAnsi="宋体" w:cs="宋体"/>
          <w:szCs w:val="21"/>
        </w:rPr>
        <w:t>（甲方名称）：</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鉴于</w:t>
      </w:r>
      <w:r>
        <w:rPr>
          <w:rFonts w:hint="eastAsia" w:ascii="宋体" w:hAnsi="宋体" w:cs="宋体"/>
          <w:szCs w:val="21"/>
          <w:u w:val="single"/>
        </w:rPr>
        <w:t xml:space="preserve">             </w:t>
      </w:r>
      <w:r>
        <w:rPr>
          <w:rFonts w:hint="eastAsia" w:ascii="宋体" w:hAnsi="宋体" w:cs="宋体"/>
          <w:szCs w:val="21"/>
        </w:rPr>
        <w:t>（甲方名称，以下简称“你方”）与</w:t>
      </w:r>
      <w:r>
        <w:rPr>
          <w:rFonts w:hint="eastAsia" w:ascii="宋体" w:hAnsi="宋体" w:cs="宋体"/>
          <w:szCs w:val="21"/>
          <w:u w:val="single"/>
        </w:rPr>
        <w:t xml:space="preserve">             </w:t>
      </w:r>
      <w:r>
        <w:rPr>
          <w:rFonts w:hint="eastAsia" w:ascii="宋体" w:hAnsi="宋体" w:cs="宋体"/>
          <w:szCs w:val="21"/>
        </w:rPr>
        <w:t>（乙方名称，以下简称“乙方”）于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日协商一致共同签订合同编号为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合同》（以下简称“合同”）。 我方愿意无条件地、不可撤销地就乙方履行与你方签订的合同，向你方提供连带责任担保。</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1.担保金额为人民币（大写）</w:t>
      </w:r>
      <w:r>
        <w:rPr>
          <w:rFonts w:hint="eastAsia" w:ascii="宋体" w:hAnsi="宋体" w:cs="宋体"/>
          <w:szCs w:val="21"/>
          <w:u w:val="single"/>
        </w:rPr>
        <w:t xml:space="preserve">           </w:t>
      </w:r>
      <w:r>
        <w:rPr>
          <w:rFonts w:hint="eastAsia" w:ascii="宋体" w:hAnsi="宋体" w:cs="宋体"/>
          <w:szCs w:val="21"/>
        </w:rPr>
        <w:t>元（¥</w:t>
      </w:r>
      <w:r>
        <w:rPr>
          <w:rFonts w:hint="eastAsia" w:ascii="宋体" w:hAnsi="宋体" w:cs="宋体"/>
          <w:szCs w:val="21"/>
          <w:u w:val="single"/>
        </w:rPr>
        <w:t xml:space="preserve">         </w:t>
      </w:r>
      <w:r>
        <w:rPr>
          <w:rFonts w:hint="eastAsia" w:ascii="宋体" w:hAnsi="宋体" w:cs="宋体"/>
          <w:szCs w:val="21"/>
        </w:rPr>
        <w:t>）。</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2.担保有效期为自本保函之日起至项目整体验收合格之日止。</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3.在本担保有效期内，因乙方违反合同约定的义务给你方造成经济损失时，我方在收到你方以书面形式提出的在担保金额内的赔偿要求后，在 7个工作日内无条件支付。</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4.你方和乙方按合同约定变更合同时，我方承担本担保规定的义务不变。</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5.因本保函发生的纠纷，可由双方协商解决，协商不成的，任何一方均可提请甲方所在地仲裁委员会仲裁。</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6.本保函自我方法定代表人或授权代理人签字并加盖公章之日起生效。</w:t>
      </w:r>
    </w:p>
    <w:p>
      <w:pPr>
        <w:adjustRightInd w:val="0"/>
        <w:snapToGrid w:val="0"/>
        <w:spacing w:line="360" w:lineRule="auto"/>
        <w:ind w:left="15" w:leftChars="7" w:firstLine="420" w:firstLineChars="200"/>
        <w:rPr>
          <w:rFonts w:ascii="宋体" w:hAnsi="宋体" w:cs="宋体"/>
          <w:szCs w:val="21"/>
        </w:rPr>
      </w:pP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担保人：</w:t>
      </w:r>
      <w:r>
        <w:rPr>
          <w:rFonts w:hint="eastAsia" w:ascii="宋体" w:hAnsi="宋体" w:cs="宋体"/>
          <w:szCs w:val="21"/>
          <w:u w:val="single"/>
        </w:rPr>
        <w:t xml:space="preserve">           </w:t>
      </w:r>
      <w:r>
        <w:rPr>
          <w:rFonts w:hint="eastAsia" w:ascii="宋体" w:hAnsi="宋体" w:cs="宋体"/>
          <w:szCs w:val="21"/>
        </w:rPr>
        <w:t>（盖单位章）</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法定代表人或授权代理人：</w:t>
      </w:r>
      <w:r>
        <w:rPr>
          <w:rFonts w:hint="eastAsia" w:ascii="宋体" w:hAnsi="宋体" w:cs="宋体"/>
          <w:szCs w:val="21"/>
          <w:u w:val="single"/>
        </w:rPr>
        <w:t xml:space="preserve">           </w:t>
      </w:r>
      <w:r>
        <w:rPr>
          <w:rFonts w:hint="eastAsia" w:ascii="宋体" w:hAnsi="宋体" w:cs="宋体"/>
          <w:szCs w:val="21"/>
        </w:rPr>
        <w:t>（签字）</w:t>
      </w:r>
    </w:p>
    <w:p>
      <w:pPr>
        <w:adjustRightInd w:val="0"/>
        <w:snapToGrid w:val="0"/>
        <w:spacing w:line="360" w:lineRule="auto"/>
        <w:ind w:left="15" w:leftChars="7" w:firstLine="420" w:firstLineChars="200"/>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p>
      <w:pPr>
        <w:adjustRightInd w:val="0"/>
        <w:snapToGrid w:val="0"/>
        <w:spacing w:line="360" w:lineRule="auto"/>
        <w:ind w:left="15" w:leftChars="7" w:firstLine="420" w:firstLineChars="200"/>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p>
    <w:p>
      <w:pPr>
        <w:adjustRightInd w:val="0"/>
        <w:snapToGrid w:val="0"/>
        <w:spacing w:line="360" w:lineRule="auto"/>
        <w:ind w:left="15" w:leftChars="7" w:firstLine="420" w:firstLineChars="200"/>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xml:space="preserve">           </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传真：</w:t>
      </w:r>
      <w:r>
        <w:rPr>
          <w:rFonts w:hint="eastAsia" w:ascii="宋体" w:hAnsi="宋体" w:cs="宋体"/>
          <w:szCs w:val="21"/>
          <w:u w:val="single"/>
        </w:rPr>
        <w:t xml:space="preserve">           </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14"/>
        <w:snapToGrid w:val="0"/>
        <w:spacing w:line="360" w:lineRule="auto"/>
        <w:ind w:firstLine="0"/>
        <w:outlineLvl w:val="1"/>
        <w:rPr>
          <w:rFonts w:ascii="宋体" w:hAnsi="宋体" w:cs="宋体"/>
          <w:b/>
          <w:sz w:val="21"/>
          <w:szCs w:val="21"/>
        </w:rPr>
      </w:pPr>
      <w:r>
        <w:rPr>
          <w:rFonts w:hint="eastAsia" w:ascii="宋体" w:hAnsi="宋体" w:cs="宋体"/>
          <w:b/>
          <w:bCs/>
          <w:sz w:val="21"/>
          <w:szCs w:val="21"/>
          <w:lang w:val="zh-CN"/>
        </w:rPr>
        <w:br w:type="page"/>
      </w:r>
      <w:r>
        <w:rPr>
          <w:rFonts w:hint="eastAsia" w:ascii="宋体" w:hAnsi="宋体" w:cs="宋体"/>
          <w:b/>
          <w:sz w:val="21"/>
          <w:szCs w:val="21"/>
        </w:rPr>
        <w:t>附录2  授权委托书格式</w:t>
      </w:r>
    </w:p>
    <w:p>
      <w:pPr>
        <w:autoSpaceDE w:val="0"/>
        <w:autoSpaceDN w:val="0"/>
        <w:adjustRightInd w:val="0"/>
        <w:snapToGrid w:val="0"/>
        <w:spacing w:line="360" w:lineRule="auto"/>
        <w:jc w:val="left"/>
        <w:rPr>
          <w:rFonts w:ascii="宋体" w:hAnsi="宋体" w:cs="宋体"/>
          <w:kern w:val="0"/>
          <w:szCs w:val="21"/>
          <w:lang w:val="zh-CN"/>
        </w:rPr>
      </w:pPr>
    </w:p>
    <w:p>
      <w:pPr>
        <w:pStyle w:val="14"/>
        <w:snapToGrid w:val="0"/>
        <w:spacing w:line="360" w:lineRule="auto"/>
        <w:ind w:firstLine="422" w:firstLineChars="200"/>
        <w:jc w:val="center"/>
        <w:rPr>
          <w:rFonts w:ascii="宋体" w:hAnsi="宋体" w:cs="宋体"/>
          <w:b/>
          <w:sz w:val="21"/>
          <w:szCs w:val="21"/>
        </w:rPr>
      </w:pPr>
      <w:r>
        <w:rPr>
          <w:rFonts w:hint="eastAsia" w:ascii="宋体" w:hAnsi="宋体" w:cs="宋体"/>
          <w:b/>
          <w:sz w:val="21"/>
          <w:szCs w:val="21"/>
        </w:rPr>
        <w:t>授权委托书</w:t>
      </w:r>
    </w:p>
    <w:p>
      <w:pPr>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本授权书声明：注册于</w:t>
      </w:r>
      <w:r>
        <w:rPr>
          <w:rFonts w:hint="eastAsia" w:ascii="宋体" w:hAnsi="宋体" w:cs="宋体"/>
          <w:szCs w:val="21"/>
          <w:u w:val="single"/>
        </w:rPr>
        <w:t xml:space="preserve">       </w:t>
      </w:r>
      <w:r>
        <w:rPr>
          <w:rFonts w:hint="eastAsia" w:ascii="宋体" w:hAnsi="宋体" w:cs="宋体"/>
          <w:szCs w:val="21"/>
        </w:rPr>
        <w:t>（国家名称）的</w:t>
      </w:r>
      <w:r>
        <w:rPr>
          <w:rFonts w:hint="eastAsia" w:ascii="宋体" w:hAnsi="宋体" w:cs="宋体"/>
          <w:szCs w:val="21"/>
          <w:u w:val="single"/>
        </w:rPr>
        <w:t xml:space="preserve">         </w:t>
      </w:r>
      <w:r>
        <w:rPr>
          <w:rFonts w:hint="eastAsia" w:ascii="宋体" w:hAnsi="宋体" w:cs="宋体"/>
          <w:szCs w:val="21"/>
        </w:rPr>
        <w:t>（乙方全称）在下面签字的</w:t>
      </w:r>
      <w:r>
        <w:rPr>
          <w:rFonts w:hint="eastAsia" w:ascii="宋体" w:hAnsi="宋体" w:cs="宋体"/>
          <w:szCs w:val="21"/>
          <w:u w:val="single"/>
        </w:rPr>
        <w:t xml:space="preserve">     </w:t>
      </w:r>
      <w:r>
        <w:rPr>
          <w:rFonts w:hint="eastAsia" w:ascii="宋体" w:hAnsi="宋体" w:cs="宋体"/>
          <w:szCs w:val="21"/>
        </w:rPr>
        <w:t>（法定代表人姓名、职务）代表本公司授权在下面签字的</w:t>
      </w:r>
      <w:r>
        <w:rPr>
          <w:rFonts w:hint="eastAsia" w:ascii="宋体" w:hAnsi="宋体" w:cs="宋体"/>
          <w:szCs w:val="21"/>
          <w:u w:val="single"/>
        </w:rPr>
        <w:t xml:space="preserve">      </w:t>
      </w:r>
      <w:r>
        <w:rPr>
          <w:rFonts w:hint="eastAsia" w:ascii="宋体" w:hAnsi="宋体" w:cs="宋体"/>
          <w:szCs w:val="21"/>
        </w:rPr>
        <w:t>（被授权人的姓名、职务）为本公司的合法代表，就合同编号为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项目合同的签约，并以本公司名义处理一切与之有关的事务。</w:t>
      </w:r>
    </w:p>
    <w:p>
      <w:pPr>
        <w:tabs>
          <w:tab w:val="left" w:pos="720"/>
        </w:tabs>
        <w:snapToGrid w:val="0"/>
        <w:spacing w:line="360" w:lineRule="auto"/>
        <w:ind w:firstLine="420" w:firstLineChars="200"/>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日签字生效，特此声明。</w:t>
      </w:r>
    </w:p>
    <w:p>
      <w:pPr>
        <w:tabs>
          <w:tab w:val="left" w:pos="720"/>
        </w:tabs>
        <w:snapToGrid w:val="0"/>
        <w:spacing w:before="156" w:beforeLines="50" w:after="156" w:afterLines="50" w:line="360" w:lineRule="auto"/>
        <w:ind w:firstLine="420" w:firstLineChars="200"/>
        <w:rPr>
          <w:rFonts w:ascii="宋体" w:hAnsi="宋体" w:cs="宋体"/>
          <w:szCs w:val="21"/>
        </w:rPr>
      </w:pPr>
    </w:p>
    <w:p>
      <w:pPr>
        <w:tabs>
          <w:tab w:val="left" w:pos="720"/>
        </w:tabs>
        <w:snapToGrid w:val="0"/>
        <w:spacing w:before="156" w:beforeLines="50" w:after="156" w:afterLines="50" w:line="360" w:lineRule="auto"/>
        <w:ind w:firstLine="420" w:firstLineChars="200"/>
        <w:rPr>
          <w:rFonts w:ascii="宋体" w:hAnsi="宋体" w:cs="宋体"/>
          <w:szCs w:val="21"/>
          <w:u w:val="single"/>
        </w:rPr>
      </w:pPr>
      <w:r>
        <w:rPr>
          <w:rFonts w:hint="eastAsia" w:ascii="宋体" w:hAnsi="宋体" w:cs="宋体"/>
          <w:szCs w:val="21"/>
        </w:rPr>
        <w:t>法定代表人签字：</w:t>
      </w:r>
      <w:r>
        <w:rPr>
          <w:rFonts w:hint="eastAsia" w:ascii="宋体" w:hAnsi="宋体" w:cs="宋体"/>
          <w:szCs w:val="21"/>
          <w:u w:val="single"/>
        </w:rPr>
        <w:t xml:space="preserve">                            </w:t>
      </w:r>
    </w:p>
    <w:p>
      <w:pPr>
        <w:tabs>
          <w:tab w:val="left" w:pos="720"/>
        </w:tabs>
        <w:snapToGrid w:val="0"/>
        <w:spacing w:before="156" w:beforeLines="50" w:after="156" w:afterLines="50" w:line="360" w:lineRule="auto"/>
        <w:ind w:firstLine="420" w:firstLineChars="200"/>
        <w:rPr>
          <w:rFonts w:ascii="宋体" w:hAnsi="宋体" w:cs="宋体"/>
          <w:szCs w:val="21"/>
          <w:u w:val="single"/>
        </w:rPr>
      </w:pPr>
      <w:r>
        <w:rPr>
          <w:rFonts w:hint="eastAsia" w:ascii="宋体" w:hAnsi="宋体" w:cs="宋体"/>
          <w:szCs w:val="21"/>
        </w:rPr>
        <w:t>授权代表（被授权人）签字：</w:t>
      </w:r>
      <w:r>
        <w:rPr>
          <w:rFonts w:hint="eastAsia" w:ascii="宋体" w:hAnsi="宋体" w:cs="宋体"/>
          <w:szCs w:val="21"/>
          <w:u w:val="single"/>
        </w:rPr>
        <w:t xml:space="preserve">                            </w:t>
      </w:r>
    </w:p>
    <w:p>
      <w:pPr>
        <w:tabs>
          <w:tab w:val="left" w:pos="720"/>
        </w:tabs>
        <w:snapToGrid w:val="0"/>
        <w:spacing w:before="156" w:beforeLines="50" w:after="156" w:afterLines="50" w:line="360" w:lineRule="auto"/>
        <w:ind w:firstLine="420" w:firstLineChars="200"/>
        <w:rPr>
          <w:rFonts w:ascii="宋体" w:hAnsi="宋体" w:cs="宋体"/>
          <w:szCs w:val="21"/>
          <w:u w:val="single"/>
        </w:rPr>
      </w:pPr>
      <w:r>
        <w:rPr>
          <w:rFonts w:hint="eastAsia" w:ascii="宋体" w:hAnsi="宋体" w:cs="宋体"/>
          <w:szCs w:val="21"/>
        </w:rPr>
        <w:t>乙方全称（公章）：</w:t>
      </w:r>
      <w:r>
        <w:rPr>
          <w:rFonts w:hint="eastAsia" w:ascii="宋体" w:hAnsi="宋体" w:cs="宋体"/>
          <w:szCs w:val="21"/>
          <w:u w:val="single"/>
        </w:rPr>
        <w:t xml:space="preserve">                            </w:t>
      </w:r>
    </w:p>
    <w:p>
      <w:pPr>
        <w:tabs>
          <w:tab w:val="left" w:pos="720"/>
        </w:tabs>
        <w:snapToGrid w:val="0"/>
        <w:spacing w:before="156" w:beforeLines="50" w:after="156" w:afterLines="50" w:line="360" w:lineRule="auto"/>
        <w:ind w:firstLine="420" w:firstLineChars="200"/>
        <w:rPr>
          <w:rFonts w:ascii="宋体" w:hAnsi="宋体" w:cs="宋体"/>
          <w:szCs w:val="21"/>
          <w:u w:val="single"/>
        </w:rPr>
      </w:pPr>
      <w:r>
        <w:rPr>
          <w:rFonts w:hint="eastAsia" w:ascii="宋体" w:hAnsi="宋体" w:cs="宋体"/>
          <w:szCs w:val="21"/>
        </w:rPr>
        <w:t>乙方地址：</w:t>
      </w:r>
      <w:r>
        <w:rPr>
          <w:rFonts w:hint="eastAsia" w:ascii="宋体" w:hAnsi="宋体" w:cs="宋体"/>
          <w:szCs w:val="21"/>
          <w:u w:val="single"/>
        </w:rPr>
        <w:t xml:space="preserve">                            </w:t>
      </w:r>
    </w:p>
    <w:p>
      <w:pPr>
        <w:tabs>
          <w:tab w:val="left" w:pos="720"/>
        </w:tabs>
        <w:snapToGrid w:val="0"/>
        <w:spacing w:before="156" w:beforeLines="50" w:after="156" w:afterLines="50" w:line="360" w:lineRule="auto"/>
        <w:ind w:firstLine="420" w:firstLineChars="200"/>
        <w:rPr>
          <w:rFonts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p>
    <w:p>
      <w:pPr>
        <w:tabs>
          <w:tab w:val="left" w:pos="720"/>
        </w:tabs>
        <w:snapToGrid w:val="0"/>
        <w:spacing w:before="156" w:beforeLines="50" w:after="156" w:afterLines="50" w:line="360" w:lineRule="auto"/>
        <w:ind w:firstLine="420" w:firstLineChars="200"/>
        <w:rPr>
          <w:rFonts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p>
    <w:p>
      <w:pPr>
        <w:spacing w:before="156" w:beforeLines="50" w:line="360" w:lineRule="auto"/>
        <w:ind w:firstLine="422" w:firstLineChars="200"/>
        <w:rPr>
          <w:rFonts w:ascii="宋体" w:hAnsi="宋体" w:cs="宋体"/>
          <w:b/>
          <w:szCs w:val="21"/>
        </w:rPr>
      </w:pPr>
    </w:p>
    <w:p>
      <w:pPr>
        <w:spacing w:before="156" w:beforeLines="50" w:line="360" w:lineRule="auto"/>
        <w:ind w:firstLine="422" w:firstLineChars="200"/>
        <w:rPr>
          <w:rFonts w:ascii="宋体" w:hAnsi="宋体" w:cs="宋体"/>
          <w:szCs w:val="21"/>
        </w:rPr>
      </w:pPr>
      <w:r>
        <w:rPr>
          <w:rFonts w:hint="eastAsia" w:ascii="宋体" w:hAnsi="宋体" w:cs="宋体"/>
          <w:b/>
          <w:szCs w:val="21"/>
        </w:rPr>
        <w:t>附：</w:t>
      </w:r>
      <w:r>
        <w:rPr>
          <w:rFonts w:hint="eastAsia" w:ascii="宋体" w:hAnsi="宋体" w:cs="宋体"/>
          <w:szCs w:val="21"/>
        </w:rPr>
        <w:t>授权双方身份证为彩色影印件</w:t>
      </w:r>
    </w:p>
    <w:p>
      <w:pPr>
        <w:spacing w:line="360" w:lineRule="auto"/>
        <w:rPr>
          <w:rFonts w:ascii="宋体" w:hAnsi="宋体" w:cs="宋体"/>
          <w:szCs w:val="21"/>
        </w:rPr>
      </w:pPr>
    </w:p>
    <w:p>
      <w:pPr>
        <w:pStyle w:val="41"/>
        <w:snapToGrid w:val="0"/>
        <w:spacing w:before="0" w:beforeAutospacing="0" w:after="0" w:afterAutospacing="0" w:line="360" w:lineRule="auto"/>
        <w:rPr>
          <w:b/>
          <w:sz w:val="21"/>
          <w:szCs w:val="21"/>
        </w:rPr>
      </w:pPr>
    </w:p>
    <w:p>
      <w:pPr>
        <w:rPr>
          <w:rFonts w:ascii="宋体" w:hAnsi="宋体" w:cs="宋体"/>
        </w:rPr>
      </w:pPr>
    </w:p>
    <w:p>
      <w:pPr>
        <w:rPr>
          <w:rFonts w:ascii="宋体" w:hAnsi="宋体" w:cs="宋体"/>
        </w:rPr>
      </w:pPr>
    </w:p>
    <w:p>
      <w:pPr>
        <w:snapToGrid w:val="0"/>
        <w:spacing w:line="360" w:lineRule="auto"/>
        <w:jc w:val="center"/>
        <w:rPr>
          <w:rFonts w:ascii="宋体" w:hAnsi="宋体" w:cs="宋体"/>
          <w:b/>
          <w:sz w:val="32"/>
          <w:szCs w:val="32"/>
        </w:rPr>
      </w:pPr>
    </w:p>
    <w:p>
      <w:pPr>
        <w:numPr>
          <w:ilvl w:val="0"/>
          <w:numId w:val="3"/>
        </w:numPr>
        <w:adjustRightInd w:val="0"/>
        <w:snapToGrid w:val="0"/>
        <w:spacing w:line="360" w:lineRule="auto"/>
        <w:jc w:val="center"/>
        <w:rPr>
          <w:rFonts w:ascii="宋体" w:hAnsi="宋体" w:cs="宋体"/>
          <w:b/>
          <w:snapToGrid w:val="0"/>
          <w:szCs w:val="21"/>
        </w:rPr>
      </w:pPr>
      <w:r>
        <w:rPr>
          <w:rFonts w:hint="eastAsia" w:ascii="宋体" w:hAnsi="宋体" w:cs="宋体"/>
          <w:b/>
          <w:snapToGrid w:val="0"/>
          <w:szCs w:val="21"/>
        </w:rPr>
        <w:br w:type="page"/>
      </w:r>
      <w:r>
        <w:rPr>
          <w:rFonts w:hint="eastAsia" w:ascii="宋体" w:hAnsi="宋体" w:cs="宋体"/>
          <w:b/>
          <w:snapToGrid w:val="0"/>
          <w:szCs w:val="21"/>
        </w:rPr>
        <w:t xml:space="preserve">  </w:t>
      </w:r>
      <w:bookmarkStart w:id="150" w:name="_Toc24345"/>
      <w:r>
        <w:rPr>
          <w:rFonts w:hint="eastAsia" w:ascii="宋体" w:hAnsi="宋体" w:cs="宋体"/>
          <w:b/>
          <w:snapToGrid w:val="0"/>
          <w:szCs w:val="21"/>
        </w:rPr>
        <w:t>用户需求书/技术规格书</w:t>
      </w:r>
      <w:bookmarkEnd w:id="150"/>
    </w:p>
    <w:p>
      <w:pPr>
        <w:adjustRightInd w:val="0"/>
        <w:snapToGrid w:val="0"/>
        <w:spacing w:line="360" w:lineRule="auto"/>
        <w:ind w:firstLine="422" w:firstLineChars="200"/>
        <w:jc w:val="center"/>
        <w:rPr>
          <w:rFonts w:ascii="宋体" w:hAnsi="宋体" w:cs="宋体"/>
          <w:b/>
          <w:snapToGrid w:val="0"/>
          <w:szCs w:val="21"/>
        </w:rPr>
      </w:pPr>
      <w:r>
        <w:rPr>
          <w:rFonts w:hint="eastAsia" w:ascii="宋体" w:hAnsi="宋体" w:cs="宋体"/>
          <w:b/>
          <w:snapToGrid w:val="0"/>
          <w:szCs w:val="21"/>
        </w:rPr>
        <w:br w:type="page"/>
      </w:r>
      <w:bookmarkStart w:id="151" w:name="_Toc23592"/>
      <w:r>
        <w:rPr>
          <w:rFonts w:hint="eastAsia" w:ascii="宋体" w:hAnsi="宋体" w:cs="宋体"/>
          <w:b/>
          <w:snapToGrid w:val="0"/>
          <w:szCs w:val="21"/>
        </w:rPr>
        <w:t>第四部分  合同附件</w:t>
      </w:r>
      <w:bookmarkEnd w:id="151"/>
    </w:p>
    <w:p>
      <w:pPr>
        <w:adjustRightInd w:val="0"/>
        <w:snapToGrid w:val="0"/>
        <w:spacing w:line="360" w:lineRule="auto"/>
        <w:rPr>
          <w:rFonts w:ascii="宋体" w:hAnsi="宋体" w:cs="宋体"/>
          <w:b/>
          <w:snapToGrid w:val="0"/>
          <w:szCs w:val="21"/>
        </w:rPr>
      </w:pPr>
      <w:bookmarkStart w:id="152" w:name="_Toc454978183"/>
      <w:bookmarkStart w:id="153" w:name="_Toc22058"/>
      <w:r>
        <w:rPr>
          <w:rFonts w:hint="eastAsia" w:ascii="宋体" w:hAnsi="宋体" w:cs="宋体"/>
          <w:b/>
          <w:snapToGrid w:val="0"/>
          <w:szCs w:val="21"/>
        </w:rPr>
        <w:t>附件一 价格清单</w:t>
      </w:r>
      <w:bookmarkEnd w:id="152"/>
      <w:bookmarkEnd w:id="153"/>
    </w:p>
    <w:tbl>
      <w:tblPr>
        <w:tblStyle w:val="46"/>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370"/>
        <w:gridCol w:w="5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napToGrid w:val="0"/>
                <w:szCs w:val="21"/>
              </w:rPr>
            </w:pPr>
            <w:r>
              <w:rPr>
                <w:rFonts w:hint="eastAsia" w:ascii="宋体" w:hAnsi="宋体" w:cs="宋体"/>
                <w:snapToGrid w:val="0"/>
                <w:szCs w:val="21"/>
              </w:rPr>
              <w:t>序号</w:t>
            </w:r>
          </w:p>
        </w:tc>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napToGrid w:val="0"/>
                <w:szCs w:val="21"/>
              </w:rPr>
            </w:pPr>
            <w:r>
              <w:rPr>
                <w:rFonts w:hint="eastAsia" w:ascii="宋体" w:hAnsi="宋体" w:cs="宋体"/>
                <w:snapToGrid w:val="0"/>
                <w:szCs w:val="21"/>
              </w:rPr>
              <w:t>项目名称</w:t>
            </w:r>
          </w:p>
        </w:tc>
        <w:tc>
          <w:tcPr>
            <w:tcW w:w="59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napToGrid w:val="0"/>
                <w:szCs w:val="21"/>
              </w:rPr>
            </w:pPr>
            <w:r>
              <w:rPr>
                <w:rFonts w:hint="eastAsia" w:ascii="宋体" w:hAnsi="宋体" w:cs="宋体"/>
                <w:snapToGrid w:val="0"/>
                <w:szCs w:val="21"/>
              </w:rPr>
              <w:t>1</w:t>
            </w:r>
          </w:p>
        </w:tc>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napToGrid w:val="0"/>
                <w:szCs w:val="21"/>
              </w:rPr>
            </w:pPr>
            <w:r>
              <w:rPr>
                <w:rFonts w:hint="eastAsia" w:ascii="宋体" w:hAnsi="宋体" w:cs="宋体"/>
                <w:snapToGrid w:val="0"/>
                <w:szCs w:val="21"/>
              </w:rPr>
              <w:t>服务期限</w:t>
            </w:r>
          </w:p>
        </w:tc>
        <w:tc>
          <w:tcPr>
            <w:tcW w:w="59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napToGrid w:val="0"/>
                <w:szCs w:val="21"/>
              </w:rPr>
            </w:pPr>
            <w:r>
              <w:rPr>
                <w:rFonts w:hint="eastAsia" w:ascii="宋体" w:hAnsi="宋体" w:cs="宋体"/>
                <w:snapToGrid w:val="0"/>
                <w:szCs w:val="21"/>
              </w:rPr>
              <w:t>2</w:t>
            </w:r>
          </w:p>
        </w:tc>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napToGrid w:val="0"/>
                <w:szCs w:val="21"/>
              </w:rPr>
            </w:pPr>
            <w:r>
              <w:rPr>
                <w:rFonts w:hint="eastAsia" w:ascii="宋体" w:hAnsi="宋体" w:cs="宋体"/>
                <w:snapToGrid w:val="0"/>
                <w:szCs w:val="21"/>
              </w:rPr>
              <w:t>签约合同价</w:t>
            </w:r>
          </w:p>
        </w:tc>
        <w:tc>
          <w:tcPr>
            <w:tcW w:w="59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napToGrid w:val="0"/>
                <w:szCs w:val="21"/>
              </w:rPr>
            </w:pPr>
            <w:r>
              <w:rPr>
                <w:rFonts w:hint="eastAsia" w:ascii="宋体" w:hAnsi="宋体" w:cs="宋体"/>
                <w:snapToGrid w:val="0"/>
                <w:szCs w:val="21"/>
              </w:rPr>
              <w:t>3</w:t>
            </w:r>
          </w:p>
        </w:tc>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napToGrid w:val="0"/>
                <w:szCs w:val="21"/>
              </w:rPr>
            </w:pPr>
            <w:r>
              <w:rPr>
                <w:rFonts w:hint="eastAsia" w:ascii="宋体" w:hAnsi="宋体" w:cs="宋体"/>
                <w:snapToGrid w:val="0"/>
                <w:szCs w:val="21"/>
              </w:rPr>
              <w:t>备注</w:t>
            </w:r>
          </w:p>
        </w:tc>
        <w:tc>
          <w:tcPr>
            <w:tcW w:w="59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napToGrid w:val="0"/>
                <w:szCs w:val="21"/>
              </w:rPr>
            </w:pPr>
          </w:p>
        </w:tc>
      </w:tr>
    </w:tbl>
    <w:p>
      <w:pPr>
        <w:adjustRightInd w:val="0"/>
        <w:snapToGrid w:val="0"/>
        <w:spacing w:line="360" w:lineRule="auto"/>
        <w:rPr>
          <w:rFonts w:ascii="宋体" w:hAnsi="宋体" w:cs="宋体"/>
          <w:b/>
          <w:snapToGrid w:val="0"/>
          <w:szCs w:val="21"/>
        </w:rPr>
      </w:pPr>
    </w:p>
    <w:p>
      <w:pPr>
        <w:adjustRightInd w:val="0"/>
        <w:snapToGrid w:val="0"/>
        <w:spacing w:line="360" w:lineRule="auto"/>
        <w:rPr>
          <w:rFonts w:ascii="宋体" w:hAnsi="宋体" w:cs="宋体"/>
          <w:b/>
          <w:snapToGrid w:val="0"/>
          <w:szCs w:val="21"/>
        </w:rPr>
      </w:pPr>
      <w:bookmarkStart w:id="154" w:name="_Toc454978184"/>
    </w:p>
    <w:p>
      <w:pPr>
        <w:adjustRightInd w:val="0"/>
        <w:snapToGrid w:val="0"/>
        <w:spacing w:line="360" w:lineRule="auto"/>
        <w:rPr>
          <w:rFonts w:ascii="宋体" w:hAnsi="宋体" w:cs="宋体"/>
          <w:b/>
          <w:snapToGrid w:val="0"/>
          <w:szCs w:val="21"/>
        </w:rPr>
      </w:pPr>
      <w:r>
        <w:rPr>
          <w:rFonts w:hint="eastAsia" w:ascii="宋体" w:hAnsi="宋体" w:cs="宋体"/>
          <w:b/>
          <w:snapToGrid w:val="0"/>
          <w:szCs w:val="21"/>
        </w:rPr>
        <w:t>附件二 中选通知书</w:t>
      </w:r>
      <w:bookmarkEnd w:id="154"/>
    </w:p>
    <w:p>
      <w:pPr>
        <w:adjustRightInd w:val="0"/>
        <w:snapToGrid w:val="0"/>
        <w:spacing w:line="360" w:lineRule="auto"/>
        <w:rPr>
          <w:rFonts w:ascii="宋体" w:hAnsi="宋体" w:cs="宋体"/>
          <w:b/>
          <w:snapToGrid w:val="0"/>
          <w:szCs w:val="21"/>
        </w:rPr>
      </w:pPr>
    </w:p>
    <w:p>
      <w:pPr>
        <w:adjustRightInd w:val="0"/>
        <w:snapToGrid w:val="0"/>
        <w:spacing w:line="360" w:lineRule="auto"/>
        <w:rPr>
          <w:rFonts w:ascii="宋体" w:hAnsi="宋体" w:cs="宋体"/>
          <w:b/>
          <w:snapToGrid w:val="0"/>
          <w:szCs w:val="21"/>
        </w:rPr>
      </w:pPr>
      <w:bookmarkStart w:id="155" w:name="_Toc454978185"/>
    </w:p>
    <w:p>
      <w:pPr>
        <w:adjustRightInd w:val="0"/>
        <w:snapToGrid w:val="0"/>
        <w:spacing w:line="360" w:lineRule="auto"/>
        <w:rPr>
          <w:rFonts w:ascii="宋体" w:hAnsi="宋体" w:cs="宋体"/>
          <w:b/>
          <w:snapToGrid w:val="0"/>
          <w:szCs w:val="21"/>
        </w:rPr>
      </w:pPr>
      <w:r>
        <w:rPr>
          <w:rFonts w:hint="eastAsia" w:ascii="宋体" w:hAnsi="宋体" w:cs="宋体"/>
          <w:b/>
          <w:snapToGrid w:val="0"/>
          <w:szCs w:val="21"/>
        </w:rPr>
        <w:t>附件三 答疑及澄清</w:t>
      </w:r>
    </w:p>
    <w:p>
      <w:pPr>
        <w:adjustRightInd w:val="0"/>
        <w:snapToGrid w:val="0"/>
        <w:spacing w:line="360" w:lineRule="auto"/>
        <w:rPr>
          <w:rFonts w:ascii="宋体" w:hAnsi="宋体" w:cs="宋体"/>
          <w:b/>
          <w:snapToGrid w:val="0"/>
          <w:szCs w:val="21"/>
          <w:u w:val="single"/>
        </w:rPr>
      </w:pPr>
    </w:p>
    <w:bookmarkEnd w:id="155"/>
    <w:p>
      <w:pPr>
        <w:adjustRightInd w:val="0"/>
        <w:snapToGrid w:val="0"/>
        <w:spacing w:line="360" w:lineRule="auto"/>
        <w:rPr>
          <w:rFonts w:ascii="宋体" w:hAnsi="宋体" w:cs="宋体"/>
          <w:b/>
          <w:snapToGrid w:val="0"/>
          <w:szCs w:val="21"/>
        </w:rPr>
      </w:pPr>
      <w:bookmarkStart w:id="156" w:name="_Toc24325"/>
      <w:bookmarkStart w:id="157" w:name="_Toc454978187"/>
    </w:p>
    <w:p>
      <w:pPr>
        <w:adjustRightInd w:val="0"/>
        <w:snapToGrid w:val="0"/>
        <w:spacing w:line="360" w:lineRule="auto"/>
        <w:rPr>
          <w:rFonts w:ascii="宋体" w:hAnsi="宋体" w:cs="宋体"/>
          <w:b/>
          <w:snapToGrid w:val="0"/>
          <w:szCs w:val="21"/>
          <w:u w:val="single"/>
        </w:rPr>
      </w:pPr>
      <w:r>
        <w:rPr>
          <w:rFonts w:hint="eastAsia" w:ascii="宋体" w:hAnsi="宋体" w:cs="宋体"/>
          <w:b/>
          <w:snapToGrid w:val="0"/>
          <w:szCs w:val="21"/>
        </w:rPr>
        <w:t>附件四 项目关键岗位人员表</w:t>
      </w:r>
      <w:bookmarkEnd w:id="156"/>
    </w:p>
    <w:p>
      <w:pPr>
        <w:adjustRightInd w:val="0"/>
        <w:snapToGrid w:val="0"/>
        <w:spacing w:line="360" w:lineRule="auto"/>
        <w:rPr>
          <w:rFonts w:ascii="宋体" w:hAnsi="宋体" w:cs="宋体"/>
          <w:b/>
          <w:snapToGrid w:val="0"/>
          <w:szCs w:val="21"/>
        </w:rPr>
      </w:pPr>
      <w:r>
        <w:rPr>
          <w:rFonts w:hint="eastAsia" w:ascii="宋体" w:hAnsi="宋体" w:cs="宋体"/>
          <w:b/>
          <w:snapToGrid w:val="0"/>
          <w:szCs w:val="21"/>
        </w:rPr>
        <w:br w:type="page"/>
      </w:r>
      <w:bookmarkStart w:id="158" w:name="_Toc16513"/>
      <w:r>
        <w:rPr>
          <w:rFonts w:hint="eastAsia" w:ascii="宋体" w:hAnsi="宋体" w:cs="宋体"/>
          <w:b/>
          <w:snapToGrid w:val="0"/>
          <w:szCs w:val="21"/>
        </w:rPr>
        <w:t>附件五 廉政</w:t>
      </w:r>
      <w:bookmarkEnd w:id="157"/>
      <w:r>
        <w:rPr>
          <w:rFonts w:hint="eastAsia" w:ascii="宋体" w:hAnsi="宋体" w:cs="宋体"/>
          <w:b/>
          <w:snapToGrid w:val="0"/>
          <w:szCs w:val="21"/>
        </w:rPr>
        <w:t>合同</w:t>
      </w:r>
      <w:bookmarkEnd w:id="158"/>
    </w:p>
    <w:p>
      <w:pPr>
        <w:autoSpaceDE w:val="0"/>
        <w:autoSpaceDN w:val="0"/>
        <w:adjustRightInd w:val="0"/>
        <w:snapToGrid w:val="0"/>
        <w:spacing w:line="360" w:lineRule="auto"/>
        <w:jc w:val="center"/>
        <w:textAlignment w:val="bottom"/>
        <w:rPr>
          <w:rFonts w:ascii="宋体" w:hAnsi="宋体" w:cs="宋体"/>
          <w:snapToGrid w:val="0"/>
          <w:szCs w:val="21"/>
        </w:rPr>
      </w:pPr>
      <w:bookmarkStart w:id="159" w:name="_Toc437444975"/>
      <w:r>
        <w:rPr>
          <w:rFonts w:hint="eastAsia" w:ascii="宋体" w:hAnsi="宋体" w:cs="宋体"/>
          <w:b/>
          <w:snapToGrid w:val="0"/>
          <w:szCs w:val="21"/>
        </w:rPr>
        <w:t>廉政</w:t>
      </w:r>
      <w:bookmarkEnd w:id="159"/>
      <w:r>
        <w:rPr>
          <w:rFonts w:hint="eastAsia" w:ascii="宋体" w:hAnsi="宋体" w:cs="宋体"/>
          <w:b/>
          <w:snapToGrid w:val="0"/>
          <w:szCs w:val="21"/>
        </w:rPr>
        <w:t>合同</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根据国家法律、法规以及有关廉政的规定，为做好项目中的党风廉政建设，保证项目高效优质，保证项目资金的安全和有效使用以及投资效益，</w:t>
      </w:r>
      <w:r>
        <w:rPr>
          <w:rFonts w:hint="eastAsia" w:ascii="宋体" w:hAnsi="宋体" w:cs="宋体"/>
          <w:snapToGrid w:val="0"/>
          <w:szCs w:val="21"/>
          <w:u w:val="single"/>
        </w:rPr>
        <w:t>长沙市轨道交通5号线一期工程筹备期车站公共场所卫生检测服务项目（2019-2020年度）</w:t>
      </w:r>
      <w:r>
        <w:rPr>
          <w:rFonts w:hint="eastAsia" w:ascii="宋体" w:hAnsi="宋体" w:cs="宋体"/>
          <w:snapToGrid w:val="0"/>
          <w:szCs w:val="21"/>
        </w:rPr>
        <w:t>的项目法人</w:t>
      </w:r>
      <w:r>
        <w:rPr>
          <w:rFonts w:hint="eastAsia" w:ascii="宋体" w:hAnsi="宋体" w:cs="宋体"/>
          <w:snapToGrid w:val="0"/>
          <w:szCs w:val="21"/>
          <w:u w:val="single"/>
        </w:rPr>
        <w:t xml:space="preserve">                   </w:t>
      </w:r>
      <w:r>
        <w:rPr>
          <w:rFonts w:hint="eastAsia" w:ascii="宋体" w:hAnsi="宋体" w:cs="宋体"/>
          <w:snapToGrid w:val="0"/>
          <w:szCs w:val="21"/>
        </w:rPr>
        <w:t>(以下称“甲方”)与</w:t>
      </w:r>
      <w:r>
        <w:rPr>
          <w:rFonts w:hint="eastAsia" w:ascii="宋体" w:hAnsi="宋体" w:cs="宋体"/>
          <w:snapToGrid w:val="0"/>
          <w:szCs w:val="21"/>
          <w:u w:val="single"/>
        </w:rPr>
        <w:t xml:space="preserve">                  </w:t>
      </w:r>
      <w:r>
        <w:rPr>
          <w:rFonts w:hint="eastAsia" w:ascii="宋体" w:hAnsi="宋体" w:cs="宋体"/>
          <w:snapToGrid w:val="0"/>
          <w:szCs w:val="21"/>
        </w:rPr>
        <w:t>（以下称“乙方”），特订立如下合同。</w:t>
      </w:r>
    </w:p>
    <w:p>
      <w:pPr>
        <w:adjustRightInd w:val="0"/>
        <w:snapToGrid w:val="0"/>
        <w:spacing w:line="360" w:lineRule="auto"/>
        <w:ind w:firstLine="422" w:firstLineChars="200"/>
        <w:rPr>
          <w:rFonts w:ascii="宋体" w:hAnsi="宋体" w:cs="宋体"/>
          <w:b/>
          <w:snapToGrid w:val="0"/>
          <w:szCs w:val="21"/>
        </w:rPr>
      </w:pPr>
      <w:r>
        <w:rPr>
          <w:rFonts w:hint="eastAsia" w:ascii="宋体" w:hAnsi="宋体" w:cs="宋体"/>
          <w:b/>
          <w:snapToGrid w:val="0"/>
          <w:szCs w:val="21"/>
        </w:rPr>
        <w:t>第一条 甲乙双方的权利和义务</w:t>
      </w:r>
    </w:p>
    <w:p>
      <w:pPr>
        <w:tabs>
          <w:tab w:val="left" w:pos="2115"/>
        </w:tabs>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（一）严格遵守党和国家有关法律法规及湖南省、长沙市的相关规定。</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（二）严格执行</w:t>
      </w:r>
      <w:r>
        <w:rPr>
          <w:rFonts w:hint="eastAsia" w:ascii="宋体" w:hAnsi="宋体" w:cs="宋体"/>
          <w:snapToGrid w:val="0"/>
          <w:szCs w:val="21"/>
          <w:u w:val="single"/>
        </w:rPr>
        <w:t>长沙市轨道交通5号线一期工程筹备期车站公共场所卫生检测服务项目（2019-2020年度）</w:t>
      </w:r>
      <w:r>
        <w:rPr>
          <w:rFonts w:hint="eastAsia" w:ascii="宋体" w:hAnsi="宋体" w:cs="宋体"/>
          <w:snapToGrid w:val="0"/>
          <w:szCs w:val="21"/>
        </w:rPr>
        <w:t>的合同文件（以下简称主合同），自觉按合同办事。</w:t>
      </w:r>
    </w:p>
    <w:p>
      <w:pPr>
        <w:tabs>
          <w:tab w:val="left" w:pos="2115"/>
        </w:tabs>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（三）双方的业务活动坚持公开、公正、诚信、透明的原则（除法律认定的商业秘密和合同文件另有规定之外），不得损害国家和集体利益，违反项目建设规章制度。</w:t>
      </w:r>
    </w:p>
    <w:p>
      <w:pPr>
        <w:tabs>
          <w:tab w:val="left" w:pos="2115"/>
        </w:tabs>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（四）建立健全廉政制度，开展廉政教育，设立廉政告示牌，公布举报电话，监督并认真查处违法违纪行为。</w:t>
      </w:r>
    </w:p>
    <w:p>
      <w:pPr>
        <w:tabs>
          <w:tab w:val="left" w:pos="2115"/>
        </w:tabs>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（五）发现对方在业务活动中有违反廉政规定的行为，有及时提醒对方纠正的权利和义务。</w:t>
      </w:r>
    </w:p>
    <w:p>
      <w:pPr>
        <w:tabs>
          <w:tab w:val="left" w:pos="2115"/>
        </w:tabs>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（六）发现对方严重违反本合同义务条款的行为，有向其上级有关部门举报、建议给予处理并要求告知处理结果的权利。</w:t>
      </w:r>
    </w:p>
    <w:p>
      <w:pPr>
        <w:adjustRightInd w:val="0"/>
        <w:snapToGrid w:val="0"/>
        <w:spacing w:line="360" w:lineRule="auto"/>
        <w:ind w:firstLine="422" w:firstLineChars="200"/>
        <w:rPr>
          <w:rFonts w:ascii="宋体" w:hAnsi="宋体" w:cs="宋体"/>
          <w:b/>
          <w:snapToGrid w:val="0"/>
          <w:szCs w:val="21"/>
        </w:rPr>
      </w:pPr>
      <w:r>
        <w:rPr>
          <w:rFonts w:hint="eastAsia" w:ascii="宋体" w:hAnsi="宋体" w:cs="宋体"/>
          <w:b/>
          <w:snapToGrid w:val="0"/>
          <w:szCs w:val="21"/>
        </w:rPr>
        <w:t>第二条 甲方的义务</w:t>
      </w:r>
    </w:p>
    <w:p>
      <w:pPr>
        <w:tabs>
          <w:tab w:val="left" w:pos="0"/>
          <w:tab w:val="left" w:pos="2115"/>
        </w:tabs>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（一）甲方及其工作人员不得索要或接受乙方的礼金、有价证券和贵重物品，不得在乙方报销任何应由甲方或个人支付的费用等。</w:t>
      </w:r>
    </w:p>
    <w:p>
      <w:pPr>
        <w:tabs>
          <w:tab w:val="left" w:pos="0"/>
          <w:tab w:val="left" w:pos="2115"/>
        </w:tabs>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（二）甲方工作人员不得参加乙方安排的超标准宴请和娱乐活动；不得接受乙方提供的通讯工具、交通工具和高档办公用品等。</w:t>
      </w:r>
    </w:p>
    <w:p>
      <w:pPr>
        <w:tabs>
          <w:tab w:val="left" w:pos="0"/>
          <w:tab w:val="left" w:pos="2115"/>
        </w:tabs>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（三）甲方及其工作人员不得要求或者接受乙方为其住房装修、婚丧嫁娶活动、配偶子女的工作安排以及出国出境、旅游等提供方便等。</w:t>
      </w:r>
    </w:p>
    <w:p>
      <w:pPr>
        <w:adjustRightInd w:val="0"/>
        <w:snapToGrid w:val="0"/>
        <w:spacing w:line="360" w:lineRule="auto"/>
        <w:ind w:firstLine="422" w:firstLineChars="200"/>
        <w:rPr>
          <w:rFonts w:ascii="宋体" w:hAnsi="宋体" w:cs="宋体"/>
          <w:b/>
          <w:snapToGrid w:val="0"/>
          <w:szCs w:val="21"/>
        </w:rPr>
      </w:pPr>
      <w:r>
        <w:rPr>
          <w:rFonts w:hint="eastAsia" w:ascii="宋体" w:hAnsi="宋体" w:cs="宋体"/>
          <w:b/>
          <w:snapToGrid w:val="0"/>
          <w:szCs w:val="21"/>
        </w:rPr>
        <w:t>第三条 乙方的义务</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（一）乙方不得以任何理由向甲方及其工作人员行贿或馈赠礼金、有价证券、贵重礼品。</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（二）乙方不得以任何名义为甲方及其工作人员报销应由甲方单位或个人支付的任何费用。</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（三）乙方不得以任何理由安排甲方工作人员参加超标准宴请及娱乐活动。</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（四）乙方不得为甲方单位和个人购置或提供通讯工具、交通工具和高档办公用品等。</w:t>
      </w:r>
    </w:p>
    <w:p>
      <w:pPr>
        <w:adjustRightInd w:val="0"/>
        <w:snapToGrid w:val="0"/>
        <w:spacing w:line="360" w:lineRule="auto"/>
        <w:ind w:firstLine="422" w:firstLineChars="200"/>
        <w:rPr>
          <w:rFonts w:ascii="宋体" w:hAnsi="宋体" w:cs="宋体"/>
          <w:b/>
          <w:snapToGrid w:val="0"/>
          <w:szCs w:val="21"/>
        </w:rPr>
      </w:pPr>
      <w:r>
        <w:rPr>
          <w:rFonts w:hint="eastAsia" w:ascii="宋体" w:hAnsi="宋体" w:cs="宋体"/>
          <w:b/>
          <w:snapToGrid w:val="0"/>
          <w:szCs w:val="21"/>
        </w:rPr>
        <w:t>第四条 违约责任</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项目进行投标的处罚。</w:t>
      </w:r>
    </w:p>
    <w:p>
      <w:pPr>
        <w:adjustRightInd w:val="0"/>
        <w:snapToGrid w:val="0"/>
        <w:spacing w:line="360" w:lineRule="auto"/>
        <w:ind w:firstLine="422" w:firstLineChars="200"/>
        <w:rPr>
          <w:rFonts w:ascii="宋体" w:hAnsi="宋体" w:cs="宋体"/>
          <w:snapToGrid w:val="0"/>
          <w:szCs w:val="21"/>
        </w:rPr>
      </w:pPr>
      <w:r>
        <w:rPr>
          <w:rFonts w:hint="eastAsia" w:ascii="宋体" w:hAnsi="宋体" w:cs="宋体"/>
          <w:b/>
          <w:snapToGrid w:val="0"/>
          <w:szCs w:val="21"/>
        </w:rPr>
        <w:t>第五条</w:t>
      </w:r>
      <w:r>
        <w:rPr>
          <w:rFonts w:hint="eastAsia" w:ascii="宋体" w:hAnsi="宋体" w:cs="宋体"/>
          <w:snapToGrid w:val="0"/>
          <w:szCs w:val="21"/>
        </w:rPr>
        <w:t xml:space="preserve"> 双方约定：本协议书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360" w:lineRule="auto"/>
        <w:ind w:firstLine="422" w:firstLineChars="200"/>
        <w:rPr>
          <w:rFonts w:ascii="宋体" w:hAnsi="宋体" w:cs="宋体"/>
          <w:snapToGrid w:val="0"/>
          <w:szCs w:val="21"/>
        </w:rPr>
      </w:pPr>
      <w:r>
        <w:rPr>
          <w:rFonts w:hint="eastAsia" w:ascii="宋体" w:hAnsi="宋体" w:cs="宋体"/>
          <w:b/>
          <w:snapToGrid w:val="0"/>
          <w:szCs w:val="21"/>
        </w:rPr>
        <w:t>第六条</w:t>
      </w:r>
      <w:r>
        <w:rPr>
          <w:rFonts w:hint="eastAsia" w:ascii="宋体" w:hAnsi="宋体" w:cs="宋体"/>
          <w:snapToGrid w:val="0"/>
          <w:szCs w:val="21"/>
        </w:rPr>
        <w:t xml:space="preserve"> 本协议书有效期为甲乙双方签署之日起至合同完全履行完毕之日止。</w:t>
      </w:r>
    </w:p>
    <w:p>
      <w:pPr>
        <w:adjustRightInd w:val="0"/>
        <w:snapToGrid w:val="0"/>
        <w:spacing w:line="360" w:lineRule="auto"/>
        <w:ind w:firstLine="422" w:firstLineChars="200"/>
        <w:rPr>
          <w:rFonts w:ascii="宋体" w:hAnsi="宋体" w:cs="宋体"/>
          <w:snapToGrid w:val="0"/>
          <w:szCs w:val="21"/>
        </w:rPr>
      </w:pPr>
      <w:r>
        <w:rPr>
          <w:rFonts w:hint="eastAsia" w:ascii="宋体" w:hAnsi="宋体" w:cs="宋体"/>
          <w:b/>
          <w:snapToGrid w:val="0"/>
          <w:szCs w:val="21"/>
        </w:rPr>
        <w:t>第七条</w:t>
      </w:r>
      <w:r>
        <w:rPr>
          <w:rFonts w:hint="eastAsia" w:ascii="宋体" w:hAnsi="宋体" w:cs="宋体"/>
          <w:snapToGrid w:val="0"/>
          <w:szCs w:val="21"/>
        </w:rPr>
        <w:t xml:space="preserve"> 本协议书作为主合同的附件，与主合同具有同等的法律效力，经合同双方签署立即生效。</w:t>
      </w:r>
    </w:p>
    <w:p>
      <w:pPr>
        <w:adjustRightInd w:val="0"/>
        <w:snapToGrid w:val="0"/>
        <w:spacing w:line="360" w:lineRule="auto"/>
        <w:ind w:firstLine="422" w:firstLineChars="200"/>
        <w:rPr>
          <w:rFonts w:ascii="宋体" w:hAnsi="宋体" w:cs="宋体"/>
          <w:snapToGrid w:val="0"/>
          <w:szCs w:val="21"/>
        </w:rPr>
      </w:pPr>
      <w:r>
        <w:rPr>
          <w:rFonts w:hint="eastAsia" w:ascii="宋体" w:hAnsi="宋体" w:cs="宋体"/>
          <w:b/>
          <w:bCs/>
          <w:snapToGrid w:val="0"/>
          <w:szCs w:val="21"/>
        </w:rPr>
        <w:t>第八条</w:t>
      </w:r>
      <w:r>
        <w:rPr>
          <w:rFonts w:hint="eastAsia" w:ascii="宋体" w:hAnsi="宋体" w:cs="宋体"/>
          <w:snapToGrid w:val="0"/>
          <w:szCs w:val="21"/>
        </w:rPr>
        <w:t xml:space="preserve"> 发现有违反相关要求的，可通过以下途径举报：</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（1）监督举报电话（限短信方式）：15367896029，15367896120。</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（2）举报邮箱：yygsjbyx2015@163.com。</w:t>
      </w:r>
    </w:p>
    <w:p>
      <w:pPr>
        <w:adjustRightInd w:val="0"/>
        <w:snapToGrid w:val="0"/>
        <w:spacing w:line="360" w:lineRule="auto"/>
        <w:rPr>
          <w:rFonts w:ascii="宋体" w:hAnsi="宋体" w:cs="宋体"/>
          <w:snapToGrid w:val="0"/>
          <w:szCs w:val="21"/>
          <w:u w:val="single"/>
        </w:rPr>
      </w:pPr>
      <w:r>
        <w:rPr>
          <w:rFonts w:hint="eastAsia" w:ascii="宋体" w:hAnsi="宋体" w:cs="宋体"/>
          <w:snapToGrid w:val="0"/>
          <w:szCs w:val="21"/>
        </w:rPr>
        <w:t>甲方单位：</w:t>
      </w:r>
      <w:r>
        <w:rPr>
          <w:rFonts w:hint="eastAsia" w:ascii="宋体" w:hAnsi="宋体" w:cs="宋体"/>
          <w:snapToGrid w:val="0"/>
          <w:szCs w:val="21"/>
          <w:u w:val="single"/>
        </w:rPr>
        <w:t xml:space="preserve"> （盖章）       </w:t>
      </w:r>
      <w:r>
        <w:rPr>
          <w:rFonts w:hint="eastAsia" w:ascii="宋体" w:hAnsi="宋体" w:cs="宋体"/>
          <w:snapToGrid w:val="0"/>
          <w:szCs w:val="21"/>
        </w:rPr>
        <w:t xml:space="preserve">                   乙方单位：</w:t>
      </w:r>
      <w:r>
        <w:rPr>
          <w:rFonts w:hint="eastAsia" w:ascii="宋体" w:hAnsi="宋体" w:cs="宋体"/>
          <w:snapToGrid w:val="0"/>
          <w:szCs w:val="21"/>
          <w:u w:val="single"/>
        </w:rPr>
        <w:t xml:space="preserve"> （盖章）       </w:t>
      </w:r>
    </w:p>
    <w:p>
      <w:pPr>
        <w:adjustRightInd w:val="0"/>
        <w:snapToGrid w:val="0"/>
        <w:spacing w:line="360" w:lineRule="auto"/>
        <w:rPr>
          <w:rFonts w:ascii="宋体" w:hAnsi="宋体" w:cs="宋体"/>
          <w:snapToGrid w:val="0"/>
          <w:szCs w:val="21"/>
        </w:rPr>
      </w:pPr>
      <w:r>
        <w:rPr>
          <w:rFonts w:hint="eastAsia" w:ascii="宋体" w:hAnsi="宋体" w:cs="宋体"/>
          <w:snapToGrid w:val="0"/>
          <w:szCs w:val="21"/>
        </w:rPr>
        <w:t xml:space="preserve">法定代表人或授权代理人：（签字）             法定代表人或授权代理人：（签字）     </w:t>
      </w:r>
      <w:r>
        <w:rPr>
          <w:rFonts w:hint="eastAsia" w:ascii="宋体" w:hAnsi="宋体" w:cs="宋体"/>
          <w:snapToGrid w:val="0"/>
          <w:szCs w:val="21"/>
          <w:u w:val="single"/>
        </w:rPr>
        <w:t xml:space="preserve">  </w:t>
      </w:r>
      <w:r>
        <w:rPr>
          <w:rFonts w:hint="eastAsia" w:ascii="宋体" w:hAnsi="宋体" w:cs="宋体"/>
          <w:snapToGrid w:val="0"/>
          <w:szCs w:val="21"/>
        </w:rPr>
        <w:t xml:space="preserve">        </w:t>
      </w:r>
      <w:r>
        <w:rPr>
          <w:rFonts w:hint="eastAsia" w:ascii="宋体" w:hAnsi="宋体" w:cs="宋体"/>
          <w:snapToGrid w:val="0"/>
          <w:szCs w:val="21"/>
          <w:u w:val="single"/>
        </w:rPr>
        <w:t xml:space="preserve">            </w:t>
      </w:r>
    </w:p>
    <w:p>
      <w:pPr>
        <w:adjustRightInd w:val="0"/>
        <w:snapToGrid w:val="0"/>
        <w:spacing w:line="360" w:lineRule="auto"/>
        <w:rPr>
          <w:rFonts w:ascii="宋体" w:hAnsi="宋体" w:cs="宋体"/>
          <w:snapToGrid w:val="0"/>
          <w:szCs w:val="21"/>
          <w:u w:val="single"/>
        </w:rPr>
      </w:pPr>
      <w:r>
        <w:rPr>
          <w:rFonts w:hint="eastAsia" w:ascii="宋体" w:hAnsi="宋体" w:cs="宋体"/>
          <w:snapToGrid w:val="0"/>
          <w:szCs w:val="21"/>
          <w:u w:val="single"/>
        </w:rPr>
        <w:t xml:space="preserve">                          </w:t>
      </w:r>
      <w:r>
        <w:rPr>
          <w:rFonts w:hint="eastAsia" w:ascii="宋体" w:hAnsi="宋体" w:cs="宋体"/>
          <w:snapToGrid w:val="0"/>
          <w:szCs w:val="21"/>
        </w:rPr>
        <w:t xml:space="preserve">                  </w:t>
      </w:r>
      <w:r>
        <w:rPr>
          <w:rFonts w:hint="eastAsia" w:ascii="宋体" w:hAnsi="宋体" w:cs="宋体"/>
          <w:snapToGrid w:val="0"/>
          <w:szCs w:val="21"/>
          <w:u w:val="single"/>
        </w:rPr>
        <w:t xml:space="preserve">                          </w:t>
      </w:r>
    </w:p>
    <w:p>
      <w:pPr>
        <w:adjustRightInd w:val="0"/>
        <w:snapToGrid w:val="0"/>
        <w:spacing w:line="360" w:lineRule="auto"/>
        <w:rPr>
          <w:rFonts w:ascii="宋体" w:hAnsi="宋体" w:cs="宋体"/>
          <w:snapToGrid w:val="0"/>
          <w:szCs w:val="21"/>
        </w:rPr>
        <w:sectPr>
          <w:pgSz w:w="12240" w:h="15840"/>
          <w:pgMar w:top="1440" w:right="1800" w:bottom="1440" w:left="1800" w:header="720" w:footer="720" w:gutter="0"/>
          <w:cols w:space="0" w:num="1"/>
          <w:docGrid w:type="lines" w:linePitch="312" w:charSpace="0"/>
        </w:sectPr>
      </w:pPr>
      <w:r>
        <w:rPr>
          <w:rFonts w:hint="eastAsia" w:ascii="宋体" w:hAnsi="宋体" w:cs="宋体"/>
          <w:snapToGrid w:val="0"/>
          <w:szCs w:val="21"/>
        </w:rPr>
        <w:t>电话：</w:t>
      </w:r>
      <w:r>
        <w:rPr>
          <w:rFonts w:hint="eastAsia" w:ascii="宋体" w:hAnsi="宋体" w:cs="宋体"/>
          <w:snapToGrid w:val="0"/>
          <w:szCs w:val="21"/>
          <w:u w:val="single"/>
        </w:rPr>
        <w:t xml:space="preserve">                    </w:t>
      </w:r>
      <w:r>
        <w:rPr>
          <w:rFonts w:hint="eastAsia" w:ascii="宋体" w:hAnsi="宋体" w:cs="宋体"/>
          <w:snapToGrid w:val="0"/>
          <w:szCs w:val="21"/>
        </w:rPr>
        <w:t xml:space="preserve">                   电话：</w:t>
      </w:r>
      <w:r>
        <w:rPr>
          <w:rFonts w:hint="eastAsia" w:ascii="宋体" w:hAnsi="宋体" w:cs="宋体"/>
          <w:snapToGrid w:val="0"/>
          <w:szCs w:val="21"/>
          <w:u w:val="single"/>
        </w:rPr>
        <w:t xml:space="preserve">                         </w:t>
      </w:r>
    </w:p>
    <w:p>
      <w:pPr>
        <w:adjustRightInd w:val="0"/>
        <w:snapToGrid w:val="0"/>
        <w:spacing w:line="360" w:lineRule="auto"/>
        <w:jc w:val="center"/>
        <w:rPr>
          <w:rFonts w:ascii="宋体" w:hAnsi="宋体" w:cs="宋体"/>
          <w:b/>
          <w:snapToGrid w:val="0"/>
          <w:szCs w:val="21"/>
        </w:rPr>
      </w:pPr>
      <w:bookmarkStart w:id="160" w:name="_Toc454978188"/>
      <w:bookmarkStart w:id="161" w:name="_Toc17875"/>
      <w:r>
        <w:rPr>
          <w:rFonts w:hint="eastAsia" w:ascii="宋体" w:hAnsi="宋体" w:cs="宋体"/>
          <w:b/>
          <w:snapToGrid w:val="0"/>
          <w:szCs w:val="21"/>
        </w:rPr>
        <w:t>合同附录</w:t>
      </w:r>
      <w:bookmarkEnd w:id="160"/>
      <w:bookmarkEnd w:id="161"/>
    </w:p>
    <w:p>
      <w:pPr>
        <w:adjustRightInd w:val="0"/>
        <w:snapToGrid w:val="0"/>
        <w:spacing w:line="360" w:lineRule="auto"/>
        <w:rPr>
          <w:rFonts w:ascii="宋体" w:hAnsi="宋体" w:cs="宋体"/>
          <w:b/>
          <w:snapToGrid w:val="0"/>
          <w:szCs w:val="21"/>
        </w:rPr>
      </w:pPr>
      <w:bookmarkStart w:id="162" w:name="_Toc7872"/>
      <w:bookmarkStart w:id="163" w:name="_Toc454978189"/>
      <w:r>
        <w:rPr>
          <w:rFonts w:hint="eastAsia" w:ascii="宋体" w:hAnsi="宋体" w:cs="宋体"/>
          <w:b/>
          <w:snapToGrid w:val="0"/>
          <w:szCs w:val="21"/>
        </w:rPr>
        <w:t>附录一 授权委托书（格式）</w:t>
      </w:r>
      <w:bookmarkEnd w:id="162"/>
      <w:bookmarkEnd w:id="163"/>
    </w:p>
    <w:p>
      <w:pPr>
        <w:adjustRightInd w:val="0"/>
        <w:snapToGrid w:val="0"/>
        <w:spacing w:line="360" w:lineRule="auto"/>
        <w:jc w:val="center"/>
        <w:rPr>
          <w:rFonts w:ascii="宋体" w:hAnsi="宋体" w:cs="宋体"/>
          <w:b/>
          <w:snapToGrid w:val="0"/>
          <w:szCs w:val="21"/>
        </w:rPr>
      </w:pPr>
      <w:r>
        <w:rPr>
          <w:rFonts w:hint="eastAsia" w:ascii="宋体" w:hAnsi="宋体" w:cs="宋体"/>
          <w:b/>
          <w:snapToGrid w:val="0"/>
          <w:szCs w:val="21"/>
        </w:rPr>
        <w:t>授权委托书</w:t>
      </w:r>
    </w:p>
    <w:p>
      <w:pPr>
        <w:adjustRightInd w:val="0"/>
        <w:snapToGrid w:val="0"/>
        <w:spacing w:line="360" w:lineRule="auto"/>
        <w:rPr>
          <w:rFonts w:ascii="宋体" w:hAnsi="宋体" w:cs="宋体"/>
          <w:b/>
          <w:snapToGrid w:val="0"/>
          <w:szCs w:val="21"/>
        </w:rPr>
      </w:pPr>
    </w:p>
    <w:p>
      <w:pPr>
        <w:snapToGrid w:val="0"/>
        <w:spacing w:line="360" w:lineRule="auto"/>
        <w:ind w:firstLine="420" w:firstLineChars="200"/>
        <w:rPr>
          <w:rFonts w:ascii="宋体" w:hAnsi="宋体" w:cs="宋体"/>
          <w:szCs w:val="21"/>
        </w:rPr>
      </w:pPr>
      <w:bookmarkStart w:id="164" w:name="_Toc319826226"/>
      <w:bookmarkStart w:id="165" w:name="_Toc437444977"/>
      <w:bookmarkStart w:id="166" w:name="_Toc447089455"/>
      <w:bookmarkStart w:id="167" w:name="_Toc454978190"/>
      <w:r>
        <w:rPr>
          <w:rFonts w:hint="eastAsia" w:ascii="宋体" w:hAnsi="宋体" w:cs="宋体"/>
          <w:szCs w:val="21"/>
        </w:rPr>
        <w:t>本授权书声明：注册于</w:t>
      </w:r>
      <w:r>
        <w:rPr>
          <w:rFonts w:hint="eastAsia" w:ascii="宋体" w:hAnsi="宋体" w:cs="宋体"/>
          <w:szCs w:val="21"/>
          <w:u w:val="single"/>
        </w:rPr>
        <w:t xml:space="preserve">           </w:t>
      </w:r>
      <w:r>
        <w:rPr>
          <w:rFonts w:hint="eastAsia" w:ascii="宋体" w:hAnsi="宋体" w:cs="宋体"/>
          <w:szCs w:val="21"/>
        </w:rPr>
        <w:t>（国家名称）的</w:t>
      </w:r>
      <w:r>
        <w:rPr>
          <w:rFonts w:hint="eastAsia" w:ascii="宋体" w:hAnsi="宋体" w:cs="宋体"/>
          <w:szCs w:val="21"/>
          <w:u w:val="single"/>
        </w:rPr>
        <w:t xml:space="preserve">           </w:t>
      </w:r>
      <w:r>
        <w:rPr>
          <w:rFonts w:hint="eastAsia" w:ascii="宋体" w:hAnsi="宋体" w:cs="宋体"/>
          <w:szCs w:val="21"/>
        </w:rPr>
        <w:t>（乙方全称）在下面签字的</w:t>
      </w:r>
      <w:r>
        <w:rPr>
          <w:rFonts w:hint="eastAsia" w:ascii="宋体" w:hAnsi="宋体" w:cs="宋体"/>
          <w:szCs w:val="21"/>
          <w:u w:val="single"/>
        </w:rPr>
        <w:t xml:space="preserve">          </w:t>
      </w:r>
      <w:r>
        <w:rPr>
          <w:rFonts w:hint="eastAsia" w:ascii="宋体" w:hAnsi="宋体" w:cs="宋体"/>
          <w:szCs w:val="21"/>
        </w:rPr>
        <w:t>（法定代表人姓名、职务）代表本公司授权在下面签字的</w:t>
      </w:r>
      <w:r>
        <w:rPr>
          <w:rFonts w:hint="eastAsia" w:ascii="宋体" w:hAnsi="宋体" w:cs="宋体"/>
          <w:szCs w:val="21"/>
          <w:u w:val="single"/>
        </w:rPr>
        <w:t xml:space="preserve">   </w:t>
      </w:r>
      <w:r>
        <w:rPr>
          <w:rFonts w:hint="eastAsia" w:ascii="宋体" w:hAnsi="宋体" w:cs="宋体"/>
          <w:szCs w:val="21"/>
        </w:rPr>
        <w:t>（被授权人的姓名、职务）为本公司的合法代表，就合同编号为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合同》（以下简称“合同”）的签约、执行和质量保证期服务、售后服务期服务等，并以本公司名义处理一切与之有关的事务。</w:t>
      </w:r>
    </w:p>
    <w:p>
      <w:pPr>
        <w:snapToGrid w:val="0"/>
        <w:spacing w:line="360" w:lineRule="auto"/>
        <w:ind w:firstLine="420" w:firstLineChars="200"/>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日签字生效，特此声明。</w:t>
      </w:r>
    </w:p>
    <w:p>
      <w:pPr>
        <w:snapToGrid w:val="0"/>
        <w:spacing w:line="360" w:lineRule="auto"/>
        <w:ind w:firstLine="420" w:firstLineChars="200"/>
        <w:rPr>
          <w:rFonts w:ascii="宋体" w:hAnsi="宋体" w:cs="宋体"/>
          <w:szCs w:val="21"/>
        </w:rPr>
      </w:pPr>
    </w:p>
    <w:p>
      <w:pPr>
        <w:snapToGrid w:val="0"/>
        <w:spacing w:line="360" w:lineRule="auto"/>
        <w:ind w:firstLine="420" w:firstLineChars="200"/>
        <w:rPr>
          <w:rFonts w:ascii="宋体" w:hAnsi="宋体" w:cs="宋体"/>
          <w:szCs w:val="21"/>
          <w:u w:val="single"/>
        </w:rPr>
      </w:pPr>
      <w:r>
        <w:rPr>
          <w:rFonts w:hint="eastAsia" w:ascii="宋体" w:hAnsi="宋体" w:cs="宋体"/>
          <w:szCs w:val="21"/>
        </w:rPr>
        <w:t>法定代表人签字：</w:t>
      </w:r>
      <w:r>
        <w:rPr>
          <w:rFonts w:hint="eastAsia" w:ascii="宋体" w:hAnsi="宋体" w:cs="宋体"/>
          <w:szCs w:val="21"/>
          <w:u w:val="single"/>
        </w:rPr>
        <w:t xml:space="preserve">                            </w:t>
      </w:r>
    </w:p>
    <w:p>
      <w:pPr>
        <w:snapToGrid w:val="0"/>
        <w:spacing w:line="360" w:lineRule="auto"/>
        <w:ind w:firstLine="420" w:firstLineChars="200"/>
        <w:rPr>
          <w:rFonts w:ascii="宋体" w:hAnsi="宋体" w:cs="宋体"/>
          <w:szCs w:val="21"/>
          <w:u w:val="single"/>
        </w:rPr>
      </w:pPr>
      <w:r>
        <w:rPr>
          <w:rFonts w:hint="eastAsia" w:ascii="宋体" w:hAnsi="宋体" w:cs="宋体"/>
          <w:szCs w:val="21"/>
        </w:rPr>
        <w:t>授权代表（被授权人，即授权代理人）签字：</w:t>
      </w:r>
      <w:r>
        <w:rPr>
          <w:rFonts w:hint="eastAsia" w:ascii="宋体" w:hAnsi="宋体" w:cs="宋体"/>
          <w:szCs w:val="21"/>
          <w:u w:val="single"/>
        </w:rPr>
        <w:t xml:space="preserve">                    </w:t>
      </w:r>
    </w:p>
    <w:p>
      <w:pPr>
        <w:snapToGrid w:val="0"/>
        <w:spacing w:line="360" w:lineRule="auto"/>
        <w:ind w:firstLine="420" w:firstLineChars="200"/>
        <w:rPr>
          <w:rFonts w:ascii="宋体" w:hAnsi="宋体" w:cs="宋体"/>
          <w:szCs w:val="21"/>
          <w:u w:val="single"/>
        </w:rPr>
      </w:pPr>
      <w:r>
        <w:rPr>
          <w:rFonts w:hint="eastAsia" w:ascii="宋体" w:hAnsi="宋体" w:cs="宋体"/>
          <w:szCs w:val="21"/>
        </w:rPr>
        <w:t>乙方全称（公章）：</w:t>
      </w:r>
      <w:r>
        <w:rPr>
          <w:rFonts w:hint="eastAsia" w:ascii="宋体" w:hAnsi="宋体" w:cs="宋体"/>
          <w:szCs w:val="21"/>
          <w:u w:val="single"/>
        </w:rPr>
        <w:t xml:space="preserve">                            </w:t>
      </w:r>
    </w:p>
    <w:p>
      <w:pPr>
        <w:snapToGrid w:val="0"/>
        <w:spacing w:line="360" w:lineRule="auto"/>
        <w:ind w:firstLine="420" w:firstLineChars="200"/>
        <w:rPr>
          <w:rFonts w:ascii="宋体" w:hAnsi="宋体" w:cs="宋体"/>
          <w:szCs w:val="21"/>
          <w:u w:val="single"/>
        </w:rPr>
      </w:pPr>
      <w:r>
        <w:rPr>
          <w:rFonts w:hint="eastAsia" w:ascii="宋体" w:hAnsi="宋体" w:cs="宋体"/>
          <w:szCs w:val="21"/>
        </w:rPr>
        <w:t>乙方地址：</w:t>
      </w:r>
      <w:r>
        <w:rPr>
          <w:rFonts w:hint="eastAsia" w:ascii="宋体" w:hAnsi="宋体" w:cs="宋体"/>
          <w:szCs w:val="21"/>
          <w:u w:val="single"/>
        </w:rPr>
        <w:t xml:space="preserve">                            </w:t>
      </w:r>
    </w:p>
    <w:p>
      <w:pPr>
        <w:snapToGrid w:val="0"/>
        <w:spacing w:line="360" w:lineRule="auto"/>
        <w:ind w:firstLine="420" w:firstLineChars="200"/>
        <w:rPr>
          <w:rFonts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p>
    <w:p>
      <w:pPr>
        <w:snapToGrid w:val="0"/>
        <w:spacing w:line="360" w:lineRule="auto"/>
        <w:ind w:firstLine="420" w:firstLineChars="200"/>
        <w:rPr>
          <w:rFonts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p>
    <w:p>
      <w:pPr>
        <w:snapToGrid w:val="0"/>
        <w:spacing w:line="360" w:lineRule="auto"/>
        <w:ind w:firstLine="420" w:firstLineChars="200"/>
        <w:rPr>
          <w:rFonts w:ascii="宋体" w:hAnsi="宋体" w:cs="宋体"/>
          <w:szCs w:val="21"/>
          <w:u w:val="single"/>
        </w:rPr>
      </w:pPr>
    </w:p>
    <w:p>
      <w:pPr>
        <w:snapToGrid w:val="0"/>
        <w:spacing w:line="360" w:lineRule="auto"/>
        <w:ind w:firstLine="422" w:firstLineChars="200"/>
        <w:rPr>
          <w:rFonts w:ascii="宋体" w:hAnsi="宋体" w:cs="宋体"/>
          <w:b/>
          <w:szCs w:val="21"/>
        </w:rPr>
      </w:pPr>
      <w:r>
        <w:rPr>
          <w:rFonts w:hint="eastAsia" w:ascii="宋体" w:hAnsi="宋体" w:cs="宋体"/>
          <w:b/>
          <w:szCs w:val="21"/>
        </w:rPr>
        <w:t>附：</w:t>
      </w:r>
      <w:r>
        <w:rPr>
          <w:rFonts w:hint="eastAsia" w:ascii="宋体" w:hAnsi="宋体" w:cs="宋体"/>
          <w:szCs w:val="21"/>
        </w:rPr>
        <w:t>授权人的法定代表人证明材料复印件（加盖单位公章）、授权人和被授权人的身份证彩色影印件（加盖单位公章）</w:t>
      </w:r>
    </w:p>
    <w:p>
      <w:pPr>
        <w:adjustRightInd w:val="0"/>
        <w:snapToGrid w:val="0"/>
        <w:spacing w:line="360" w:lineRule="auto"/>
        <w:ind w:firstLine="422" w:firstLineChars="200"/>
        <w:rPr>
          <w:rFonts w:ascii="宋体" w:hAnsi="宋体" w:cs="宋体"/>
          <w:b/>
          <w:bCs/>
          <w:szCs w:val="21"/>
        </w:rPr>
        <w:sectPr>
          <w:footerReference r:id="rId13" w:type="default"/>
          <w:pgSz w:w="11906" w:h="16838"/>
          <w:pgMar w:top="1440" w:right="1800" w:bottom="1440" w:left="1800" w:header="851" w:footer="992" w:gutter="0"/>
          <w:cols w:space="720" w:num="1"/>
          <w:docGrid w:type="lines" w:linePitch="312" w:charSpace="0"/>
        </w:sectPr>
      </w:pPr>
    </w:p>
    <w:p>
      <w:pPr>
        <w:adjustRightInd w:val="0"/>
        <w:snapToGrid w:val="0"/>
        <w:spacing w:line="360" w:lineRule="auto"/>
        <w:rPr>
          <w:rFonts w:ascii="宋体" w:hAnsi="宋体" w:cs="宋体"/>
          <w:b/>
          <w:bCs/>
          <w:snapToGrid w:val="0"/>
          <w:szCs w:val="21"/>
        </w:rPr>
      </w:pPr>
      <w:bookmarkStart w:id="168" w:name="_Toc26298"/>
      <w:r>
        <w:rPr>
          <w:rFonts w:hint="eastAsia" w:ascii="宋体" w:hAnsi="宋体" w:cs="宋体"/>
          <w:b/>
          <w:snapToGrid w:val="0"/>
          <w:szCs w:val="21"/>
        </w:rPr>
        <w:t>附录二 银行履约保函</w:t>
      </w:r>
      <w:bookmarkEnd w:id="164"/>
      <w:bookmarkEnd w:id="165"/>
      <w:r>
        <w:rPr>
          <w:rFonts w:hint="eastAsia" w:ascii="宋体" w:hAnsi="宋体" w:cs="宋体"/>
          <w:b/>
          <w:snapToGrid w:val="0"/>
          <w:szCs w:val="21"/>
        </w:rPr>
        <w:t>（格式）</w:t>
      </w:r>
      <w:bookmarkEnd w:id="166"/>
      <w:bookmarkEnd w:id="167"/>
      <w:bookmarkEnd w:id="168"/>
    </w:p>
    <w:p>
      <w:pPr>
        <w:adjustRightInd w:val="0"/>
        <w:snapToGrid w:val="0"/>
        <w:spacing w:line="360" w:lineRule="auto"/>
        <w:jc w:val="center"/>
        <w:rPr>
          <w:rFonts w:ascii="宋体" w:hAnsi="宋体" w:cs="宋体"/>
          <w:b/>
          <w:snapToGrid w:val="0"/>
          <w:szCs w:val="21"/>
        </w:rPr>
      </w:pPr>
    </w:p>
    <w:p>
      <w:pPr>
        <w:adjustRightInd w:val="0"/>
        <w:snapToGrid w:val="0"/>
        <w:spacing w:line="360" w:lineRule="auto"/>
        <w:jc w:val="center"/>
        <w:rPr>
          <w:rFonts w:ascii="宋体" w:hAnsi="宋体" w:cs="宋体"/>
          <w:snapToGrid w:val="0"/>
          <w:szCs w:val="21"/>
        </w:rPr>
      </w:pPr>
      <w:r>
        <w:rPr>
          <w:rFonts w:hint="eastAsia" w:ascii="宋体" w:hAnsi="宋体" w:cs="宋体"/>
          <w:b/>
          <w:snapToGrid w:val="0"/>
          <w:szCs w:val="21"/>
        </w:rPr>
        <w:t>银行履约保函</w:t>
      </w:r>
    </w:p>
    <w:p>
      <w:pPr>
        <w:adjustRightInd w:val="0"/>
        <w:snapToGrid w:val="0"/>
        <w:spacing w:line="360" w:lineRule="auto"/>
        <w:ind w:right="480"/>
        <w:jc w:val="right"/>
        <w:rPr>
          <w:rFonts w:ascii="宋体" w:hAnsi="宋体" w:cs="宋体"/>
          <w:snapToGrid w:val="0"/>
          <w:szCs w:val="21"/>
          <w:u w:val="single"/>
        </w:rPr>
      </w:pPr>
      <w:r>
        <w:rPr>
          <w:rFonts w:hint="eastAsia" w:ascii="宋体" w:hAnsi="宋体" w:cs="宋体"/>
          <w:snapToGrid w:val="0"/>
          <w:szCs w:val="21"/>
        </w:rPr>
        <w:t>保函编号：</w:t>
      </w:r>
      <w:r>
        <w:rPr>
          <w:rFonts w:hint="eastAsia" w:ascii="宋体" w:hAnsi="宋体" w:cs="宋体"/>
          <w:snapToGrid w:val="0"/>
          <w:szCs w:val="21"/>
          <w:u w:val="single"/>
        </w:rPr>
        <w:t xml:space="preserve">             </w:t>
      </w:r>
    </w:p>
    <w:p>
      <w:pPr>
        <w:adjustRightInd w:val="0"/>
        <w:snapToGrid w:val="0"/>
        <w:spacing w:line="360" w:lineRule="auto"/>
        <w:ind w:right="480"/>
        <w:rPr>
          <w:rFonts w:ascii="宋体" w:hAnsi="宋体" w:cs="宋体"/>
          <w:snapToGrid w:val="0"/>
          <w:szCs w:val="21"/>
        </w:rPr>
      </w:pPr>
    </w:p>
    <w:p>
      <w:pPr>
        <w:adjustRightInd w:val="0"/>
        <w:snapToGrid w:val="0"/>
        <w:spacing w:line="360" w:lineRule="auto"/>
        <w:rPr>
          <w:rFonts w:ascii="宋体" w:hAnsi="宋体" w:cs="宋体"/>
          <w:snapToGrid w:val="0"/>
          <w:szCs w:val="21"/>
        </w:rPr>
      </w:pPr>
      <w:r>
        <w:rPr>
          <w:rFonts w:hint="eastAsia" w:ascii="宋体" w:hAnsi="宋体" w:cs="宋体"/>
          <w:snapToGrid w:val="0"/>
          <w:szCs w:val="21"/>
          <w:u w:val="single"/>
        </w:rPr>
        <w:t xml:space="preserve">                      </w:t>
      </w:r>
      <w:r>
        <w:rPr>
          <w:rFonts w:hint="eastAsia" w:ascii="宋体" w:hAnsi="宋体" w:cs="宋体"/>
          <w:snapToGrid w:val="0"/>
          <w:szCs w:val="21"/>
        </w:rPr>
        <w:t>（甲方名称）：</w:t>
      </w:r>
    </w:p>
    <w:p>
      <w:pPr>
        <w:adjustRightInd w:val="0"/>
        <w:snapToGrid w:val="0"/>
        <w:spacing w:line="360" w:lineRule="auto"/>
        <w:ind w:left="15" w:leftChars="7" w:firstLine="420" w:firstLineChars="200"/>
        <w:rPr>
          <w:rFonts w:ascii="宋体" w:hAnsi="宋体" w:cs="宋体"/>
          <w:snapToGrid w:val="0"/>
          <w:szCs w:val="21"/>
        </w:rPr>
      </w:pPr>
      <w:r>
        <w:rPr>
          <w:rFonts w:hint="eastAsia" w:ascii="宋体" w:hAnsi="宋体" w:cs="宋体"/>
          <w:snapToGrid w:val="0"/>
          <w:szCs w:val="21"/>
        </w:rPr>
        <w:t>鉴于</w:t>
      </w:r>
      <w:r>
        <w:rPr>
          <w:rFonts w:hint="eastAsia" w:ascii="宋体" w:hAnsi="宋体" w:cs="宋体"/>
          <w:snapToGrid w:val="0"/>
          <w:szCs w:val="21"/>
          <w:u w:val="single"/>
        </w:rPr>
        <w:t xml:space="preserve">           </w:t>
      </w:r>
      <w:r>
        <w:rPr>
          <w:rFonts w:hint="eastAsia" w:ascii="宋体" w:hAnsi="宋体" w:cs="宋体"/>
          <w:snapToGrid w:val="0"/>
          <w:szCs w:val="21"/>
        </w:rPr>
        <w:t xml:space="preserve">（甲方名称，以下简称“你方”）与 </w:t>
      </w:r>
      <w:r>
        <w:rPr>
          <w:rFonts w:hint="eastAsia" w:ascii="宋体" w:hAnsi="宋体" w:cs="宋体"/>
          <w:snapToGrid w:val="0"/>
          <w:szCs w:val="21"/>
          <w:u w:val="single"/>
        </w:rPr>
        <w:t xml:space="preserve">         </w:t>
      </w:r>
      <w:r>
        <w:rPr>
          <w:rFonts w:hint="eastAsia" w:ascii="宋体" w:hAnsi="宋体" w:cs="宋体"/>
          <w:snapToGrid w:val="0"/>
          <w:szCs w:val="21"/>
        </w:rPr>
        <w:t>（乙方名称，以下简称“乙方”）于</w:t>
      </w:r>
      <w:r>
        <w:rPr>
          <w:rFonts w:hint="eastAsia" w:ascii="宋体" w:hAnsi="宋体" w:cs="宋体"/>
          <w:snapToGrid w:val="0"/>
          <w:szCs w:val="21"/>
          <w:u w:val="single"/>
        </w:rPr>
        <w:t xml:space="preserve">     </w:t>
      </w:r>
      <w:r>
        <w:rPr>
          <w:rFonts w:hint="eastAsia" w:ascii="宋体" w:hAnsi="宋体" w:cs="宋体"/>
          <w:snapToGrid w:val="0"/>
          <w:szCs w:val="21"/>
        </w:rPr>
        <w:t>年</w:t>
      </w:r>
      <w:r>
        <w:rPr>
          <w:rFonts w:hint="eastAsia" w:ascii="宋体" w:hAnsi="宋体" w:cs="宋体"/>
          <w:snapToGrid w:val="0"/>
          <w:szCs w:val="21"/>
          <w:u w:val="single"/>
        </w:rPr>
        <w:t xml:space="preserve">   </w:t>
      </w:r>
      <w:r>
        <w:rPr>
          <w:rFonts w:hint="eastAsia" w:ascii="宋体" w:hAnsi="宋体" w:cs="宋体"/>
          <w:snapToGrid w:val="0"/>
          <w:szCs w:val="21"/>
        </w:rPr>
        <w:t>月</w:t>
      </w:r>
      <w:r>
        <w:rPr>
          <w:rFonts w:hint="eastAsia" w:ascii="宋体" w:hAnsi="宋体" w:cs="宋体"/>
          <w:snapToGrid w:val="0"/>
          <w:szCs w:val="21"/>
          <w:u w:val="single"/>
        </w:rPr>
        <w:t xml:space="preserve">   </w:t>
      </w:r>
      <w:r>
        <w:rPr>
          <w:rFonts w:hint="eastAsia" w:ascii="宋体" w:hAnsi="宋体" w:cs="宋体"/>
          <w:snapToGrid w:val="0"/>
          <w:szCs w:val="21"/>
        </w:rPr>
        <w:t>日协商一致共同签订合同编号为</w:t>
      </w:r>
      <w:r>
        <w:rPr>
          <w:rFonts w:hint="eastAsia" w:ascii="宋体" w:hAnsi="宋体" w:cs="宋体"/>
          <w:snapToGrid w:val="0"/>
          <w:szCs w:val="21"/>
          <w:u w:val="single"/>
        </w:rPr>
        <w:t xml:space="preserve">          </w:t>
      </w:r>
      <w:r>
        <w:rPr>
          <w:rFonts w:hint="eastAsia" w:ascii="宋体" w:hAnsi="宋体" w:cs="宋体"/>
          <w:snapToGrid w:val="0"/>
          <w:szCs w:val="21"/>
        </w:rPr>
        <w:t>的《</w:t>
      </w:r>
      <w:r>
        <w:rPr>
          <w:rFonts w:hint="eastAsia" w:ascii="宋体" w:hAnsi="宋体" w:cs="宋体"/>
          <w:snapToGrid w:val="0"/>
          <w:szCs w:val="21"/>
          <w:u w:val="single"/>
        </w:rPr>
        <w:t xml:space="preserve">               </w:t>
      </w:r>
      <w:r>
        <w:rPr>
          <w:rFonts w:hint="eastAsia" w:ascii="宋体" w:hAnsi="宋体" w:cs="宋体"/>
          <w:snapToGrid w:val="0"/>
          <w:szCs w:val="21"/>
        </w:rPr>
        <w:t>合同》（以下简称“合同”）。 我方愿意无条件地、不可撤销地就乙方履行与你方签订的合同，向你方提供连带责任担保。</w:t>
      </w:r>
    </w:p>
    <w:p>
      <w:pPr>
        <w:adjustRightInd w:val="0"/>
        <w:snapToGrid w:val="0"/>
        <w:spacing w:line="360" w:lineRule="auto"/>
        <w:ind w:left="15" w:leftChars="7" w:firstLine="420" w:firstLineChars="200"/>
        <w:rPr>
          <w:rFonts w:ascii="宋体" w:hAnsi="宋体" w:cs="宋体"/>
          <w:snapToGrid w:val="0"/>
          <w:szCs w:val="21"/>
        </w:rPr>
      </w:pPr>
      <w:r>
        <w:rPr>
          <w:rFonts w:hint="eastAsia" w:ascii="宋体" w:hAnsi="宋体" w:cs="宋体"/>
          <w:snapToGrid w:val="0"/>
          <w:szCs w:val="21"/>
        </w:rPr>
        <w:t>1.担保金额为合同价格的</w:t>
      </w:r>
      <w:r>
        <w:rPr>
          <w:rFonts w:hint="eastAsia" w:ascii="宋体" w:hAnsi="宋体" w:cs="宋体"/>
          <w:snapToGrid w:val="0"/>
          <w:szCs w:val="21"/>
          <w:u w:val="single"/>
        </w:rPr>
        <w:t>10</w:t>
      </w:r>
      <w:r>
        <w:rPr>
          <w:rFonts w:hint="eastAsia" w:ascii="宋体" w:hAnsi="宋体" w:cs="宋体"/>
          <w:snapToGrid w:val="0"/>
          <w:szCs w:val="21"/>
        </w:rPr>
        <w:t>%，即人民币（大写）</w:t>
      </w:r>
      <w:r>
        <w:rPr>
          <w:rFonts w:hint="eastAsia" w:ascii="宋体" w:hAnsi="宋体" w:cs="宋体"/>
          <w:snapToGrid w:val="0"/>
          <w:szCs w:val="21"/>
          <w:u w:val="single"/>
        </w:rPr>
        <w:t xml:space="preserve">           </w:t>
      </w:r>
      <w:r>
        <w:rPr>
          <w:rFonts w:hint="eastAsia" w:ascii="宋体" w:hAnsi="宋体" w:cs="宋体"/>
          <w:snapToGrid w:val="0"/>
          <w:szCs w:val="21"/>
        </w:rPr>
        <w:t>元（小写：¥</w:t>
      </w:r>
      <w:r>
        <w:rPr>
          <w:rFonts w:hint="eastAsia" w:ascii="宋体" w:hAnsi="宋体" w:cs="宋体"/>
          <w:snapToGrid w:val="0"/>
          <w:szCs w:val="21"/>
          <w:u w:val="single"/>
        </w:rPr>
        <w:t xml:space="preserve">        </w:t>
      </w:r>
      <w:r>
        <w:rPr>
          <w:rFonts w:hint="eastAsia" w:ascii="宋体" w:hAnsi="宋体" w:cs="宋体"/>
          <w:snapToGrid w:val="0"/>
          <w:szCs w:val="21"/>
        </w:rPr>
        <w:t>）。</w:t>
      </w:r>
    </w:p>
    <w:p>
      <w:pPr>
        <w:adjustRightInd w:val="0"/>
        <w:snapToGrid w:val="0"/>
        <w:spacing w:line="360" w:lineRule="auto"/>
        <w:ind w:left="15" w:leftChars="7" w:firstLine="420" w:firstLineChars="200"/>
        <w:rPr>
          <w:rFonts w:ascii="宋体" w:hAnsi="宋体" w:cs="宋体"/>
          <w:snapToGrid w:val="0"/>
          <w:szCs w:val="21"/>
        </w:rPr>
      </w:pPr>
      <w:r>
        <w:rPr>
          <w:rFonts w:hint="eastAsia" w:ascii="宋体" w:hAnsi="宋体" w:cs="宋体"/>
          <w:snapToGrid w:val="0"/>
          <w:szCs w:val="21"/>
        </w:rPr>
        <w:t>2. 担保有效期自你方与乙方签订的合同生效之日起至</w:t>
      </w:r>
      <w:r>
        <w:rPr>
          <w:rFonts w:hint="eastAsia" w:ascii="宋体" w:hAnsi="宋体" w:cs="宋体"/>
          <w:snapToGrid w:val="0"/>
          <w:szCs w:val="21"/>
          <w:u w:val="single"/>
        </w:rPr>
        <w:t xml:space="preserve">      </w:t>
      </w:r>
      <w:r>
        <w:rPr>
          <w:rFonts w:hint="eastAsia" w:ascii="宋体" w:hAnsi="宋体" w:cs="宋体"/>
          <w:snapToGrid w:val="0"/>
          <w:szCs w:val="21"/>
        </w:rPr>
        <w:t>之日止。</w:t>
      </w:r>
    </w:p>
    <w:p>
      <w:pPr>
        <w:adjustRightInd w:val="0"/>
        <w:snapToGrid w:val="0"/>
        <w:spacing w:line="360" w:lineRule="auto"/>
        <w:ind w:left="15" w:leftChars="7" w:firstLine="420" w:firstLineChars="200"/>
        <w:rPr>
          <w:rFonts w:ascii="宋体" w:hAnsi="宋体" w:cs="宋体"/>
          <w:snapToGrid w:val="0"/>
          <w:szCs w:val="21"/>
        </w:rPr>
      </w:pPr>
      <w:r>
        <w:rPr>
          <w:rFonts w:hint="eastAsia" w:ascii="宋体" w:hAnsi="宋体" w:cs="宋体"/>
          <w:snapToGrid w:val="0"/>
          <w:szCs w:val="21"/>
        </w:rPr>
        <w:t>3.在本担保有效期内，因乙方违反合同约定的义务给你方造成经济损失时，我方在收到你方以书面形式提出的在担保金额内的赔偿要求后，在7日内无条件支付。</w:t>
      </w:r>
    </w:p>
    <w:p>
      <w:pPr>
        <w:adjustRightInd w:val="0"/>
        <w:snapToGrid w:val="0"/>
        <w:spacing w:line="360" w:lineRule="auto"/>
        <w:ind w:left="15" w:leftChars="7" w:firstLine="420" w:firstLineChars="200"/>
        <w:rPr>
          <w:rFonts w:ascii="宋体" w:hAnsi="宋体" w:cs="宋体"/>
          <w:snapToGrid w:val="0"/>
          <w:szCs w:val="21"/>
        </w:rPr>
      </w:pPr>
      <w:r>
        <w:rPr>
          <w:rFonts w:hint="eastAsia" w:ascii="宋体" w:hAnsi="宋体" w:cs="宋体"/>
          <w:snapToGrid w:val="0"/>
          <w:szCs w:val="21"/>
        </w:rPr>
        <w:t>4.你方和乙方按合同约定变更合同时，我方承担本担保规定的义务不变。</w:t>
      </w:r>
    </w:p>
    <w:p>
      <w:pPr>
        <w:adjustRightInd w:val="0"/>
        <w:snapToGrid w:val="0"/>
        <w:spacing w:line="360" w:lineRule="auto"/>
        <w:ind w:left="15" w:leftChars="7" w:firstLine="420" w:firstLineChars="200"/>
        <w:rPr>
          <w:rFonts w:ascii="宋体" w:hAnsi="宋体" w:cs="宋体"/>
          <w:snapToGrid w:val="0"/>
          <w:szCs w:val="21"/>
        </w:rPr>
      </w:pPr>
      <w:r>
        <w:rPr>
          <w:rFonts w:hint="eastAsia" w:ascii="宋体" w:hAnsi="宋体" w:cs="宋体"/>
          <w:snapToGrid w:val="0"/>
          <w:szCs w:val="21"/>
        </w:rPr>
        <w:t>5.因本保函发生的纠纷，可由双方协商解决，协商不成的，向甲方住所地有管辖权的人民法院提起诉讼。</w:t>
      </w:r>
    </w:p>
    <w:p>
      <w:pPr>
        <w:adjustRightInd w:val="0"/>
        <w:snapToGrid w:val="0"/>
        <w:spacing w:line="360" w:lineRule="auto"/>
        <w:ind w:left="15" w:leftChars="7" w:firstLine="420" w:firstLineChars="200"/>
        <w:rPr>
          <w:rFonts w:ascii="宋体" w:hAnsi="宋体" w:cs="宋体"/>
          <w:snapToGrid w:val="0"/>
          <w:szCs w:val="21"/>
        </w:rPr>
      </w:pPr>
      <w:r>
        <w:rPr>
          <w:rFonts w:hint="eastAsia" w:ascii="宋体" w:hAnsi="宋体" w:cs="宋体"/>
          <w:snapToGrid w:val="0"/>
          <w:szCs w:val="21"/>
        </w:rPr>
        <w:t>6.本保函自我方法定代表人或授权代理人签字并加盖公章之日起生效。</w:t>
      </w:r>
    </w:p>
    <w:p>
      <w:pPr>
        <w:adjustRightInd w:val="0"/>
        <w:snapToGrid w:val="0"/>
        <w:spacing w:line="360" w:lineRule="auto"/>
        <w:ind w:left="15" w:leftChars="7" w:firstLine="420" w:firstLineChars="200"/>
        <w:rPr>
          <w:rFonts w:ascii="宋体" w:hAnsi="宋体" w:cs="宋体"/>
          <w:snapToGrid w:val="0"/>
          <w:szCs w:val="21"/>
        </w:rPr>
      </w:pPr>
      <w:r>
        <w:rPr>
          <w:rFonts w:hint="eastAsia" w:ascii="宋体" w:hAnsi="宋体" w:cs="宋体"/>
          <w:snapToGrid w:val="0"/>
          <w:szCs w:val="21"/>
        </w:rPr>
        <w:t>7.本保函失效后，请将本保函正本原件退回我行注销。未经我行书面同意，本保函不可转让，我行对除需方之外的任何第三方不承担任何责任。</w:t>
      </w:r>
    </w:p>
    <w:p>
      <w:pPr>
        <w:adjustRightInd w:val="0"/>
        <w:snapToGrid w:val="0"/>
        <w:spacing w:line="360" w:lineRule="auto"/>
        <w:ind w:left="15" w:leftChars="7" w:firstLine="420" w:firstLineChars="200"/>
        <w:rPr>
          <w:rFonts w:ascii="宋体" w:hAnsi="宋体" w:cs="宋体"/>
          <w:snapToGrid w:val="0"/>
          <w:szCs w:val="21"/>
          <w:u w:val="single"/>
        </w:rPr>
      </w:pPr>
      <w:r>
        <w:rPr>
          <w:rFonts w:hint="eastAsia" w:ascii="宋体" w:hAnsi="宋体" w:cs="宋体"/>
          <w:snapToGrid w:val="0"/>
          <w:szCs w:val="21"/>
        </w:rPr>
        <w:t>担保人：</w:t>
      </w:r>
      <w:r>
        <w:rPr>
          <w:rFonts w:hint="eastAsia" w:ascii="宋体" w:hAnsi="宋体" w:cs="宋体"/>
          <w:snapToGrid w:val="0"/>
          <w:szCs w:val="21"/>
          <w:u w:val="single"/>
        </w:rPr>
        <w:t xml:space="preserve">           </w:t>
      </w:r>
      <w:r>
        <w:rPr>
          <w:rFonts w:hint="eastAsia" w:ascii="宋体" w:hAnsi="宋体" w:cs="宋体"/>
          <w:snapToGrid w:val="0"/>
          <w:szCs w:val="21"/>
        </w:rPr>
        <w:t>（盖单位章）</w:t>
      </w:r>
    </w:p>
    <w:p>
      <w:pPr>
        <w:adjustRightInd w:val="0"/>
        <w:snapToGrid w:val="0"/>
        <w:spacing w:line="360" w:lineRule="auto"/>
        <w:ind w:left="15" w:leftChars="7" w:firstLine="420" w:firstLineChars="200"/>
        <w:rPr>
          <w:rFonts w:ascii="宋体" w:hAnsi="宋体" w:cs="宋体"/>
          <w:snapToGrid w:val="0"/>
          <w:szCs w:val="21"/>
        </w:rPr>
      </w:pPr>
      <w:r>
        <w:rPr>
          <w:rFonts w:hint="eastAsia" w:ascii="宋体" w:hAnsi="宋体" w:cs="宋体"/>
          <w:snapToGrid w:val="0"/>
          <w:szCs w:val="21"/>
        </w:rPr>
        <w:t>法定代表人或授权代理人：</w:t>
      </w:r>
      <w:r>
        <w:rPr>
          <w:rFonts w:hint="eastAsia" w:ascii="宋体" w:hAnsi="宋体" w:cs="宋体"/>
          <w:snapToGrid w:val="0"/>
          <w:szCs w:val="21"/>
          <w:u w:val="single"/>
        </w:rPr>
        <w:t xml:space="preserve">           </w:t>
      </w:r>
      <w:r>
        <w:rPr>
          <w:rFonts w:hint="eastAsia" w:ascii="宋体" w:hAnsi="宋体" w:cs="宋体"/>
          <w:snapToGrid w:val="0"/>
          <w:szCs w:val="21"/>
        </w:rPr>
        <w:t>（签字）</w:t>
      </w:r>
    </w:p>
    <w:p>
      <w:pPr>
        <w:adjustRightInd w:val="0"/>
        <w:snapToGrid w:val="0"/>
        <w:spacing w:line="360" w:lineRule="auto"/>
        <w:ind w:left="15" w:leftChars="7" w:firstLine="420" w:firstLineChars="200"/>
        <w:rPr>
          <w:rFonts w:ascii="宋体" w:hAnsi="宋体" w:cs="宋体"/>
          <w:snapToGrid w:val="0"/>
          <w:szCs w:val="21"/>
          <w:u w:val="single"/>
        </w:rPr>
      </w:pPr>
      <w:r>
        <w:rPr>
          <w:rFonts w:hint="eastAsia" w:ascii="宋体" w:hAnsi="宋体" w:cs="宋体"/>
          <w:snapToGrid w:val="0"/>
          <w:szCs w:val="21"/>
        </w:rPr>
        <w:t>地址：</w:t>
      </w:r>
      <w:r>
        <w:rPr>
          <w:rFonts w:hint="eastAsia" w:ascii="宋体" w:hAnsi="宋体" w:cs="宋体"/>
          <w:snapToGrid w:val="0"/>
          <w:szCs w:val="21"/>
          <w:u w:val="single"/>
        </w:rPr>
        <w:t xml:space="preserve">           </w:t>
      </w:r>
    </w:p>
    <w:p>
      <w:pPr>
        <w:adjustRightInd w:val="0"/>
        <w:snapToGrid w:val="0"/>
        <w:spacing w:line="360" w:lineRule="auto"/>
        <w:ind w:left="15" w:leftChars="7" w:firstLine="420" w:firstLineChars="200"/>
        <w:rPr>
          <w:rFonts w:ascii="宋体" w:hAnsi="宋体" w:cs="宋体"/>
          <w:snapToGrid w:val="0"/>
          <w:szCs w:val="21"/>
          <w:u w:val="single"/>
        </w:rPr>
      </w:pPr>
      <w:r>
        <w:rPr>
          <w:rFonts w:hint="eastAsia" w:ascii="宋体" w:hAnsi="宋体" w:cs="宋体"/>
          <w:snapToGrid w:val="0"/>
          <w:szCs w:val="21"/>
        </w:rPr>
        <w:t>邮政编码：</w:t>
      </w:r>
      <w:r>
        <w:rPr>
          <w:rFonts w:hint="eastAsia" w:ascii="宋体" w:hAnsi="宋体" w:cs="宋体"/>
          <w:snapToGrid w:val="0"/>
          <w:szCs w:val="21"/>
          <w:u w:val="single"/>
        </w:rPr>
        <w:t xml:space="preserve">           </w:t>
      </w:r>
    </w:p>
    <w:p>
      <w:pPr>
        <w:adjustRightInd w:val="0"/>
        <w:snapToGrid w:val="0"/>
        <w:spacing w:line="360" w:lineRule="auto"/>
        <w:ind w:left="15" w:leftChars="7" w:firstLine="420" w:firstLineChars="200"/>
        <w:rPr>
          <w:rFonts w:ascii="宋体" w:hAnsi="宋体" w:cs="宋体"/>
          <w:snapToGrid w:val="0"/>
          <w:szCs w:val="21"/>
          <w:u w:val="single"/>
        </w:rPr>
      </w:pPr>
      <w:r>
        <w:rPr>
          <w:rFonts w:hint="eastAsia" w:ascii="宋体" w:hAnsi="宋体" w:cs="宋体"/>
          <w:snapToGrid w:val="0"/>
          <w:szCs w:val="21"/>
        </w:rPr>
        <w:t xml:space="preserve">电话： </w:t>
      </w:r>
      <w:r>
        <w:rPr>
          <w:rFonts w:hint="eastAsia" w:ascii="宋体" w:hAnsi="宋体" w:cs="宋体"/>
          <w:snapToGrid w:val="0"/>
          <w:szCs w:val="21"/>
          <w:u w:val="single"/>
        </w:rPr>
        <w:t xml:space="preserve">          </w:t>
      </w:r>
    </w:p>
    <w:p>
      <w:pPr>
        <w:adjustRightInd w:val="0"/>
        <w:snapToGrid w:val="0"/>
        <w:spacing w:line="360" w:lineRule="auto"/>
        <w:ind w:left="15" w:leftChars="7" w:firstLine="420" w:firstLineChars="200"/>
        <w:rPr>
          <w:rFonts w:ascii="宋体" w:hAnsi="宋体" w:cs="宋体"/>
          <w:b/>
          <w:szCs w:val="21"/>
        </w:rPr>
      </w:pPr>
      <w:r>
        <w:rPr>
          <w:rFonts w:hint="eastAsia" w:ascii="宋体" w:hAnsi="宋体" w:cs="宋体"/>
          <w:snapToGrid w:val="0"/>
          <w:szCs w:val="21"/>
        </w:rPr>
        <w:t>传真：</w:t>
      </w:r>
      <w:r>
        <w:rPr>
          <w:rFonts w:hint="eastAsia" w:ascii="宋体" w:hAnsi="宋体" w:cs="宋体"/>
          <w:snapToGrid w:val="0"/>
          <w:szCs w:val="21"/>
          <w:u w:val="single"/>
        </w:rPr>
        <w:t xml:space="preserve">          </w:t>
      </w:r>
    </w:p>
    <w:p>
      <w:pPr>
        <w:pStyle w:val="3"/>
        <w:keepNext w:val="0"/>
        <w:spacing w:line="360" w:lineRule="auto"/>
        <w:ind w:firstLine="643" w:firstLineChars="200"/>
        <w:jc w:val="both"/>
        <w:rPr>
          <w:rFonts w:ascii="宋体" w:hAnsi="宋体" w:cs="宋体"/>
          <w:bCs w:val="0"/>
          <w:sz w:val="32"/>
          <w:szCs w:val="32"/>
        </w:rPr>
        <w:sectPr>
          <w:pgSz w:w="12240" w:h="15840"/>
          <w:pgMar w:top="1440" w:right="1800" w:bottom="1440" w:left="1800" w:header="720" w:footer="720" w:gutter="0"/>
          <w:cols w:space="720" w:num="1"/>
          <w:titlePg/>
          <w:docGrid w:type="lines" w:linePitch="323" w:charSpace="0"/>
        </w:sectPr>
      </w:pPr>
      <w:bookmarkStart w:id="169" w:name="_Toc7480"/>
    </w:p>
    <w:p>
      <w:pPr>
        <w:pStyle w:val="3"/>
        <w:keepNext w:val="0"/>
        <w:rPr>
          <w:rFonts w:ascii="宋体" w:hAnsi="宋体" w:cs="宋体"/>
          <w:bCs w:val="0"/>
          <w:sz w:val="32"/>
          <w:szCs w:val="32"/>
        </w:rPr>
      </w:pPr>
      <w:r>
        <w:rPr>
          <w:rFonts w:hint="eastAsia" w:ascii="宋体" w:hAnsi="宋体" w:cs="宋体"/>
          <w:bCs w:val="0"/>
          <w:sz w:val="32"/>
          <w:szCs w:val="32"/>
        </w:rPr>
        <w:t>第六章 响应文件组成</w:t>
      </w:r>
      <w:bookmarkEnd w:id="169"/>
    </w:p>
    <w:p>
      <w:pPr>
        <w:jc w:val="center"/>
        <w:rPr>
          <w:rFonts w:ascii="宋体" w:hAnsi="宋体" w:cs="宋体"/>
          <w:b/>
        </w:rPr>
      </w:pPr>
    </w:p>
    <w:p>
      <w:pPr>
        <w:jc w:val="center"/>
        <w:rPr>
          <w:rFonts w:ascii="宋体" w:hAnsi="宋体" w:cs="宋体"/>
          <w:b/>
        </w:rPr>
      </w:pPr>
      <w:r>
        <w:rPr>
          <w:rFonts w:ascii="宋体" w:hAnsi="宋体" w:cs="宋体"/>
        </w:rPr>
        <w:pict>
          <v:shape id="Quad Arrow 2" o:spid="_x0000_s1041" o:spt="202" type="#_x0000_t202" style="position:absolute;left:0pt;margin-left:333pt;margin-top:0pt;height:33pt;width:87.75pt;z-index:1024;mso-width-relative:page;mso-height-relative:page;" o:preferrelative="t" coordsize="21600,21600">
            <v:path/>
            <v:fill focussize="0,0"/>
            <v:stroke weight="1.25pt" miterlimit="2"/>
            <v:imagedata o:title=""/>
            <o:lock v:ext="edit"/>
            <v:textbox>
              <w:txbxContent>
                <w:p>
                  <w:pPr>
                    <w:spacing w:line="440" w:lineRule="exact"/>
                    <w:jc w:val="center"/>
                    <w:rPr>
                      <w:b/>
                      <w:sz w:val="30"/>
                      <w:szCs w:val="30"/>
                    </w:rPr>
                  </w:pPr>
                  <w:r>
                    <w:rPr>
                      <w:rFonts w:hint="eastAsia"/>
                      <w:b/>
                      <w:sz w:val="30"/>
                      <w:szCs w:val="30"/>
                    </w:rPr>
                    <w:t>正本/副本</w:t>
                  </w:r>
                </w:p>
              </w:txbxContent>
            </v:textbox>
          </v:shape>
        </w:pict>
      </w:r>
    </w:p>
    <w:p>
      <w:pPr>
        <w:jc w:val="center"/>
        <w:rPr>
          <w:rFonts w:ascii="宋体" w:hAnsi="宋体" w:cs="宋体"/>
          <w:b/>
          <w:bCs/>
          <w:sz w:val="52"/>
          <w:szCs w:val="52"/>
        </w:rPr>
      </w:pPr>
    </w:p>
    <w:p>
      <w:pPr>
        <w:adjustRightInd w:val="0"/>
        <w:snapToGrid w:val="0"/>
        <w:spacing w:line="400" w:lineRule="atLeast"/>
        <w:jc w:val="center"/>
        <w:rPr>
          <w:rFonts w:ascii="宋体" w:hAnsi="宋体" w:cs="宋体"/>
          <w:b/>
          <w:bCs/>
          <w:sz w:val="52"/>
          <w:szCs w:val="52"/>
        </w:rPr>
      </w:pPr>
      <w:r>
        <w:rPr>
          <w:rFonts w:hint="eastAsia" w:ascii="宋体" w:hAnsi="宋体" w:cs="宋体"/>
          <w:b/>
          <w:bCs/>
          <w:sz w:val="52"/>
          <w:szCs w:val="52"/>
        </w:rPr>
        <w:t>自主竞争性谈判</w:t>
      </w:r>
    </w:p>
    <w:p>
      <w:pPr>
        <w:adjustRightInd w:val="0"/>
        <w:snapToGrid w:val="0"/>
        <w:spacing w:line="400" w:lineRule="atLeast"/>
        <w:jc w:val="center"/>
        <w:rPr>
          <w:rFonts w:ascii="宋体" w:hAnsi="宋体" w:cs="宋体"/>
          <w:b/>
          <w:bCs/>
          <w:sz w:val="52"/>
          <w:szCs w:val="52"/>
        </w:rPr>
      </w:pPr>
      <w:r>
        <w:rPr>
          <w:rFonts w:hint="eastAsia" w:ascii="宋体" w:hAnsi="宋体" w:cs="宋体"/>
          <w:b/>
          <w:bCs/>
          <w:sz w:val="52"/>
          <w:szCs w:val="52"/>
        </w:rPr>
        <w:t>响应文件</w:t>
      </w:r>
    </w:p>
    <w:p>
      <w:pPr>
        <w:pStyle w:val="25"/>
        <w:rPr>
          <w:rFonts w:hAnsi="宋体" w:cs="宋体"/>
          <w:b/>
          <w:sz w:val="32"/>
          <w:szCs w:val="32"/>
        </w:rPr>
      </w:pPr>
    </w:p>
    <w:p>
      <w:pPr>
        <w:pStyle w:val="25"/>
        <w:rPr>
          <w:rFonts w:hAnsi="宋体" w:cs="宋体"/>
          <w:b/>
          <w:sz w:val="32"/>
          <w:szCs w:val="32"/>
        </w:rPr>
      </w:pPr>
    </w:p>
    <w:p>
      <w:pPr>
        <w:pStyle w:val="25"/>
        <w:adjustRightInd w:val="0"/>
        <w:snapToGrid w:val="0"/>
        <w:spacing w:line="360" w:lineRule="auto"/>
        <w:rPr>
          <w:rFonts w:hAnsi="宋体" w:cs="宋体"/>
          <w:b/>
          <w:bCs/>
          <w:sz w:val="32"/>
          <w:szCs w:val="32"/>
          <w:u w:val="single"/>
        </w:rPr>
      </w:pPr>
      <w:r>
        <w:rPr>
          <w:rFonts w:hint="eastAsia" w:hAnsi="宋体" w:cs="宋体"/>
          <w:b/>
          <w:bCs/>
          <w:sz w:val="32"/>
          <w:szCs w:val="32"/>
        </w:rPr>
        <w:t>谈判项目名称：</w:t>
      </w:r>
      <w:r>
        <w:rPr>
          <w:rFonts w:hint="eastAsia" w:hAnsi="宋体" w:cs="宋体"/>
          <w:sz w:val="32"/>
          <w:szCs w:val="32"/>
          <w:u w:val="single"/>
        </w:rPr>
        <w:t xml:space="preserve">                      </w:t>
      </w:r>
    </w:p>
    <w:p>
      <w:pPr>
        <w:pStyle w:val="25"/>
        <w:adjustRightInd w:val="0"/>
        <w:snapToGrid w:val="0"/>
        <w:spacing w:line="360" w:lineRule="auto"/>
        <w:rPr>
          <w:rFonts w:hAnsi="宋体" w:cs="宋体"/>
          <w:b/>
          <w:bCs/>
          <w:sz w:val="32"/>
          <w:szCs w:val="32"/>
          <w:u w:val="single"/>
        </w:rPr>
      </w:pPr>
    </w:p>
    <w:p>
      <w:pPr>
        <w:pStyle w:val="25"/>
        <w:adjustRightInd w:val="0"/>
        <w:snapToGrid w:val="0"/>
        <w:spacing w:line="360" w:lineRule="auto"/>
        <w:rPr>
          <w:rFonts w:hAnsi="宋体" w:cs="宋体"/>
          <w:b/>
          <w:bCs/>
          <w:sz w:val="32"/>
          <w:szCs w:val="32"/>
          <w:u w:val="single"/>
        </w:rPr>
      </w:pPr>
      <w:r>
        <w:rPr>
          <w:rFonts w:hint="eastAsia" w:hAnsi="宋体" w:cs="宋体"/>
          <w:b/>
          <w:bCs/>
          <w:sz w:val="32"/>
          <w:szCs w:val="32"/>
        </w:rPr>
        <w:t>谈判单位名称：</w:t>
      </w:r>
      <w:r>
        <w:rPr>
          <w:rFonts w:hint="eastAsia" w:hAnsi="宋体" w:cs="宋体"/>
          <w:b/>
          <w:bCs/>
          <w:sz w:val="32"/>
          <w:szCs w:val="32"/>
          <w:u w:val="single"/>
        </w:rPr>
        <w:t xml:space="preserve">      （加盖单位公章）</w:t>
      </w:r>
    </w:p>
    <w:p>
      <w:pPr>
        <w:pStyle w:val="25"/>
        <w:adjustRightInd w:val="0"/>
        <w:snapToGrid w:val="0"/>
        <w:spacing w:line="360" w:lineRule="auto"/>
        <w:rPr>
          <w:rFonts w:hAnsi="宋体" w:cs="宋体"/>
          <w:b/>
          <w:bCs/>
          <w:sz w:val="32"/>
          <w:szCs w:val="32"/>
          <w:u w:val="single"/>
        </w:rPr>
      </w:pPr>
    </w:p>
    <w:p>
      <w:pPr>
        <w:pStyle w:val="25"/>
        <w:adjustRightInd w:val="0"/>
        <w:snapToGrid w:val="0"/>
        <w:spacing w:line="360" w:lineRule="auto"/>
        <w:rPr>
          <w:rFonts w:hAnsi="宋体" w:cs="宋体"/>
          <w:b/>
          <w:bCs/>
          <w:sz w:val="32"/>
          <w:szCs w:val="32"/>
          <w:u w:val="single"/>
        </w:rPr>
      </w:pPr>
      <w:r>
        <w:rPr>
          <w:rFonts w:hint="eastAsia" w:hAnsi="宋体" w:cs="宋体"/>
          <w:b/>
          <w:bCs/>
          <w:sz w:val="32"/>
          <w:szCs w:val="32"/>
        </w:rPr>
        <w:t>谈判项目编号：</w:t>
      </w:r>
      <w:r>
        <w:rPr>
          <w:rFonts w:hint="eastAsia" w:hAnsi="宋体" w:cs="宋体"/>
          <w:b/>
          <w:bCs/>
          <w:sz w:val="32"/>
          <w:szCs w:val="32"/>
          <w:u w:val="single"/>
        </w:rPr>
        <w:t xml:space="preserve">                      </w:t>
      </w:r>
    </w:p>
    <w:p>
      <w:pPr>
        <w:pStyle w:val="25"/>
        <w:adjustRightInd w:val="0"/>
        <w:snapToGrid w:val="0"/>
        <w:spacing w:line="360" w:lineRule="auto"/>
        <w:rPr>
          <w:rFonts w:hAnsi="宋体" w:cs="宋体"/>
          <w:b/>
          <w:bCs/>
          <w:sz w:val="32"/>
          <w:szCs w:val="32"/>
          <w:u w:val="single"/>
        </w:rPr>
      </w:pPr>
    </w:p>
    <w:p>
      <w:pPr>
        <w:pStyle w:val="25"/>
        <w:adjustRightInd w:val="0"/>
        <w:snapToGrid w:val="0"/>
        <w:spacing w:line="360" w:lineRule="auto"/>
        <w:rPr>
          <w:rFonts w:hAnsi="宋体" w:cs="宋体"/>
          <w:b/>
          <w:bCs/>
          <w:sz w:val="32"/>
          <w:szCs w:val="32"/>
          <w:u w:val="single"/>
        </w:rPr>
      </w:pPr>
    </w:p>
    <w:p>
      <w:pPr>
        <w:pStyle w:val="25"/>
        <w:adjustRightInd w:val="0"/>
        <w:snapToGrid w:val="0"/>
        <w:spacing w:line="360" w:lineRule="auto"/>
        <w:rPr>
          <w:rFonts w:hAnsi="宋体" w:cs="宋体"/>
          <w:b/>
          <w:bCs/>
          <w:sz w:val="32"/>
          <w:szCs w:val="32"/>
          <w:u w:val="single"/>
        </w:rPr>
      </w:pPr>
    </w:p>
    <w:p>
      <w:pPr>
        <w:pStyle w:val="25"/>
        <w:adjustRightInd w:val="0"/>
        <w:snapToGrid w:val="0"/>
        <w:spacing w:line="360" w:lineRule="auto"/>
        <w:rPr>
          <w:rFonts w:hAnsi="宋体" w:cs="宋体"/>
          <w:b/>
          <w:bCs/>
          <w:sz w:val="32"/>
          <w:szCs w:val="32"/>
          <w:u w:val="single"/>
        </w:rPr>
      </w:pPr>
    </w:p>
    <w:p>
      <w:pPr>
        <w:pStyle w:val="25"/>
        <w:adjustRightInd w:val="0"/>
        <w:snapToGrid w:val="0"/>
        <w:spacing w:line="360" w:lineRule="auto"/>
        <w:rPr>
          <w:rFonts w:hAnsi="宋体" w:cs="宋体"/>
          <w:b/>
          <w:bCs/>
          <w:sz w:val="32"/>
          <w:szCs w:val="32"/>
          <w:u w:val="single"/>
        </w:rPr>
      </w:pPr>
    </w:p>
    <w:p>
      <w:pPr>
        <w:pStyle w:val="25"/>
        <w:adjustRightInd w:val="0"/>
        <w:snapToGrid w:val="0"/>
        <w:spacing w:line="360" w:lineRule="auto"/>
        <w:rPr>
          <w:rFonts w:hAnsi="宋体" w:cs="宋体"/>
          <w:b/>
          <w:bCs/>
          <w:sz w:val="32"/>
          <w:szCs w:val="32"/>
          <w:u w:val="single"/>
        </w:rPr>
      </w:pPr>
    </w:p>
    <w:p>
      <w:pPr>
        <w:pStyle w:val="25"/>
        <w:adjustRightInd w:val="0"/>
        <w:snapToGrid w:val="0"/>
        <w:spacing w:line="360" w:lineRule="auto"/>
        <w:jc w:val="center"/>
        <w:rPr>
          <w:rFonts w:hAnsi="宋体" w:cs="宋体"/>
          <w:b/>
          <w:bCs/>
          <w:sz w:val="32"/>
          <w:szCs w:val="32"/>
        </w:rPr>
      </w:pPr>
      <w:r>
        <w:rPr>
          <w:rFonts w:hint="eastAsia" w:hAnsi="宋体" w:cs="宋体"/>
          <w:b/>
          <w:bCs/>
          <w:sz w:val="32"/>
          <w:szCs w:val="32"/>
        </w:rPr>
        <w:t>日  期：</w:t>
      </w:r>
      <w:r>
        <w:rPr>
          <w:rFonts w:hint="eastAsia" w:hAnsi="宋体" w:cs="宋体"/>
          <w:b/>
          <w:bCs/>
          <w:sz w:val="32"/>
          <w:szCs w:val="32"/>
          <w:u w:val="single"/>
        </w:rPr>
        <w:t xml:space="preserve">   </w:t>
      </w:r>
      <w:r>
        <w:rPr>
          <w:rFonts w:hint="eastAsia" w:hAnsi="宋体" w:cs="宋体"/>
          <w:b/>
          <w:bCs/>
          <w:sz w:val="32"/>
          <w:szCs w:val="32"/>
        </w:rPr>
        <w:t>年</w:t>
      </w:r>
      <w:r>
        <w:rPr>
          <w:rFonts w:hint="eastAsia" w:hAnsi="宋体" w:cs="宋体"/>
          <w:b/>
          <w:bCs/>
          <w:sz w:val="32"/>
          <w:szCs w:val="32"/>
          <w:u w:val="single"/>
        </w:rPr>
        <w:t xml:space="preserve">   </w:t>
      </w:r>
      <w:r>
        <w:rPr>
          <w:rFonts w:hint="eastAsia" w:hAnsi="宋体" w:cs="宋体"/>
          <w:b/>
          <w:bCs/>
          <w:sz w:val="32"/>
          <w:szCs w:val="32"/>
        </w:rPr>
        <w:t>月</w:t>
      </w:r>
      <w:r>
        <w:rPr>
          <w:rFonts w:hint="eastAsia" w:hAnsi="宋体" w:cs="宋体"/>
          <w:b/>
          <w:bCs/>
          <w:sz w:val="32"/>
          <w:szCs w:val="32"/>
          <w:u w:val="single"/>
        </w:rPr>
        <w:t xml:space="preserve">   </w:t>
      </w:r>
      <w:r>
        <w:rPr>
          <w:rFonts w:hint="eastAsia" w:hAnsi="宋体" w:cs="宋体"/>
          <w:b/>
          <w:bCs/>
          <w:sz w:val="32"/>
          <w:szCs w:val="32"/>
        </w:rPr>
        <w:t>日</w:t>
      </w:r>
    </w:p>
    <w:p>
      <w:pPr>
        <w:spacing w:line="360" w:lineRule="auto"/>
        <w:rPr>
          <w:rFonts w:ascii="宋体" w:hAnsi="宋体" w:cs="宋体"/>
          <w:b/>
          <w:sz w:val="44"/>
          <w:szCs w:val="44"/>
        </w:rPr>
        <w:sectPr>
          <w:pgSz w:w="12240" w:h="15840"/>
          <w:pgMar w:top="1440" w:right="1800" w:bottom="1440" w:left="1800" w:header="720" w:footer="720" w:gutter="0"/>
          <w:cols w:space="720" w:num="1"/>
          <w:titlePg/>
          <w:docGrid w:type="lines" w:linePitch="323"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13"/>
        <w:rPr>
          <w:rFonts w:ascii="宋体" w:hAnsi="宋体" w:cs="宋体"/>
        </w:rPr>
      </w:pPr>
    </w:p>
    <w:p>
      <w:pPr>
        <w:adjustRightInd w:val="0"/>
        <w:snapToGrid w:val="0"/>
        <w:spacing w:line="360" w:lineRule="auto"/>
        <w:ind w:firstLine="420" w:firstLineChars="200"/>
        <w:rPr>
          <w:rFonts w:ascii="宋体" w:hAnsi="宋体" w:cs="宋体"/>
          <w:szCs w:val="21"/>
        </w:rPr>
      </w:pPr>
      <w:bookmarkStart w:id="170" w:name="_Toc29299"/>
      <w:r>
        <w:rPr>
          <w:rFonts w:hint="eastAsia" w:ascii="宋体" w:hAnsi="宋体" w:cs="宋体"/>
          <w:szCs w:val="21"/>
        </w:rPr>
        <w:t>一、谈判承诺书</w:t>
      </w:r>
      <w:bookmarkEnd w:id="170"/>
    </w:p>
    <w:p>
      <w:pPr>
        <w:adjustRightInd w:val="0"/>
        <w:snapToGrid w:val="0"/>
        <w:spacing w:line="360" w:lineRule="auto"/>
        <w:ind w:firstLine="420" w:firstLineChars="200"/>
        <w:jc w:val="left"/>
        <w:rPr>
          <w:rFonts w:ascii="宋体" w:hAnsi="宋体" w:cs="宋体"/>
          <w:szCs w:val="21"/>
        </w:rPr>
      </w:pPr>
      <w:bookmarkStart w:id="171" w:name="_Toc10964"/>
      <w:r>
        <w:rPr>
          <w:rFonts w:hint="eastAsia" w:ascii="宋体" w:hAnsi="宋体" w:cs="宋体"/>
          <w:szCs w:val="21"/>
        </w:rPr>
        <w:t>二、法定代表人身份证明书</w:t>
      </w:r>
      <w:bookmarkEnd w:id="171"/>
    </w:p>
    <w:p>
      <w:pPr>
        <w:adjustRightInd w:val="0"/>
        <w:snapToGrid w:val="0"/>
        <w:spacing w:line="360" w:lineRule="auto"/>
        <w:ind w:firstLine="420" w:firstLineChars="200"/>
        <w:jc w:val="left"/>
        <w:rPr>
          <w:rFonts w:ascii="宋体" w:hAnsi="宋体" w:cs="宋体"/>
          <w:szCs w:val="21"/>
        </w:rPr>
      </w:pPr>
      <w:bookmarkStart w:id="172" w:name="_Toc13026"/>
      <w:r>
        <w:rPr>
          <w:rFonts w:hint="eastAsia" w:ascii="宋体" w:hAnsi="宋体" w:cs="宋体"/>
          <w:szCs w:val="21"/>
        </w:rPr>
        <w:t>三、授权委托书</w:t>
      </w:r>
      <w:bookmarkEnd w:id="172"/>
    </w:p>
    <w:p>
      <w:pPr>
        <w:adjustRightInd w:val="0"/>
        <w:snapToGrid w:val="0"/>
        <w:spacing w:line="360" w:lineRule="auto"/>
        <w:ind w:firstLine="420" w:firstLineChars="200"/>
        <w:jc w:val="left"/>
        <w:rPr>
          <w:rFonts w:ascii="宋体" w:hAnsi="宋体" w:cs="宋体"/>
          <w:szCs w:val="21"/>
        </w:rPr>
      </w:pPr>
      <w:bookmarkStart w:id="173" w:name="_Toc1497"/>
      <w:r>
        <w:rPr>
          <w:rFonts w:hint="eastAsia" w:ascii="宋体" w:hAnsi="宋体" w:cs="宋体"/>
          <w:szCs w:val="21"/>
        </w:rPr>
        <w:t>四、谈判单位资格条件证明文件</w:t>
      </w:r>
      <w:bookmarkEnd w:id="173"/>
    </w:p>
    <w:p>
      <w:pPr>
        <w:adjustRightInd w:val="0"/>
        <w:snapToGrid w:val="0"/>
        <w:spacing w:line="360" w:lineRule="auto"/>
        <w:ind w:firstLine="420" w:firstLineChars="200"/>
        <w:rPr>
          <w:rFonts w:ascii="宋体" w:hAnsi="宋体" w:cs="宋体"/>
          <w:szCs w:val="21"/>
        </w:rPr>
      </w:pPr>
      <w:bookmarkStart w:id="174" w:name="_Toc3969"/>
      <w:r>
        <w:rPr>
          <w:rFonts w:hint="eastAsia" w:ascii="宋体" w:hAnsi="宋体" w:cs="宋体"/>
          <w:szCs w:val="21"/>
        </w:rPr>
        <w:t>五、</w:t>
      </w:r>
      <w:r>
        <w:rPr>
          <w:rFonts w:hint="eastAsia" w:ascii="宋体" w:hAnsi="宋体" w:cs="宋体"/>
          <w:bCs/>
          <w:szCs w:val="21"/>
        </w:rPr>
        <w:t>服务方案</w:t>
      </w:r>
      <w:bookmarkEnd w:id="174"/>
      <w:r>
        <w:rPr>
          <w:rFonts w:hint="eastAsia" w:ascii="宋体" w:hAnsi="宋体" w:cs="宋体"/>
          <w:bCs/>
          <w:szCs w:val="21"/>
        </w:rPr>
        <w:t>（如有）</w:t>
      </w:r>
    </w:p>
    <w:p>
      <w:pPr>
        <w:adjustRightInd w:val="0"/>
        <w:snapToGrid w:val="0"/>
        <w:spacing w:line="360" w:lineRule="auto"/>
        <w:ind w:firstLine="420" w:firstLineChars="200"/>
        <w:jc w:val="left"/>
        <w:rPr>
          <w:rFonts w:ascii="宋体" w:hAnsi="宋体" w:cs="宋体"/>
          <w:szCs w:val="21"/>
        </w:rPr>
      </w:pPr>
      <w:bookmarkStart w:id="175" w:name="_Toc24332"/>
      <w:r>
        <w:rPr>
          <w:rFonts w:hint="eastAsia" w:ascii="宋体" w:hAnsi="宋体" w:cs="宋体"/>
          <w:szCs w:val="21"/>
        </w:rPr>
        <w:t>六、报价一览表</w:t>
      </w:r>
      <w:bookmarkEnd w:id="175"/>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七、分项报价表</w:t>
      </w:r>
    </w:p>
    <w:p>
      <w:pPr>
        <w:adjustRightInd w:val="0"/>
        <w:snapToGrid w:val="0"/>
        <w:spacing w:line="360" w:lineRule="auto"/>
        <w:ind w:firstLine="420" w:firstLineChars="200"/>
        <w:jc w:val="left"/>
        <w:rPr>
          <w:rFonts w:ascii="宋体" w:hAnsi="宋体" w:cs="宋体"/>
          <w:szCs w:val="21"/>
        </w:rPr>
      </w:pPr>
      <w:bookmarkStart w:id="176" w:name="_Toc3668"/>
      <w:r>
        <w:rPr>
          <w:rFonts w:hint="eastAsia" w:ascii="宋体" w:hAnsi="宋体" w:cs="宋体"/>
          <w:szCs w:val="21"/>
        </w:rPr>
        <w:t>八、</w:t>
      </w:r>
      <w:bookmarkEnd w:id="176"/>
      <w:r>
        <w:rPr>
          <w:rFonts w:hint="eastAsia" w:ascii="宋体" w:hAnsi="宋体" w:cs="宋体"/>
          <w:szCs w:val="21"/>
        </w:rPr>
        <w:t>其他资料（如有）</w:t>
      </w:r>
    </w:p>
    <w:p>
      <w:pPr>
        <w:ind w:firstLine="480" w:firstLineChars="200"/>
        <w:jc w:val="center"/>
        <w:rPr>
          <w:rFonts w:ascii="宋体" w:hAnsi="宋体" w:cs="宋体"/>
          <w:b/>
          <w:sz w:val="32"/>
          <w:szCs w:val="32"/>
        </w:rPr>
      </w:pPr>
      <w:r>
        <w:rPr>
          <w:rFonts w:hint="eastAsia" w:ascii="宋体" w:hAnsi="宋体" w:cs="宋体"/>
          <w:sz w:val="24"/>
        </w:rPr>
        <w:br w:type="page"/>
      </w:r>
      <w:r>
        <w:rPr>
          <w:rFonts w:hint="eastAsia" w:ascii="宋体" w:hAnsi="宋体" w:cs="宋体"/>
          <w:b/>
          <w:sz w:val="32"/>
          <w:szCs w:val="32"/>
        </w:rPr>
        <w:t>一、谈判承诺书</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致(采购单位)：</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我方已仔细研究了</w:t>
      </w:r>
      <w:r>
        <w:rPr>
          <w:rFonts w:hint="eastAsia" w:ascii="宋体" w:hAnsi="宋体" w:cs="宋体"/>
          <w:szCs w:val="21"/>
          <w:u w:val="single"/>
        </w:rPr>
        <w:t xml:space="preserve">                 (</w:t>
      </w:r>
      <w:r>
        <w:rPr>
          <w:rFonts w:hint="eastAsia" w:ascii="宋体" w:hAnsi="宋体" w:cs="宋体"/>
          <w:szCs w:val="21"/>
        </w:rPr>
        <w:t>项目名称)的竞争性谈判文件（谈判项目编号：</w:t>
      </w:r>
      <w:r>
        <w:rPr>
          <w:rFonts w:hint="eastAsia" w:ascii="宋体" w:hAnsi="宋体" w:cs="宋体"/>
          <w:szCs w:val="21"/>
          <w:u w:val="single"/>
        </w:rPr>
        <w:t xml:space="preserve">                 </w:t>
      </w:r>
      <w:r>
        <w:rPr>
          <w:rFonts w:hint="eastAsia" w:ascii="宋体" w:hAnsi="宋体" w:cs="宋体"/>
          <w:szCs w:val="21"/>
        </w:rPr>
        <w:t>）的全部内容，</w:t>
      </w:r>
      <w:r>
        <w:rPr>
          <w:rFonts w:hint="eastAsia" w:ascii="宋体" w:hAnsi="宋体" w:cs="宋体"/>
        </w:rPr>
        <w:t>知悉参加竞争性谈判的风险，我方承诺接受谈判文件的全部条款且无任何异议。</w:t>
      </w:r>
    </w:p>
    <w:p>
      <w:pPr>
        <w:pStyle w:val="25"/>
        <w:adjustRightInd w:val="0"/>
        <w:snapToGrid w:val="0"/>
        <w:spacing w:line="360" w:lineRule="auto"/>
        <w:ind w:firstLine="420" w:firstLineChars="200"/>
        <w:rPr>
          <w:rFonts w:hAnsi="宋体" w:cs="宋体"/>
        </w:rPr>
      </w:pPr>
      <w:r>
        <w:rPr>
          <w:rFonts w:hint="eastAsia" w:hAnsi="宋体" w:cs="宋体"/>
        </w:rPr>
        <w:t>一、参与本项目竞争性谈判活动系本公司自愿行为。</w:t>
      </w:r>
    </w:p>
    <w:p>
      <w:pPr>
        <w:pStyle w:val="25"/>
        <w:adjustRightInd w:val="0"/>
        <w:snapToGrid w:val="0"/>
        <w:spacing w:line="360" w:lineRule="auto"/>
        <w:ind w:firstLine="420" w:firstLineChars="200"/>
        <w:rPr>
          <w:rFonts w:hAnsi="宋体" w:cs="宋体"/>
        </w:rPr>
      </w:pPr>
      <w:r>
        <w:rPr>
          <w:rFonts w:hint="eastAsia" w:hAnsi="宋体" w:cs="宋体"/>
        </w:rPr>
        <w:t>二、我方同意在谈判文件中规定的提交响应文件截止时间起</w:t>
      </w:r>
      <w:r>
        <w:rPr>
          <w:rFonts w:hint="eastAsia" w:hAnsi="宋体" w:cs="宋体"/>
          <w:u w:val="single"/>
        </w:rPr>
        <w:t>180</w:t>
      </w:r>
      <w:r>
        <w:rPr>
          <w:rFonts w:hint="eastAsia" w:hAnsi="宋体" w:cs="宋体"/>
        </w:rPr>
        <w:t>日历天(响应文件有效期)遵守本响应文件中的承诺且在此期限期满之前均具有法律约束力。</w:t>
      </w:r>
    </w:p>
    <w:p>
      <w:pPr>
        <w:pStyle w:val="25"/>
        <w:adjustRightInd w:val="0"/>
        <w:snapToGrid w:val="0"/>
        <w:spacing w:line="360" w:lineRule="auto"/>
        <w:ind w:firstLine="420" w:firstLineChars="200"/>
        <w:rPr>
          <w:rFonts w:hint="eastAsia" w:hAnsi="宋体" w:cs="宋体"/>
        </w:rPr>
      </w:pPr>
      <w:r>
        <w:rPr>
          <w:rFonts w:hint="eastAsia" w:hAnsi="宋体" w:cs="宋体"/>
        </w:rPr>
        <w:t>三、我方提交的响应文件均为正本</w:t>
      </w:r>
      <w:r>
        <w:rPr>
          <w:rFonts w:hint="eastAsia" w:hAnsi="宋体" w:cs="宋体"/>
          <w:u w:val="single"/>
          <w:lang w:val="en-US" w:eastAsia="zh-CN"/>
        </w:rPr>
        <w:t xml:space="preserve">   </w:t>
      </w:r>
      <w:r>
        <w:rPr>
          <w:rFonts w:hint="eastAsia" w:hAnsi="宋体" w:cs="宋体"/>
        </w:rPr>
        <w:t>份和副本</w:t>
      </w:r>
      <w:r>
        <w:rPr>
          <w:rFonts w:hint="eastAsia" w:hAnsi="宋体" w:cs="宋体"/>
          <w:u w:val="single"/>
          <w:lang w:val="en-US" w:eastAsia="zh-CN"/>
        </w:rPr>
        <w:t xml:space="preserve">   </w:t>
      </w:r>
      <w:r>
        <w:rPr>
          <w:rFonts w:hint="eastAsia" w:hAnsi="宋体" w:cs="宋体"/>
        </w:rPr>
        <w:t>份，电子文件（包括响应文件全部内容）</w:t>
      </w:r>
    </w:p>
    <w:p>
      <w:pPr>
        <w:pStyle w:val="25"/>
        <w:adjustRightInd w:val="0"/>
        <w:snapToGrid w:val="0"/>
        <w:spacing w:line="360" w:lineRule="auto"/>
        <w:rPr>
          <w:rFonts w:hAnsi="宋体" w:cs="宋体"/>
          <w:bCs/>
        </w:rPr>
      </w:pPr>
      <w:r>
        <w:rPr>
          <w:rFonts w:hint="eastAsia" w:hAnsi="宋体" w:cs="宋体"/>
          <w:u w:val="single"/>
          <w:lang w:val="en-US" w:eastAsia="zh-CN"/>
        </w:rPr>
        <w:t xml:space="preserve">   </w:t>
      </w:r>
      <w:r>
        <w:rPr>
          <w:rFonts w:hint="eastAsia" w:hAnsi="宋体" w:cs="宋体"/>
        </w:rPr>
        <w:t>份，并保证响应文件提供的数据和材料是真实、准确的，且无低于成本的恶意报价行为。否则，愿承担由此引起的一切</w:t>
      </w:r>
      <w:r>
        <w:rPr>
          <w:rFonts w:hint="eastAsia" w:hAnsi="宋体" w:cs="宋体"/>
          <w:bCs/>
        </w:rPr>
        <w:t>法律责任。</w:t>
      </w:r>
    </w:p>
    <w:p>
      <w:pPr>
        <w:pStyle w:val="25"/>
        <w:adjustRightInd w:val="0"/>
        <w:snapToGrid w:val="0"/>
        <w:spacing w:line="360" w:lineRule="auto"/>
        <w:ind w:firstLine="420" w:firstLineChars="200"/>
        <w:rPr>
          <w:rFonts w:hAnsi="宋体" w:cs="宋体"/>
        </w:rPr>
      </w:pPr>
      <w:r>
        <w:rPr>
          <w:rFonts w:hint="eastAsia" w:hAnsi="宋体" w:cs="宋体"/>
        </w:rPr>
        <w:t>四、遵守贵司各项管理制度和谈判现场纪律，服从现场工作人员管理，自觉维护贵司谈判活动秩序。</w:t>
      </w:r>
    </w:p>
    <w:p>
      <w:pPr>
        <w:pStyle w:val="25"/>
        <w:adjustRightInd w:val="0"/>
        <w:snapToGrid w:val="0"/>
        <w:spacing w:line="360" w:lineRule="auto"/>
        <w:ind w:firstLine="420" w:firstLineChars="200"/>
        <w:rPr>
          <w:rFonts w:hAnsi="宋体" w:cs="宋体"/>
        </w:rPr>
      </w:pPr>
      <w:r>
        <w:rPr>
          <w:rFonts w:hint="eastAsia" w:hAnsi="宋体" w:cs="宋体"/>
        </w:rPr>
        <w:t>五、保证没有组织、参与围标、串标行为。</w:t>
      </w:r>
    </w:p>
    <w:p>
      <w:pPr>
        <w:pStyle w:val="25"/>
        <w:adjustRightInd w:val="0"/>
        <w:snapToGrid w:val="0"/>
        <w:spacing w:line="360" w:lineRule="auto"/>
        <w:ind w:firstLine="420" w:firstLineChars="200"/>
        <w:rPr>
          <w:rFonts w:hAnsi="宋体" w:cs="宋体"/>
        </w:rPr>
      </w:pPr>
      <w:r>
        <w:rPr>
          <w:rFonts w:hint="eastAsia" w:hAnsi="宋体" w:cs="宋体"/>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cs="宋体"/>
        </w:rPr>
      </w:pPr>
      <w:r>
        <w:rPr>
          <w:rFonts w:hint="eastAsia" w:hAnsi="宋体" w:cs="宋体"/>
        </w:rPr>
        <w:t>七、我方承诺，若贵方需要，我方愿意提供任何与本次谈判有关的数据、情况和技术资料。</w:t>
      </w:r>
    </w:p>
    <w:p>
      <w:pPr>
        <w:pStyle w:val="25"/>
        <w:adjustRightInd w:val="0"/>
        <w:snapToGrid w:val="0"/>
        <w:spacing w:line="360" w:lineRule="auto"/>
        <w:ind w:firstLine="420" w:firstLineChars="200"/>
        <w:rPr>
          <w:rFonts w:hAnsi="宋体" w:cs="宋体"/>
        </w:rPr>
      </w:pPr>
      <w:r>
        <w:rPr>
          <w:rFonts w:hint="eastAsia" w:hAnsi="宋体" w:cs="宋体"/>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cs="宋体"/>
        </w:rPr>
      </w:pPr>
      <w:r>
        <w:rPr>
          <w:rFonts w:hint="eastAsia" w:hAnsi="宋体" w:cs="宋体"/>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rPr>
          <w:rFonts w:hAnsi="宋体" w:cs="宋体"/>
        </w:rPr>
      </w:pPr>
      <w:r>
        <w:rPr>
          <w:rFonts w:hint="eastAsia" w:hAnsi="宋体" w:cs="宋体"/>
        </w:rPr>
        <w:t>十、我方承诺完全响应本文件第四章“用户需求书”及第五章“合同格式条款”内的全部内容。</w:t>
      </w:r>
    </w:p>
    <w:p>
      <w:pPr>
        <w:spacing w:line="360" w:lineRule="auto"/>
        <w:ind w:firstLine="420" w:firstLineChars="200"/>
        <w:rPr>
          <w:rFonts w:ascii="宋体" w:hAnsi="宋体" w:cs="宋体"/>
        </w:rPr>
      </w:pPr>
      <w:r>
        <w:rPr>
          <w:rFonts w:hint="eastAsia" w:ascii="宋体" w:hAnsi="宋体" w:cs="宋体"/>
        </w:rPr>
        <w:t>十一、如有违反本承诺书内容的行为，愿意承担由此产生的法律责任及后果。</w:t>
      </w:r>
    </w:p>
    <w:p>
      <w:pPr>
        <w:adjustRightInd w:val="0"/>
        <w:snapToGrid w:val="0"/>
        <w:spacing w:line="360" w:lineRule="auto"/>
        <w:ind w:right="24" w:firstLine="420" w:firstLineChars="200"/>
        <w:rPr>
          <w:rFonts w:ascii="宋体" w:hAnsi="宋体" w:cs="宋体"/>
          <w:bCs/>
          <w:szCs w:val="21"/>
        </w:rPr>
      </w:pPr>
    </w:p>
    <w:p>
      <w:pPr>
        <w:pStyle w:val="25"/>
        <w:adjustRightInd w:val="0"/>
        <w:snapToGrid w:val="0"/>
        <w:spacing w:line="360" w:lineRule="auto"/>
        <w:ind w:firstLine="420" w:firstLineChars="200"/>
        <w:rPr>
          <w:rFonts w:hAnsi="宋体" w:cs="宋体"/>
        </w:rPr>
      </w:pPr>
    </w:p>
    <w:p>
      <w:pPr>
        <w:spacing w:line="360" w:lineRule="auto"/>
        <w:ind w:firstLine="420" w:firstLineChars="200"/>
        <w:rPr>
          <w:rFonts w:ascii="宋体" w:hAnsi="宋体" w:cs="宋体"/>
          <w:u w:val="single"/>
        </w:rPr>
      </w:pPr>
      <w:r>
        <w:rPr>
          <w:rFonts w:hint="eastAsia" w:ascii="宋体" w:hAnsi="宋体" w:cs="宋体"/>
        </w:rPr>
        <w:t>谈判单位名称：</w:t>
      </w:r>
      <w:r>
        <w:rPr>
          <w:rFonts w:hint="eastAsia" w:ascii="宋体" w:hAnsi="宋体" w:cs="宋体"/>
          <w:u w:val="single"/>
        </w:rPr>
        <w:t xml:space="preserve">    （盖单位章）    </w:t>
      </w:r>
    </w:p>
    <w:p>
      <w:pPr>
        <w:spacing w:line="360" w:lineRule="auto"/>
        <w:ind w:firstLine="420" w:firstLineChars="200"/>
        <w:rPr>
          <w:rFonts w:ascii="宋体" w:hAnsi="宋体" w:cs="宋体"/>
          <w:szCs w:val="21"/>
        </w:rPr>
      </w:pPr>
      <w:r>
        <w:rPr>
          <w:rFonts w:hint="eastAsia" w:ascii="宋体" w:hAnsi="宋体" w:cs="宋体"/>
          <w:szCs w:val="21"/>
        </w:rPr>
        <w:t>法定</w:t>
      </w:r>
      <w:r>
        <w:rPr>
          <w:rFonts w:hint="eastAsia" w:ascii="宋体" w:hAnsi="宋体" w:cs="宋体"/>
        </w:rPr>
        <w:t>代表</w:t>
      </w:r>
      <w:r>
        <w:rPr>
          <w:rFonts w:hint="eastAsia" w:ascii="宋体" w:hAnsi="宋体" w:cs="宋体"/>
          <w:szCs w:val="21"/>
        </w:rPr>
        <w:t>人(签字或盖章)：</w:t>
      </w:r>
      <w:r>
        <w:rPr>
          <w:rFonts w:hint="eastAsia" w:ascii="宋体" w:hAnsi="宋体" w:cs="宋体"/>
          <w:szCs w:val="21"/>
          <w:u w:val="single"/>
        </w:rPr>
        <w:t xml:space="preserve">               </w:t>
      </w:r>
    </w:p>
    <w:p>
      <w:pPr>
        <w:spacing w:line="360" w:lineRule="auto"/>
        <w:ind w:firstLine="420" w:firstLineChars="200"/>
        <w:rPr>
          <w:rFonts w:ascii="宋体" w:hAnsi="宋体" w:cs="宋体"/>
        </w:rPr>
      </w:pPr>
      <w:r>
        <w:rPr>
          <w:rFonts w:hint="eastAsia" w:ascii="宋体" w:hAnsi="宋体" w:cs="宋体"/>
        </w:rPr>
        <w:t>日期</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rPr>
          <w:rFonts w:ascii="宋体" w:hAnsi="宋体" w:cs="宋体"/>
          <w:b/>
          <w:sz w:val="32"/>
          <w:szCs w:val="32"/>
        </w:rPr>
      </w:pPr>
      <w:r>
        <w:rPr>
          <w:rFonts w:hint="eastAsia" w:ascii="宋体" w:hAnsi="宋体" w:cs="宋体"/>
          <w:b/>
          <w:sz w:val="32"/>
          <w:szCs w:val="32"/>
        </w:rPr>
        <w:t>二、法定代表人身份证明书</w:t>
      </w:r>
    </w:p>
    <w:p>
      <w:pPr>
        <w:snapToGrid w:val="0"/>
        <w:spacing w:line="480" w:lineRule="auto"/>
        <w:rPr>
          <w:rFonts w:ascii="宋体" w:hAnsi="宋体" w:cs="宋体"/>
          <w:szCs w:val="21"/>
        </w:rPr>
      </w:pPr>
    </w:p>
    <w:p>
      <w:pPr>
        <w:autoSpaceDE w:val="0"/>
        <w:autoSpaceDN w:val="0"/>
        <w:adjustRightInd w:val="0"/>
        <w:snapToGrid w:val="0"/>
        <w:spacing w:before="161" w:beforeLines="50" w:line="360" w:lineRule="auto"/>
        <w:jc w:val="left"/>
        <w:rPr>
          <w:rFonts w:ascii="宋体" w:hAnsi="宋体" w:cs="宋体"/>
          <w:kern w:val="0"/>
          <w:szCs w:val="21"/>
        </w:rPr>
      </w:pPr>
      <w:r>
        <w:rPr>
          <w:rFonts w:hint="eastAsia" w:ascii="宋体" w:hAnsi="宋体" w:cs="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utoSpaceDE w:val="0"/>
        <w:autoSpaceDN w:val="0"/>
        <w:adjustRightInd w:val="0"/>
        <w:snapToGrid w:val="0"/>
        <w:spacing w:before="161"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szCs w:val="21"/>
        </w:rPr>
        <w:t>谈判单位</w:t>
      </w:r>
      <w:r>
        <w:rPr>
          <w:rFonts w:hint="eastAsia" w:ascii="宋体" w:hAnsi="宋体" w:cs="宋体"/>
          <w:kern w:val="0"/>
          <w:szCs w:val="21"/>
        </w:rPr>
        <w:t>名称）的法定代表人。</w:t>
      </w:r>
    </w:p>
    <w:p>
      <w:pPr>
        <w:autoSpaceDE w:val="0"/>
        <w:autoSpaceDN w:val="0"/>
        <w:adjustRightInd w:val="0"/>
        <w:snapToGrid w:val="0"/>
        <w:spacing w:before="161"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cs="宋体"/>
          <w:szCs w:val="21"/>
        </w:rPr>
      </w:pPr>
      <w:r>
        <w:rPr>
          <w:rFonts w:ascii="宋体" w:hAnsi="宋体" w:cs="宋体"/>
          <w:szCs w:val="21"/>
        </w:rPr>
        <w:pict>
          <v:rect id="Rectangle 7" o:spid="_x0000_s1042" o:spt="1" style="position:absolute;left:0pt;margin-left:222.1pt;margin-top:11.5pt;height:96.15pt;width:185.5pt;z-index:-1024;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v:textbox>
          </v:rect>
        </w:pict>
      </w:r>
      <w:r>
        <w:rPr>
          <w:rFonts w:ascii="宋体" w:hAnsi="宋体" w:cs="宋体"/>
          <w:szCs w:val="21"/>
        </w:rPr>
        <w:pict>
          <v:rect id="Rectangle 6" o:spid="_x0000_s1043" o:spt="1" style="position:absolute;left:0pt;margin-left:-8.8pt;margin-top:11.5pt;height:96.15pt;width:185.5pt;z-index:-1024;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w:r>
    </w:p>
    <w:p>
      <w:pPr>
        <w:snapToGrid w:val="0"/>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r>
        <w:rPr>
          <w:rFonts w:hint="eastAsia" w:ascii="宋体" w:hAnsi="宋体" w:cs="宋体"/>
          <w:b/>
          <w:szCs w:val="21"/>
        </w:rPr>
        <w:t xml:space="preserve">备注：上述证件复印件可另附页，另附页时，证件复印件均须加盖单位公章。 </w:t>
      </w:r>
    </w:p>
    <w:p>
      <w:pPr>
        <w:snapToGrid w:val="0"/>
        <w:rPr>
          <w:rFonts w:ascii="宋体" w:hAnsi="宋体" w:cs="宋体"/>
          <w:szCs w:val="21"/>
        </w:rPr>
      </w:pPr>
    </w:p>
    <w:p>
      <w:pPr>
        <w:snapToGrid w:val="0"/>
        <w:rPr>
          <w:rFonts w:ascii="宋体" w:hAnsi="宋体" w:cs="宋体"/>
          <w:szCs w:val="21"/>
        </w:rPr>
      </w:pPr>
    </w:p>
    <w:p>
      <w:pPr>
        <w:snapToGrid w:val="0"/>
        <w:rPr>
          <w:rFonts w:ascii="宋体" w:hAnsi="宋体" w:cs="宋体"/>
          <w:szCs w:val="21"/>
        </w:rPr>
      </w:pPr>
    </w:p>
    <w:p>
      <w:pPr>
        <w:snapToGrid w:val="0"/>
        <w:rPr>
          <w:rFonts w:ascii="宋体" w:hAnsi="宋体" w:cs="宋体"/>
          <w:szCs w:val="21"/>
        </w:rPr>
      </w:pPr>
    </w:p>
    <w:p>
      <w:pPr>
        <w:snapToGrid w:val="0"/>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ind w:right="420"/>
        <w:rPr>
          <w:rFonts w:ascii="宋体" w:hAnsi="宋体" w:cs="宋体"/>
          <w:szCs w:val="21"/>
        </w:rPr>
      </w:pPr>
      <w:r>
        <w:rPr>
          <w:rFonts w:hint="eastAsia" w:ascii="宋体" w:hAnsi="宋体" w:cs="宋体"/>
          <w:szCs w:val="21"/>
        </w:rPr>
        <w:t>谈判单位名称（盖单位章）：</w:t>
      </w:r>
      <w:r>
        <w:rPr>
          <w:rFonts w:hint="eastAsia" w:ascii="宋体" w:hAnsi="宋体" w:cs="宋体"/>
          <w:u w:val="single"/>
        </w:rPr>
        <w:t xml:space="preserve">    （盖单位章）    </w:t>
      </w:r>
    </w:p>
    <w:p>
      <w:pPr>
        <w:spacing w:line="360" w:lineRule="auto"/>
        <w:rPr>
          <w:rFonts w:ascii="宋体" w:hAnsi="宋体" w:cs="宋体"/>
        </w:rPr>
      </w:pPr>
      <w:r>
        <w:rPr>
          <w:rFonts w:hint="eastAsia" w:ascii="宋体" w:hAnsi="宋体" w:cs="宋体"/>
        </w:rPr>
        <w:t>日期</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rPr>
          <w:rFonts w:ascii="宋体" w:hAnsi="宋体" w:cs="宋体"/>
          <w:b/>
          <w:sz w:val="32"/>
          <w:szCs w:val="32"/>
        </w:rPr>
      </w:pPr>
      <w:r>
        <w:rPr>
          <w:rFonts w:hint="eastAsia" w:ascii="宋体" w:hAnsi="宋体" w:cs="宋体"/>
          <w:bCs/>
          <w:sz w:val="24"/>
        </w:rPr>
        <w:br w:type="page"/>
      </w:r>
      <w:r>
        <w:rPr>
          <w:rFonts w:hint="eastAsia" w:ascii="宋体" w:hAnsi="宋体" w:cs="宋体"/>
          <w:b/>
          <w:sz w:val="32"/>
          <w:szCs w:val="32"/>
        </w:rPr>
        <w:t>三、授权委托书</w:t>
      </w:r>
    </w:p>
    <w:p>
      <w:pPr>
        <w:adjustRightInd w:val="0"/>
        <w:snapToGrid w:val="0"/>
        <w:spacing w:line="360" w:lineRule="auto"/>
        <w:jc w:val="center"/>
        <w:rPr>
          <w:rFonts w:ascii="宋体" w:hAnsi="宋体" w:cs="宋体"/>
          <w:b/>
          <w:sz w:val="28"/>
          <w:szCs w:val="28"/>
        </w:rPr>
      </w:pP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cs="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cs="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cs="宋体"/>
          <w:szCs w:val="21"/>
        </w:rPr>
      </w:pPr>
      <w:r>
        <w:rPr>
          <w:rFonts w:hint="eastAsia" w:ascii="宋体" w:hAnsi="宋体" w:cs="宋体"/>
          <w:szCs w:val="21"/>
        </w:rPr>
        <w:t>本授权书于年月日签字生效，特此声明。</w:t>
      </w:r>
    </w:p>
    <w:p>
      <w:pPr>
        <w:adjustRightInd w:val="0"/>
        <w:snapToGrid w:val="0"/>
        <w:spacing w:before="161" w:beforeLines="50" w:line="360" w:lineRule="auto"/>
        <w:ind w:firstLine="420" w:firstLineChars="200"/>
        <w:rPr>
          <w:rFonts w:ascii="宋体" w:hAnsi="宋体" w:cs="宋体"/>
          <w:szCs w:val="21"/>
        </w:rPr>
      </w:pPr>
      <w:r>
        <w:rPr>
          <w:rFonts w:ascii="宋体" w:hAnsi="宋体" w:cs="宋体"/>
          <w:szCs w:val="21"/>
        </w:rPr>
        <w:pict>
          <v:rect id="Rectangle 5" o:spid="_x0000_s1044" o:spt="1" style="position:absolute;left:0pt;margin-left:-9pt;margin-top:1.45pt;height:102.35pt;width:111.1pt;z-index:-1024;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w:r>
      <w:r>
        <w:rPr>
          <w:rFonts w:ascii="宋体" w:hAnsi="宋体" w:cs="宋体"/>
          <w:szCs w:val="21"/>
        </w:rPr>
        <w:pict>
          <v:rect id="Rectangle 4" o:spid="_x0000_s1045" o:spt="1" style="position:absolute;left:0pt;margin-left:272.1pt;margin-top:0.3pt;height:100.1pt;width:122.5pt;z-index:-1024;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pPr>
                    <w:rPr>
                      <w:highlight w:val="yellow"/>
                    </w:rPr>
                  </w:pPr>
                </w:p>
              </w:txbxContent>
            </v:textbox>
          </v:rect>
        </w:pict>
      </w:r>
      <w:r>
        <w:rPr>
          <w:rFonts w:ascii="宋体" w:hAnsi="宋体" w:cs="宋体"/>
          <w:szCs w:val="21"/>
        </w:rPr>
        <w:pict>
          <v:rect id="Rectangle 3" o:spid="_x0000_s1046" o:spt="1" style="position:absolute;left:0pt;flip:x;margin-left:133.45pt;margin-top:1.35pt;height:100.65pt;width:112.85pt;z-index:-1024;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w: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r>
        <w:rPr>
          <w:rFonts w:hint="eastAsia" w:ascii="宋体" w:hAnsi="宋体" w:cs="宋体"/>
          <w:b/>
          <w:szCs w:val="21"/>
        </w:rPr>
        <w:t>备注：上述证件复印件可另附页，另附页时，证件复印件均须加盖单位公章。</w:t>
      </w: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r>
        <w:rPr>
          <w:rFonts w:hint="eastAsia" w:ascii="宋体" w:hAnsi="宋体" w:cs="宋体"/>
          <w:szCs w:val="21"/>
        </w:rPr>
        <w:t>谈判单位名称（盖单位章）：</w:t>
      </w:r>
      <w:r>
        <w:rPr>
          <w:rFonts w:hint="eastAsia" w:ascii="宋体" w:hAnsi="宋体" w:cs="宋体"/>
          <w:u w:val="single"/>
        </w:rPr>
        <w:t xml:space="preserve">    （盖单位章）    </w:t>
      </w:r>
    </w:p>
    <w:p>
      <w:pPr>
        <w:adjustRightInd w:val="0"/>
        <w:snapToGrid w:val="0"/>
        <w:spacing w:line="360" w:lineRule="auto"/>
        <w:ind w:right="420"/>
        <w:rPr>
          <w:rFonts w:ascii="宋体" w:hAnsi="宋体" w:cs="宋体"/>
          <w:szCs w:val="21"/>
        </w:rPr>
      </w:pPr>
      <w:r>
        <w:rPr>
          <w:rFonts w:hint="eastAsia" w:ascii="宋体" w:hAnsi="宋体" w:cs="宋体"/>
          <w:szCs w:val="21"/>
        </w:rPr>
        <w:t>法定代表人（亲笔签字）：</w:t>
      </w:r>
      <w:r>
        <w:rPr>
          <w:rFonts w:hint="eastAsia" w:ascii="宋体" w:hAnsi="宋体" w:cs="宋体"/>
          <w:szCs w:val="21"/>
          <w:u w:val="single"/>
        </w:rPr>
        <w:t xml:space="preserve">               </w:t>
      </w:r>
    </w:p>
    <w:p>
      <w:pPr>
        <w:adjustRightInd w:val="0"/>
        <w:snapToGrid w:val="0"/>
        <w:spacing w:line="360" w:lineRule="auto"/>
        <w:ind w:right="420"/>
        <w:rPr>
          <w:rFonts w:ascii="宋体" w:hAnsi="宋体" w:cs="宋体"/>
          <w:szCs w:val="21"/>
        </w:rPr>
      </w:pPr>
      <w:r>
        <w:rPr>
          <w:rFonts w:hint="eastAsia" w:ascii="宋体" w:hAnsi="宋体" w:cs="宋体"/>
          <w:szCs w:val="21"/>
        </w:rPr>
        <w:t>委托代理人（亲笔签字）：</w:t>
      </w:r>
      <w:r>
        <w:rPr>
          <w:rFonts w:hint="eastAsia" w:ascii="宋体" w:hAnsi="宋体" w:cs="宋体"/>
          <w:szCs w:val="21"/>
          <w:u w:val="single"/>
        </w:rPr>
        <w:t xml:space="preserve">               </w:t>
      </w:r>
    </w:p>
    <w:p>
      <w:pPr>
        <w:spacing w:line="360" w:lineRule="auto"/>
        <w:rPr>
          <w:rFonts w:ascii="宋体" w:hAnsi="宋体" w:cs="宋体"/>
          <w:szCs w:val="21"/>
        </w:rPr>
        <w:sectPr>
          <w:pgSz w:w="12240" w:h="15840"/>
          <w:pgMar w:top="1440" w:right="1800" w:bottom="1440" w:left="1800" w:header="720" w:footer="720" w:gutter="0"/>
          <w:cols w:space="720" w:num="1"/>
          <w:titlePg/>
          <w:docGrid w:type="lines" w:linePitch="323" w:charSpace="0"/>
        </w:sectPr>
      </w:pPr>
      <w:r>
        <w:rPr>
          <w:rFonts w:hint="eastAsia" w:ascii="宋体" w:hAnsi="宋体" w:cs="宋体"/>
        </w:rPr>
        <w:t>日期</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80" w:lineRule="exact"/>
        <w:jc w:val="center"/>
        <w:rPr>
          <w:rFonts w:ascii="宋体" w:hAnsi="宋体" w:cs="宋体"/>
          <w:sz w:val="32"/>
          <w:szCs w:val="32"/>
        </w:rPr>
      </w:pPr>
      <w:r>
        <w:rPr>
          <w:rFonts w:hint="eastAsia" w:ascii="宋体" w:hAnsi="宋体" w:cs="宋体"/>
          <w:b/>
          <w:sz w:val="32"/>
          <w:szCs w:val="32"/>
        </w:rPr>
        <w:t>四、谈判单位资格证明文件</w:t>
      </w:r>
    </w:p>
    <w:p>
      <w:pPr>
        <w:adjustRightInd w:val="0"/>
        <w:snapToGrid w:val="0"/>
        <w:spacing w:line="360" w:lineRule="auto"/>
        <w:rPr>
          <w:rFonts w:ascii="宋体" w:hAnsi="宋体" w:cs="宋体"/>
          <w:bCs/>
          <w:szCs w:val="21"/>
        </w:rPr>
      </w:pP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根据本谈判文件</w:t>
      </w:r>
      <w:r>
        <w:rPr>
          <w:rFonts w:hint="eastAsia" w:ascii="宋体" w:hAnsi="宋体" w:cs="宋体"/>
          <w:b/>
          <w:bCs/>
          <w:szCs w:val="21"/>
        </w:rPr>
        <w:t>前附表</w:t>
      </w:r>
      <w:r>
        <w:rPr>
          <w:rFonts w:hint="eastAsia" w:ascii="宋体" w:hAnsi="宋体" w:cs="宋体"/>
          <w:bCs/>
          <w:szCs w:val="21"/>
        </w:rPr>
        <w:t>内的资格要求，</w:t>
      </w:r>
      <w:r>
        <w:rPr>
          <w:rFonts w:hint="eastAsia" w:ascii="宋体" w:hAnsi="宋体"/>
          <w:bCs/>
          <w:szCs w:val="21"/>
        </w:rPr>
        <w:t>本章节须附下列证明文件复印件</w:t>
      </w:r>
      <w:r>
        <w:rPr>
          <w:rFonts w:hint="eastAsia" w:ascii="宋体" w:hAnsi="宋体" w:cs="宋体"/>
          <w:bCs/>
          <w:szCs w:val="21"/>
        </w:rPr>
        <w:t>：</w:t>
      </w:r>
    </w:p>
    <w:p>
      <w:pPr>
        <w:spacing w:line="360" w:lineRule="auto"/>
        <w:ind w:firstLine="420" w:firstLineChars="200"/>
        <w:rPr>
          <w:rFonts w:ascii="宋体" w:hAnsi="宋体" w:cs="宋体"/>
          <w:iCs/>
        </w:rPr>
      </w:pPr>
      <w:r>
        <w:rPr>
          <w:rFonts w:hint="eastAsia" w:ascii="宋体" w:hAnsi="宋体" w:cs="宋体"/>
          <w:iCs/>
        </w:rPr>
        <w:t>1.</w:t>
      </w:r>
      <w:r>
        <w:rPr>
          <w:rFonts w:hint="eastAsia" w:ascii="宋体" w:hAnsi="宋体"/>
          <w:iCs/>
        </w:rPr>
        <w:t>须提供营业执照副本复印件（须加盖谈判单位公章）；</w:t>
      </w:r>
    </w:p>
    <w:p>
      <w:pPr>
        <w:spacing w:line="360" w:lineRule="auto"/>
        <w:ind w:firstLine="420" w:firstLineChars="200"/>
        <w:rPr>
          <w:rFonts w:ascii="宋体" w:hAnsi="宋体" w:cs="宋体"/>
          <w:szCs w:val="21"/>
        </w:rPr>
      </w:pPr>
      <w:r>
        <w:rPr>
          <w:rFonts w:hint="eastAsia" w:ascii="宋体" w:hAnsi="宋体" w:cs="宋体"/>
          <w:iCs/>
        </w:rPr>
        <w:t>2.</w:t>
      </w:r>
      <w:r>
        <w:rPr>
          <w:rFonts w:hint="eastAsia" w:ascii="宋体" w:hAnsi="宋体" w:cs="宋体"/>
          <w:color w:val="000000"/>
        </w:rPr>
        <w:t>须提供国家交通运输部公布的研发中心认定结果通知文件的复印件，并</w:t>
      </w:r>
      <w:r>
        <w:rPr>
          <w:rFonts w:hint="eastAsia" w:ascii="宋体" w:hAnsi="宋体" w:cs="宋体"/>
          <w:szCs w:val="21"/>
        </w:rPr>
        <w:t>加盖谈判单位公章；</w:t>
      </w:r>
    </w:p>
    <w:p>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rPr>
        <w:t>须提供所投产品（模拟驾驶器）经国家认监委认可的第三方检验机构出具的检验报告复印件，</w:t>
      </w:r>
      <w:r>
        <w:rPr>
          <w:rFonts w:hint="eastAsia" w:ascii="宋体" w:hAnsi="宋体" w:cs="宋体"/>
          <w:color w:val="000000"/>
        </w:rPr>
        <w:t>并</w:t>
      </w:r>
      <w:r>
        <w:rPr>
          <w:rFonts w:hint="eastAsia" w:ascii="宋体" w:hAnsi="宋体" w:cs="宋体"/>
          <w:szCs w:val="21"/>
        </w:rPr>
        <w:t>加盖谈判单位公章；</w:t>
      </w:r>
    </w:p>
    <w:p>
      <w:pPr>
        <w:pStyle w:val="13"/>
        <w:spacing w:line="360" w:lineRule="auto"/>
        <w:ind w:left="0" w:leftChars="0" w:firstLine="420" w:firstLineChars="200"/>
        <w:rPr>
          <w:rFonts w:ascii="宋体" w:hAnsi="宋体" w:cs="宋体"/>
          <w:szCs w:val="21"/>
        </w:rPr>
      </w:pPr>
      <w:r>
        <w:rPr>
          <w:rFonts w:hint="eastAsia" w:ascii="宋体" w:hAnsi="宋体" w:cs="宋体"/>
          <w:szCs w:val="21"/>
        </w:rPr>
        <w:t>4.谈判单位</w:t>
      </w:r>
      <w:r>
        <w:rPr>
          <w:rFonts w:hint="eastAsia" w:ascii="宋体" w:hAnsi="宋体" w:cs="宋体"/>
        </w:rPr>
        <w:t>在本项目响应文件递交截止之日前36个月内须具有单项合同金额不少于45万元的</w:t>
      </w:r>
      <w:r>
        <w:rPr>
          <w:rFonts w:hint="eastAsia" w:ascii="宋体" w:hAnsi="宋体" w:cs="宋体"/>
          <w:color w:val="000000"/>
          <w:szCs w:val="21"/>
        </w:rPr>
        <w:t>城市轨道交通列车司机竞赛设备</w:t>
      </w:r>
      <w:r>
        <w:rPr>
          <w:rFonts w:hint="eastAsia" w:ascii="宋体" w:hAnsi="宋体" w:cs="宋体"/>
        </w:rPr>
        <w:t>相关供货业绩</w:t>
      </w:r>
      <w:r>
        <w:rPr>
          <w:rFonts w:hint="eastAsia" w:ascii="宋体" w:hAnsi="宋体" w:cs="宋体"/>
          <w:color w:val="000000"/>
        </w:rPr>
        <w:t>。</w:t>
      </w:r>
    </w:p>
    <w:p>
      <w:pPr>
        <w:pStyle w:val="13"/>
        <w:spacing w:line="360" w:lineRule="auto"/>
        <w:ind w:left="0" w:leftChars="0" w:firstLine="420" w:firstLineChars="200"/>
        <w:rPr>
          <w:rFonts w:ascii="宋体" w:hAnsi="宋体" w:cs="宋体"/>
          <w:szCs w:val="21"/>
        </w:rPr>
      </w:pPr>
      <w:r>
        <w:rPr>
          <w:rFonts w:hint="eastAsia" w:ascii="宋体" w:hAnsi="宋体" w:cs="宋体"/>
          <w:szCs w:val="21"/>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420" w:firstLineChars="200"/>
        <w:rPr>
          <w:rFonts w:ascii="宋体" w:hAnsi="宋体" w:cs="宋体"/>
          <w:kern w:val="0"/>
          <w:szCs w:val="21"/>
        </w:rPr>
      </w:pPr>
      <w:r>
        <w:rPr>
          <w:rFonts w:hint="eastAsia" w:ascii="宋体" w:hAnsi="宋体" w:cs="宋体"/>
          <w:szCs w:val="21"/>
        </w:rPr>
        <w:t>5.谈判单位认为与本项目</w:t>
      </w:r>
      <w:r>
        <w:rPr>
          <w:rFonts w:hint="eastAsia" w:ascii="宋体" w:hAnsi="宋体" w:cs="宋体"/>
          <w:kern w:val="0"/>
          <w:szCs w:val="21"/>
        </w:rPr>
        <w:t>资格条件有关的其它证明文件（如有，格式自拟）。</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备注：</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1.上述证明文件复印件均须加盖谈判单位公章。</w:t>
      </w:r>
    </w:p>
    <w:p>
      <w:pPr>
        <w:adjustRightInd w:val="0"/>
        <w:snapToGrid w:val="0"/>
        <w:spacing w:line="360" w:lineRule="auto"/>
        <w:ind w:firstLine="422" w:firstLineChars="200"/>
        <w:rPr>
          <w:rFonts w:ascii="宋体" w:hAnsi="宋体" w:cs="宋体"/>
          <w:b/>
          <w:bCs/>
          <w:szCs w:val="21"/>
        </w:rPr>
        <w:sectPr>
          <w:pgSz w:w="12240" w:h="15840"/>
          <w:pgMar w:top="1440" w:right="1800" w:bottom="1440" w:left="1800" w:header="720" w:footer="720" w:gutter="0"/>
          <w:cols w:space="720" w:num="1"/>
          <w:titlePg/>
          <w:docGrid w:type="lines" w:linePitch="323" w:charSpace="0"/>
        </w:sectPr>
      </w:pPr>
      <w:r>
        <w:rPr>
          <w:rFonts w:hint="eastAsia" w:ascii="宋体" w:hAnsi="宋体" w:cs="宋体"/>
          <w:b/>
          <w:bCs/>
          <w:szCs w:val="21"/>
        </w:rPr>
        <w:t>2.上述证明文件原件须用文件袋单独包装，在响应文件递交的同时一并提交。</w:t>
      </w:r>
    </w:p>
    <w:p>
      <w:pPr>
        <w:adjustRightInd w:val="0"/>
        <w:snapToGrid w:val="0"/>
        <w:ind w:left="-88" w:leftChars="-42" w:firstLine="321" w:firstLineChars="100"/>
        <w:jc w:val="center"/>
        <w:rPr>
          <w:rFonts w:ascii="宋体" w:hAnsi="宋体" w:cs="宋体"/>
          <w:b/>
          <w:bCs/>
          <w:sz w:val="32"/>
          <w:szCs w:val="32"/>
        </w:rPr>
      </w:pPr>
      <w:r>
        <w:rPr>
          <w:rFonts w:hint="eastAsia" w:ascii="宋体" w:hAnsi="宋体" w:cs="宋体"/>
          <w:b/>
          <w:sz w:val="32"/>
          <w:szCs w:val="32"/>
        </w:rPr>
        <w:t>五、</w:t>
      </w:r>
      <w:r>
        <w:rPr>
          <w:rFonts w:hint="eastAsia" w:ascii="宋体" w:hAnsi="宋体" w:cs="宋体"/>
          <w:b/>
          <w:bCs/>
          <w:sz w:val="32"/>
          <w:szCs w:val="32"/>
        </w:rPr>
        <w:t>服务方案（如有）</w:t>
      </w:r>
    </w:p>
    <w:p>
      <w:pPr>
        <w:adjustRightInd w:val="0"/>
        <w:snapToGrid w:val="0"/>
        <w:ind w:left="-88" w:leftChars="-42" w:firstLine="321" w:firstLineChars="100"/>
        <w:jc w:val="center"/>
        <w:rPr>
          <w:rFonts w:ascii="宋体" w:hAnsi="宋体" w:cs="宋体"/>
          <w:b/>
          <w:bCs/>
          <w:sz w:val="32"/>
          <w:szCs w:val="32"/>
        </w:rPr>
      </w:pPr>
    </w:p>
    <w:p>
      <w:pPr>
        <w:adjustRightInd w:val="0"/>
        <w:snapToGrid w:val="0"/>
        <w:ind w:left="-88" w:leftChars="-42" w:firstLine="281" w:firstLineChars="100"/>
        <w:jc w:val="center"/>
        <w:rPr>
          <w:rFonts w:ascii="宋体" w:hAnsi="宋体" w:cs="宋体"/>
          <w:b/>
          <w:bCs/>
          <w:sz w:val="28"/>
          <w:szCs w:val="28"/>
        </w:rPr>
      </w:pPr>
    </w:p>
    <w:p>
      <w:pPr>
        <w:adjustRightInd w:val="0"/>
        <w:snapToGrid w:val="0"/>
        <w:ind w:firstLine="422" w:firstLineChars="200"/>
        <w:rPr>
          <w:rFonts w:ascii="宋体" w:hAnsi="宋体" w:cs="宋体"/>
          <w:b/>
          <w:szCs w:val="21"/>
        </w:rPr>
      </w:pPr>
      <w:r>
        <w:rPr>
          <w:rFonts w:hint="eastAsia" w:ascii="宋体" w:hAnsi="宋体" w:cs="宋体"/>
          <w:b/>
          <w:szCs w:val="21"/>
        </w:rPr>
        <w:t>1．服务方案说明</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1.1谈判单位应根据“用户需求书”规定编写服务方案或服务大纲。</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1.2服务方案或服务大纲应包括：(1)服务目标、范围和任务；(2)服务方案；(3)服务团队组织安排计划；(4)工作流程；(5)进度计划及保证措施；(6)质量保证措施；(7)合理化建议；(8)其他。</w:t>
      </w: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pStyle w:val="27"/>
        <w:adjustRightInd w:val="0"/>
        <w:snapToGrid w:val="0"/>
        <w:spacing w:line="360" w:lineRule="auto"/>
        <w:ind w:firstLine="420" w:firstLineChars="200"/>
        <w:rPr>
          <w:rFonts w:ascii="宋体" w:hAnsi="宋体" w:cs="宋体"/>
          <w:bCs/>
          <w:sz w:val="21"/>
          <w:szCs w:val="21"/>
        </w:rPr>
      </w:pPr>
      <w:bookmarkStart w:id="177" w:name="_Toc15471"/>
      <w:bookmarkStart w:id="178" w:name="_Toc2524"/>
      <w:bookmarkStart w:id="179" w:name="_Toc8554"/>
      <w:bookmarkStart w:id="180" w:name="_Toc29652"/>
      <w:r>
        <w:rPr>
          <w:rFonts w:hint="eastAsia" w:ascii="宋体" w:hAnsi="宋体" w:cs="宋体"/>
          <w:sz w:val="21"/>
          <w:szCs w:val="21"/>
        </w:rPr>
        <w:t>谈判单位名称：</w:t>
      </w:r>
      <w:r>
        <w:rPr>
          <w:rFonts w:hint="eastAsia" w:ascii="宋体" w:hAnsi="宋体" w:cs="宋体"/>
          <w:sz w:val="21"/>
          <w:szCs w:val="21"/>
          <w:u w:val="single"/>
        </w:rPr>
        <w:t xml:space="preserve">    （盖单位章）</w:t>
      </w:r>
      <w:bookmarkEnd w:id="177"/>
      <w:bookmarkEnd w:id="178"/>
      <w:bookmarkEnd w:id="179"/>
      <w:bookmarkEnd w:id="180"/>
    </w:p>
    <w:p>
      <w:pPr>
        <w:adjustRightInd w:val="0"/>
        <w:snapToGrid w:val="0"/>
        <w:spacing w:line="360" w:lineRule="auto"/>
        <w:ind w:firstLine="420" w:firstLineChars="200"/>
        <w:rPr>
          <w:rFonts w:ascii="宋体" w:hAnsi="宋体" w:cs="宋体"/>
          <w:szCs w:val="21"/>
        </w:rPr>
      </w:pPr>
      <w:bookmarkStart w:id="181" w:name="_Toc10577"/>
      <w:bookmarkStart w:id="182" w:name="_Toc6287"/>
      <w:bookmarkStart w:id="183" w:name="_Toc32054"/>
      <w:bookmarkStart w:id="184" w:name="_Toc8996"/>
      <w:r>
        <w:rPr>
          <w:rFonts w:hint="eastAsia" w:ascii="宋体" w:hAnsi="宋体" w:cs="宋体"/>
          <w:szCs w:val="21"/>
        </w:rPr>
        <w:t>法定代表人或其委托代理人(签字或盖章)：</w:t>
      </w:r>
      <w:bookmarkEnd w:id="181"/>
      <w:bookmarkEnd w:id="182"/>
      <w:bookmarkEnd w:id="183"/>
      <w:bookmarkEnd w:id="184"/>
      <w:r>
        <w:rPr>
          <w:rFonts w:hint="eastAsia" w:ascii="宋体" w:hAnsi="宋体" w:cs="宋体"/>
          <w:szCs w:val="21"/>
          <w:u w:val="single"/>
        </w:rPr>
        <w:t xml:space="preserve">               </w:t>
      </w:r>
    </w:p>
    <w:p>
      <w:pPr>
        <w:spacing w:line="360" w:lineRule="auto"/>
        <w:ind w:firstLine="420" w:firstLineChars="2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jc w:val="center"/>
        <w:rPr>
          <w:rFonts w:ascii="宋体" w:hAnsi="宋体" w:cs="宋体"/>
          <w:b/>
          <w:sz w:val="32"/>
          <w:szCs w:val="32"/>
        </w:rPr>
      </w:pPr>
      <w:r>
        <w:rPr>
          <w:rFonts w:hint="eastAsia" w:ascii="宋体" w:hAnsi="宋体" w:cs="宋体"/>
          <w:sz w:val="24"/>
        </w:rPr>
        <w:br w:type="page"/>
      </w:r>
      <w:r>
        <w:rPr>
          <w:rFonts w:hint="eastAsia" w:ascii="宋体" w:hAnsi="宋体" w:cs="宋体"/>
          <w:b/>
          <w:bCs/>
          <w:sz w:val="32"/>
          <w:szCs w:val="32"/>
        </w:rPr>
        <w:t>六、报价一览表</w:t>
      </w:r>
    </w:p>
    <w:p>
      <w:pPr>
        <w:adjustRightInd w:val="0"/>
        <w:snapToGrid w:val="0"/>
        <w:jc w:val="right"/>
        <w:rPr>
          <w:rFonts w:ascii="宋体" w:hAnsi="宋体" w:cs="宋体"/>
          <w:sz w:val="24"/>
        </w:rPr>
      </w:pPr>
    </w:p>
    <w:tbl>
      <w:tblPr>
        <w:tblStyle w:val="46"/>
        <w:tblW w:w="98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4017"/>
        <w:gridCol w:w="4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atLeast"/>
        </w:trPr>
        <w:tc>
          <w:tcPr>
            <w:tcW w:w="1807"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项目名称</w:t>
            </w:r>
            <w:r>
              <w:rPr>
                <w:rFonts w:hint="eastAsia" w:ascii="宋体" w:hAnsi="宋体" w:cs="宋体"/>
                <w:szCs w:val="21"/>
              </w:rPr>
              <w:tab/>
            </w:r>
            <w:r>
              <w:rPr>
                <w:rFonts w:hint="eastAsia" w:ascii="宋体" w:hAnsi="宋体" w:cs="宋体"/>
                <w:szCs w:val="21"/>
              </w:rPr>
              <w:t>项目名称</w:t>
            </w:r>
          </w:p>
        </w:tc>
        <w:tc>
          <w:tcPr>
            <w:tcW w:w="8033" w:type="dxa"/>
            <w:gridSpan w:val="2"/>
            <w:vAlign w:val="center"/>
          </w:tcPr>
          <w:p>
            <w:pPr>
              <w:spacing w:line="42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2" w:hRule="atLeast"/>
        </w:trPr>
        <w:tc>
          <w:tcPr>
            <w:tcW w:w="1807"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项目编号</w:t>
            </w:r>
          </w:p>
        </w:tc>
        <w:tc>
          <w:tcPr>
            <w:tcW w:w="8033" w:type="dxa"/>
            <w:gridSpan w:val="2"/>
            <w:vAlign w:val="center"/>
          </w:tcPr>
          <w:p>
            <w:pPr>
              <w:spacing w:line="42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2" w:hRule="atLeast"/>
        </w:trPr>
        <w:tc>
          <w:tcPr>
            <w:tcW w:w="1807" w:type="dxa"/>
            <w:vAlign w:val="center"/>
          </w:tcPr>
          <w:p>
            <w:pPr>
              <w:spacing w:line="420" w:lineRule="exact"/>
              <w:jc w:val="center"/>
              <w:rPr>
                <w:rFonts w:ascii="宋体" w:hAnsi="宋体" w:cs="宋体"/>
                <w:szCs w:val="21"/>
              </w:rPr>
            </w:pPr>
            <w:r>
              <w:rPr>
                <w:rFonts w:hint="eastAsia" w:ascii="宋体" w:hAnsi="宋体" w:cs="宋体"/>
                <w:szCs w:val="21"/>
              </w:rPr>
              <w:t>服务期限</w:t>
            </w:r>
          </w:p>
        </w:tc>
        <w:tc>
          <w:tcPr>
            <w:tcW w:w="8033" w:type="dxa"/>
            <w:gridSpan w:val="2"/>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75" w:hRule="atLeast"/>
        </w:trPr>
        <w:tc>
          <w:tcPr>
            <w:tcW w:w="1807" w:type="dxa"/>
            <w:vAlign w:val="center"/>
          </w:tcPr>
          <w:p>
            <w:pPr>
              <w:spacing w:line="420" w:lineRule="exact"/>
              <w:jc w:val="center"/>
              <w:rPr>
                <w:rFonts w:ascii="宋体" w:hAnsi="宋体" w:cs="宋体"/>
                <w:b/>
                <w:szCs w:val="21"/>
              </w:rPr>
            </w:pPr>
            <w:r>
              <w:rPr>
                <w:rFonts w:hint="eastAsia" w:ascii="宋体" w:hAnsi="宋体" w:cs="宋体"/>
                <w:b/>
                <w:szCs w:val="21"/>
              </w:rPr>
              <w:t>谈判总报价</w:t>
            </w:r>
          </w:p>
        </w:tc>
        <w:tc>
          <w:tcPr>
            <w:tcW w:w="4017" w:type="dxa"/>
            <w:vAlign w:val="center"/>
          </w:tcPr>
          <w:p>
            <w:pPr>
              <w:jc w:val="center"/>
              <w:rPr>
                <w:rFonts w:ascii="宋体" w:hAnsi="宋体" w:cs="宋体"/>
                <w:szCs w:val="21"/>
              </w:rPr>
            </w:pP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元</w:t>
            </w:r>
          </w:p>
        </w:tc>
        <w:tc>
          <w:tcPr>
            <w:tcW w:w="4016" w:type="dxa"/>
            <w:vAlign w:val="center"/>
          </w:tcPr>
          <w:p>
            <w:pPr>
              <w:spacing w:line="420" w:lineRule="exact"/>
              <w:jc w:val="center"/>
              <w:rPr>
                <w:rFonts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75" w:hRule="atLeast"/>
        </w:trPr>
        <w:tc>
          <w:tcPr>
            <w:tcW w:w="1807" w:type="dxa"/>
            <w:vAlign w:val="center"/>
          </w:tcPr>
          <w:p>
            <w:pPr>
              <w:spacing w:line="420" w:lineRule="exact"/>
              <w:jc w:val="center"/>
              <w:rPr>
                <w:rFonts w:ascii="宋体" w:hAnsi="宋体" w:cs="宋体"/>
                <w:b/>
                <w:szCs w:val="21"/>
              </w:rPr>
            </w:pPr>
            <w:r>
              <w:rPr>
                <w:rFonts w:hint="eastAsia" w:ascii="宋体" w:hAnsi="宋体" w:cs="宋体"/>
                <w:szCs w:val="21"/>
              </w:rPr>
              <w:t>供货期</w:t>
            </w:r>
          </w:p>
        </w:tc>
        <w:tc>
          <w:tcPr>
            <w:tcW w:w="8033" w:type="dxa"/>
            <w:gridSpan w:val="2"/>
            <w:vAlign w:val="center"/>
          </w:tcPr>
          <w:p>
            <w:pPr>
              <w:spacing w:line="42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75" w:hRule="atLeast"/>
        </w:trPr>
        <w:tc>
          <w:tcPr>
            <w:tcW w:w="1807" w:type="dxa"/>
            <w:vAlign w:val="center"/>
          </w:tcPr>
          <w:p>
            <w:pPr>
              <w:spacing w:line="420" w:lineRule="exact"/>
              <w:jc w:val="center"/>
              <w:rPr>
                <w:rFonts w:ascii="宋体" w:hAnsi="宋体" w:cs="宋体"/>
                <w:b/>
                <w:szCs w:val="21"/>
              </w:rPr>
            </w:pPr>
            <w:r>
              <w:rPr>
                <w:rFonts w:hint="eastAsia" w:ascii="宋体" w:hAnsi="宋体" w:cs="宋体"/>
                <w:szCs w:val="21"/>
              </w:rPr>
              <w:t>质保期</w:t>
            </w:r>
          </w:p>
        </w:tc>
        <w:tc>
          <w:tcPr>
            <w:tcW w:w="8033" w:type="dxa"/>
            <w:gridSpan w:val="2"/>
            <w:vAlign w:val="center"/>
          </w:tcPr>
          <w:p>
            <w:pPr>
              <w:spacing w:line="42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1" w:hRule="atLeast"/>
        </w:trPr>
        <w:tc>
          <w:tcPr>
            <w:tcW w:w="1807" w:type="dxa"/>
            <w:vAlign w:val="center"/>
          </w:tcPr>
          <w:p>
            <w:pPr>
              <w:spacing w:line="420" w:lineRule="exact"/>
              <w:jc w:val="center"/>
              <w:rPr>
                <w:rFonts w:ascii="宋体" w:hAnsi="宋体" w:cs="宋体"/>
                <w:szCs w:val="21"/>
              </w:rPr>
            </w:pPr>
            <w:r>
              <w:rPr>
                <w:rFonts w:hint="eastAsia" w:ascii="宋体" w:hAnsi="宋体" w:cs="宋体"/>
                <w:szCs w:val="21"/>
              </w:rPr>
              <w:t>备  注</w:t>
            </w:r>
          </w:p>
        </w:tc>
        <w:tc>
          <w:tcPr>
            <w:tcW w:w="8033" w:type="dxa"/>
            <w:gridSpan w:val="2"/>
            <w:vAlign w:val="center"/>
          </w:tcPr>
          <w:p>
            <w:pPr>
              <w:spacing w:line="420" w:lineRule="exact"/>
              <w:rPr>
                <w:rFonts w:ascii="宋体" w:hAnsi="宋体" w:cs="宋体"/>
                <w:szCs w:val="21"/>
              </w:rPr>
            </w:pPr>
          </w:p>
        </w:tc>
      </w:tr>
    </w:tbl>
    <w:p>
      <w:pPr>
        <w:adjustRightInd w:val="0"/>
        <w:snapToGrid w:val="0"/>
        <w:spacing w:line="360" w:lineRule="auto"/>
        <w:rPr>
          <w:rFonts w:ascii="宋体" w:hAnsi="宋体" w:cs="宋体"/>
          <w:b/>
          <w:szCs w:val="21"/>
        </w:rPr>
      </w:pPr>
      <w:r>
        <w:rPr>
          <w:rFonts w:hint="eastAsia" w:ascii="宋体" w:hAnsi="宋体" w:cs="宋体"/>
          <w:b/>
          <w:szCs w:val="21"/>
        </w:rPr>
        <w:t>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ascii="宋体" w:hAnsi="宋体"/>
          <w:b/>
          <w:szCs w:val="21"/>
        </w:rPr>
      </w:pPr>
      <w:r>
        <w:rPr>
          <w:rFonts w:hint="eastAsia" w:ascii="宋体" w:hAnsi="宋体"/>
          <w:b/>
          <w:szCs w:val="21"/>
        </w:rPr>
        <w:t>2.本表内“谈判总报价”是包含了货物所有隐含的运输费、保险费、安装调试费、管理费、税金和利润等其他费用的报价。</w:t>
      </w:r>
    </w:p>
    <w:p>
      <w:pPr>
        <w:adjustRightInd w:val="0"/>
        <w:snapToGrid w:val="0"/>
        <w:spacing w:line="360" w:lineRule="auto"/>
        <w:ind w:left="-88" w:leftChars="-42"/>
        <w:rPr>
          <w:rFonts w:ascii="宋体" w:hAnsi="宋体" w:cs="宋体"/>
          <w:szCs w:val="21"/>
        </w:rPr>
      </w:pPr>
    </w:p>
    <w:p>
      <w:pPr>
        <w:adjustRightInd w:val="0"/>
        <w:snapToGrid w:val="0"/>
        <w:spacing w:line="360" w:lineRule="auto"/>
        <w:ind w:left="-88" w:leftChars="-42"/>
        <w:rPr>
          <w:rFonts w:ascii="宋体" w:hAnsi="宋体" w:cs="宋体"/>
          <w:szCs w:val="21"/>
        </w:rPr>
      </w:pPr>
    </w:p>
    <w:p>
      <w:pPr>
        <w:adjustRightInd w:val="0"/>
        <w:snapToGrid w:val="0"/>
        <w:spacing w:line="360" w:lineRule="auto"/>
        <w:ind w:left="-88" w:leftChars="-42"/>
        <w:rPr>
          <w:rFonts w:ascii="宋体" w:hAnsi="宋体" w:cs="宋体"/>
          <w:szCs w:val="21"/>
        </w:rPr>
      </w:pPr>
    </w:p>
    <w:p>
      <w:pPr>
        <w:pStyle w:val="27"/>
        <w:adjustRightInd w:val="0"/>
        <w:snapToGrid w:val="0"/>
        <w:spacing w:line="360" w:lineRule="auto"/>
        <w:rPr>
          <w:rFonts w:ascii="宋体" w:hAnsi="宋体" w:cs="宋体"/>
          <w:bCs/>
          <w:sz w:val="21"/>
          <w:szCs w:val="21"/>
        </w:rPr>
      </w:pPr>
      <w:bookmarkStart w:id="185" w:name="_Toc26371"/>
      <w:bookmarkStart w:id="186" w:name="_Toc15367"/>
      <w:bookmarkStart w:id="187" w:name="_Toc7373"/>
      <w:bookmarkStart w:id="188" w:name="_Toc22197"/>
      <w:r>
        <w:rPr>
          <w:rFonts w:hint="eastAsia" w:ascii="宋体" w:hAnsi="宋体" w:cs="宋体"/>
          <w:sz w:val="21"/>
          <w:szCs w:val="21"/>
        </w:rPr>
        <w:t>谈判单位名称：</w:t>
      </w:r>
      <w:r>
        <w:rPr>
          <w:rFonts w:hint="eastAsia" w:ascii="宋体" w:hAnsi="宋体" w:cs="宋体"/>
          <w:sz w:val="21"/>
          <w:szCs w:val="21"/>
          <w:u w:val="single"/>
        </w:rPr>
        <w:t xml:space="preserve">    （盖单位章）</w:t>
      </w:r>
      <w:bookmarkEnd w:id="185"/>
      <w:bookmarkEnd w:id="186"/>
      <w:bookmarkEnd w:id="187"/>
      <w:bookmarkEnd w:id="188"/>
      <w:r>
        <w:rPr>
          <w:rFonts w:hint="eastAsia" w:ascii="宋体" w:hAnsi="宋体" w:cs="宋体"/>
          <w:sz w:val="21"/>
          <w:szCs w:val="21"/>
          <w:u w:val="single"/>
        </w:rPr>
        <w:t xml:space="preserve">    </w:t>
      </w:r>
    </w:p>
    <w:p>
      <w:pPr>
        <w:adjustRightInd w:val="0"/>
        <w:snapToGrid w:val="0"/>
        <w:spacing w:line="360" w:lineRule="auto"/>
        <w:rPr>
          <w:rFonts w:ascii="宋体" w:hAnsi="宋体" w:cs="宋体"/>
          <w:szCs w:val="21"/>
        </w:rPr>
      </w:pPr>
      <w:bookmarkStart w:id="189" w:name="_Toc3766"/>
      <w:bookmarkStart w:id="190" w:name="_Toc7637"/>
      <w:bookmarkStart w:id="191" w:name="_Toc14381"/>
      <w:bookmarkStart w:id="192" w:name="_Toc26095"/>
      <w:r>
        <w:rPr>
          <w:rFonts w:hint="eastAsia" w:ascii="宋体" w:hAnsi="宋体" w:cs="宋体"/>
          <w:szCs w:val="21"/>
        </w:rPr>
        <w:t>法定代表人或其委托代理人(签字或盖章)：</w:t>
      </w:r>
      <w:bookmarkEnd w:id="189"/>
      <w:bookmarkEnd w:id="190"/>
      <w:bookmarkEnd w:id="191"/>
      <w:bookmarkEnd w:id="192"/>
      <w:r>
        <w:rPr>
          <w:rFonts w:hint="eastAsia" w:ascii="宋体" w:hAnsi="宋体" w:cs="宋体"/>
          <w:szCs w:val="21"/>
          <w:u w:val="single"/>
        </w:rPr>
        <w:t xml:space="preserve">               </w:t>
      </w:r>
    </w:p>
    <w:p>
      <w:pPr>
        <w:spacing w:line="360" w:lineRule="auto"/>
        <w:rPr>
          <w:rFonts w:ascii="宋体" w:hAnsi="宋体" w:cs="宋体"/>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outlineLvl w:val="1"/>
        <w:rPr>
          <w:rFonts w:ascii="宋体" w:hAnsi="宋体" w:cs="宋体"/>
          <w:b/>
          <w:sz w:val="32"/>
          <w:szCs w:val="32"/>
        </w:rPr>
      </w:pPr>
      <w:r>
        <w:rPr>
          <w:rFonts w:hint="eastAsia" w:ascii="宋体" w:hAnsi="宋体" w:cs="宋体"/>
          <w:b/>
          <w:sz w:val="32"/>
          <w:szCs w:val="32"/>
        </w:rPr>
        <w:br w:type="page"/>
      </w:r>
      <w:bookmarkStart w:id="193" w:name="_Toc28059"/>
      <w:bookmarkStart w:id="194" w:name="_Toc27599"/>
      <w:bookmarkStart w:id="195" w:name="_Toc26804"/>
      <w:r>
        <w:rPr>
          <w:rFonts w:hint="eastAsia" w:ascii="宋体" w:hAnsi="宋体" w:cs="宋体"/>
          <w:b/>
          <w:sz w:val="32"/>
          <w:szCs w:val="32"/>
        </w:rPr>
        <w:t>七、分项价格表</w:t>
      </w:r>
      <w:bookmarkEnd w:id="193"/>
      <w:bookmarkEnd w:id="194"/>
      <w:bookmarkEnd w:id="195"/>
    </w:p>
    <w:p>
      <w:pPr>
        <w:spacing w:line="360" w:lineRule="exact"/>
        <w:rPr>
          <w:rFonts w:ascii="宋体" w:hAnsi="宋体" w:cs="宋体"/>
          <w:b/>
        </w:rPr>
      </w:pPr>
    </w:p>
    <w:p>
      <w:pPr>
        <w:spacing w:line="360" w:lineRule="exact"/>
        <w:ind w:firstLine="210" w:firstLineChars="100"/>
        <w:jc w:val="left"/>
        <w:rPr>
          <w:rFonts w:ascii="宋体" w:hAnsi="宋体" w:cs="宋体"/>
        </w:rPr>
      </w:pPr>
      <w:r>
        <w:rPr>
          <w:rFonts w:hint="eastAsia" w:ascii="宋体" w:hAnsi="宋体" w:cs="宋体"/>
          <w:bCs/>
        </w:rPr>
        <w:t>项目</w:t>
      </w:r>
      <w:r>
        <w:rPr>
          <w:rFonts w:hint="eastAsia" w:ascii="宋体" w:hAnsi="宋体" w:cs="宋体"/>
        </w:rPr>
        <w:t>名称：                                                        金额单位：元</w:t>
      </w:r>
    </w:p>
    <w:tbl>
      <w:tblPr>
        <w:tblStyle w:val="46"/>
        <w:tblpPr w:leftFromText="180" w:rightFromText="180" w:vertAnchor="text" w:horzAnchor="page" w:tblpXSpec="center" w:tblpY="236"/>
        <w:tblOverlap w:val="never"/>
        <w:tblW w:w="983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6"/>
        <w:gridCol w:w="945"/>
        <w:gridCol w:w="560"/>
        <w:gridCol w:w="652"/>
        <w:gridCol w:w="690"/>
        <w:gridCol w:w="2625"/>
        <w:gridCol w:w="510"/>
        <w:gridCol w:w="636"/>
        <w:gridCol w:w="729"/>
        <w:gridCol w:w="843"/>
        <w:gridCol w:w="114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35" w:hRule="atLeast"/>
          <w:jc w:val="center"/>
        </w:trPr>
        <w:tc>
          <w:tcPr>
            <w:tcW w:w="506" w:type="dxa"/>
            <w:vAlign w:val="center"/>
          </w:tcPr>
          <w:p>
            <w:pPr>
              <w:widowControl/>
              <w:jc w:val="center"/>
              <w:rPr>
                <w:rFonts w:ascii="宋体" w:hAnsi="宋体" w:cs="宋体"/>
                <w:b/>
                <w:kern w:val="0"/>
                <w:sz w:val="18"/>
                <w:szCs w:val="18"/>
              </w:rPr>
            </w:pPr>
            <w:r>
              <w:rPr>
                <w:rFonts w:hint="eastAsia" w:ascii="宋体" w:hAnsi="宋体" w:cs="宋体"/>
                <w:b/>
                <w:kern w:val="0"/>
                <w:sz w:val="18"/>
                <w:szCs w:val="18"/>
              </w:rPr>
              <w:t>序号</w:t>
            </w:r>
          </w:p>
        </w:tc>
        <w:tc>
          <w:tcPr>
            <w:tcW w:w="945" w:type="dxa"/>
            <w:tcBorders>
              <w:right w:val="single" w:color="auto" w:sz="4" w:space="0"/>
            </w:tcBorders>
            <w:shd w:val="clear" w:color="auto" w:fill="FFFFFF"/>
            <w:vAlign w:val="center"/>
          </w:tcPr>
          <w:p>
            <w:pPr>
              <w:widowControl/>
              <w:jc w:val="center"/>
              <w:rPr>
                <w:rFonts w:ascii="宋体" w:hAnsi="宋体" w:cs="宋体"/>
                <w:b/>
                <w:kern w:val="0"/>
                <w:sz w:val="18"/>
                <w:szCs w:val="18"/>
              </w:rPr>
            </w:pPr>
            <w:r>
              <w:rPr>
                <w:rFonts w:hint="eastAsia" w:ascii="宋体" w:hAnsi="宋体" w:cs="宋体"/>
                <w:b/>
                <w:kern w:val="0"/>
                <w:sz w:val="18"/>
                <w:szCs w:val="18"/>
              </w:rPr>
              <w:t>物资名称</w:t>
            </w:r>
          </w:p>
        </w:tc>
        <w:tc>
          <w:tcPr>
            <w:tcW w:w="560" w:type="dxa"/>
            <w:tcBorders>
              <w:left w:val="single" w:color="auto" w:sz="4" w:space="0"/>
            </w:tcBorders>
            <w:shd w:val="clear" w:color="auto" w:fill="FFFFFF"/>
            <w:vAlign w:val="center"/>
          </w:tcPr>
          <w:p>
            <w:pPr>
              <w:widowControl/>
              <w:jc w:val="center"/>
              <w:rPr>
                <w:rFonts w:ascii="宋体" w:hAnsi="宋体" w:cs="宋体"/>
                <w:b/>
                <w:kern w:val="0"/>
                <w:sz w:val="18"/>
                <w:szCs w:val="18"/>
              </w:rPr>
            </w:pPr>
            <w:r>
              <w:rPr>
                <w:rFonts w:hint="eastAsia" w:ascii="宋体" w:hAnsi="宋体" w:cs="宋体"/>
                <w:b/>
                <w:kern w:val="0"/>
                <w:sz w:val="18"/>
                <w:szCs w:val="18"/>
              </w:rPr>
              <w:t>规格</w:t>
            </w:r>
          </w:p>
        </w:tc>
        <w:tc>
          <w:tcPr>
            <w:tcW w:w="652" w:type="dxa"/>
            <w:shd w:val="clear" w:color="auto" w:fill="FFFFFF"/>
            <w:vAlign w:val="center"/>
          </w:tcPr>
          <w:p>
            <w:pPr>
              <w:widowControl/>
              <w:jc w:val="center"/>
              <w:rPr>
                <w:rFonts w:ascii="宋体" w:hAnsi="宋体" w:cs="宋体"/>
                <w:b/>
                <w:kern w:val="0"/>
                <w:sz w:val="18"/>
                <w:szCs w:val="18"/>
              </w:rPr>
            </w:pPr>
            <w:r>
              <w:rPr>
                <w:rFonts w:hint="eastAsia" w:ascii="宋体" w:hAnsi="宋体" w:cs="宋体"/>
                <w:b/>
                <w:kern w:val="0"/>
                <w:sz w:val="18"/>
                <w:szCs w:val="18"/>
              </w:rPr>
              <w:t>参考品牌</w:t>
            </w:r>
          </w:p>
        </w:tc>
        <w:tc>
          <w:tcPr>
            <w:tcW w:w="690" w:type="dxa"/>
            <w:tcBorders>
              <w:right w:val="single" w:color="auto" w:sz="4" w:space="0"/>
            </w:tcBorders>
            <w:shd w:val="clear" w:color="auto" w:fill="FFFFFF"/>
            <w:vAlign w:val="center"/>
          </w:tcPr>
          <w:p>
            <w:pPr>
              <w:widowControl/>
              <w:jc w:val="center"/>
              <w:rPr>
                <w:rFonts w:ascii="宋体" w:hAnsi="宋体" w:cs="宋体"/>
                <w:b/>
                <w:kern w:val="0"/>
                <w:sz w:val="18"/>
                <w:szCs w:val="18"/>
              </w:rPr>
            </w:pPr>
            <w:r>
              <w:rPr>
                <w:rFonts w:hint="eastAsia" w:ascii="宋体" w:hAnsi="宋体" w:cs="宋体"/>
                <w:b/>
                <w:kern w:val="0"/>
                <w:sz w:val="18"/>
                <w:szCs w:val="18"/>
              </w:rPr>
              <w:t>型号/</w:t>
            </w:r>
          </w:p>
          <w:p>
            <w:pPr>
              <w:widowControl/>
              <w:jc w:val="center"/>
              <w:rPr>
                <w:rFonts w:ascii="宋体" w:hAnsi="宋体" w:cs="宋体"/>
                <w:b/>
                <w:kern w:val="0"/>
                <w:sz w:val="18"/>
                <w:szCs w:val="18"/>
              </w:rPr>
            </w:pPr>
            <w:r>
              <w:rPr>
                <w:rFonts w:hint="eastAsia" w:ascii="宋体" w:hAnsi="宋体" w:cs="宋体"/>
                <w:b/>
                <w:kern w:val="0"/>
                <w:sz w:val="18"/>
                <w:szCs w:val="18"/>
              </w:rPr>
              <w:t>货号</w:t>
            </w:r>
          </w:p>
        </w:tc>
        <w:tc>
          <w:tcPr>
            <w:tcW w:w="2625" w:type="dxa"/>
            <w:tcBorders>
              <w:left w:val="single" w:color="auto" w:sz="4" w:space="0"/>
              <w:right w:val="single" w:color="auto" w:sz="4" w:space="0"/>
            </w:tcBorders>
            <w:shd w:val="clear" w:color="auto" w:fill="FFFFFF"/>
            <w:vAlign w:val="center"/>
          </w:tcPr>
          <w:p>
            <w:pPr>
              <w:widowControl/>
              <w:jc w:val="center"/>
              <w:rPr>
                <w:rFonts w:ascii="宋体" w:hAnsi="宋体" w:cs="宋体"/>
                <w:b/>
                <w:kern w:val="0"/>
                <w:sz w:val="18"/>
                <w:szCs w:val="18"/>
              </w:rPr>
            </w:pPr>
            <w:r>
              <w:rPr>
                <w:rFonts w:hint="eastAsia" w:ascii="宋体" w:hAnsi="宋体" w:cs="宋体"/>
                <w:b/>
                <w:kern w:val="0"/>
                <w:sz w:val="18"/>
                <w:szCs w:val="18"/>
              </w:rPr>
              <w:t>详细参数</w:t>
            </w:r>
          </w:p>
        </w:tc>
        <w:tc>
          <w:tcPr>
            <w:tcW w:w="510" w:type="dxa"/>
            <w:tcBorders>
              <w:left w:val="single" w:color="auto" w:sz="4" w:space="0"/>
            </w:tcBorders>
            <w:shd w:val="clear" w:color="auto" w:fill="FFFFFF"/>
            <w:vAlign w:val="center"/>
          </w:tcPr>
          <w:p>
            <w:pPr>
              <w:widowControl/>
              <w:jc w:val="center"/>
              <w:rPr>
                <w:rFonts w:ascii="宋体" w:hAnsi="宋体" w:cs="宋体"/>
                <w:b/>
                <w:kern w:val="0"/>
                <w:sz w:val="18"/>
                <w:szCs w:val="18"/>
              </w:rPr>
            </w:pPr>
            <w:r>
              <w:rPr>
                <w:rFonts w:hint="eastAsia" w:ascii="宋体" w:hAnsi="宋体" w:cs="宋体"/>
                <w:b/>
                <w:kern w:val="0"/>
                <w:sz w:val="18"/>
                <w:szCs w:val="18"/>
              </w:rPr>
              <w:t>单位</w:t>
            </w:r>
          </w:p>
        </w:tc>
        <w:tc>
          <w:tcPr>
            <w:tcW w:w="636" w:type="dxa"/>
            <w:shd w:val="clear" w:color="auto" w:fill="FFFFFF"/>
            <w:vAlign w:val="center"/>
          </w:tcPr>
          <w:p>
            <w:pPr>
              <w:widowControl/>
              <w:jc w:val="center"/>
              <w:rPr>
                <w:rFonts w:ascii="宋体" w:hAnsi="宋体" w:cs="宋体"/>
                <w:b/>
                <w:kern w:val="0"/>
                <w:sz w:val="18"/>
                <w:szCs w:val="18"/>
              </w:rPr>
            </w:pPr>
            <w:r>
              <w:rPr>
                <w:rFonts w:hint="eastAsia" w:ascii="宋体" w:hAnsi="宋体" w:cs="宋体"/>
                <w:b/>
                <w:kern w:val="0"/>
                <w:sz w:val="18"/>
                <w:szCs w:val="18"/>
              </w:rPr>
              <w:t>需求</w:t>
            </w:r>
          </w:p>
          <w:p>
            <w:pPr>
              <w:widowControl/>
              <w:jc w:val="center"/>
              <w:rPr>
                <w:rFonts w:ascii="宋体" w:hAnsi="宋体" w:cs="宋体"/>
                <w:b/>
                <w:kern w:val="0"/>
                <w:sz w:val="18"/>
                <w:szCs w:val="18"/>
              </w:rPr>
            </w:pPr>
            <w:r>
              <w:rPr>
                <w:rFonts w:hint="eastAsia" w:ascii="宋体" w:hAnsi="宋体" w:cs="宋体"/>
                <w:b/>
                <w:kern w:val="0"/>
                <w:sz w:val="18"/>
                <w:szCs w:val="18"/>
              </w:rPr>
              <w:t>数量</w:t>
            </w:r>
          </w:p>
        </w:tc>
        <w:tc>
          <w:tcPr>
            <w:tcW w:w="729" w:type="dxa"/>
            <w:tcBorders>
              <w:right w:val="single" w:color="auto" w:sz="4" w:space="0"/>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单价（元）</w:t>
            </w:r>
          </w:p>
        </w:tc>
        <w:tc>
          <w:tcPr>
            <w:tcW w:w="843" w:type="dxa"/>
            <w:tcBorders>
              <w:left w:val="single" w:color="auto" w:sz="4" w:space="0"/>
              <w:right w:val="single" w:color="auto" w:sz="4" w:space="0"/>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合价（元）</w:t>
            </w:r>
          </w:p>
        </w:tc>
        <w:tc>
          <w:tcPr>
            <w:tcW w:w="1143" w:type="dxa"/>
            <w:tcBorders>
              <w:left w:val="single" w:color="auto" w:sz="4" w:space="0"/>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jc w:val="center"/>
        </w:trPr>
        <w:tc>
          <w:tcPr>
            <w:tcW w:w="506" w:type="dxa"/>
            <w:shd w:val="clear" w:color="auto" w:fill="auto"/>
            <w:vAlign w:val="center"/>
          </w:tcPr>
          <w:p>
            <w:pPr>
              <w:jc w:val="center"/>
              <w:rPr>
                <w:rFonts w:ascii="宋体" w:hAnsi="宋体" w:cs="宋体"/>
                <w:szCs w:val="21"/>
              </w:rPr>
            </w:pPr>
            <w:r>
              <w:rPr>
                <w:rFonts w:hint="eastAsia" w:ascii="宋体" w:hAnsi="宋体" w:cs="宋体"/>
                <w:sz w:val="18"/>
                <w:szCs w:val="18"/>
              </w:rPr>
              <w:t>1</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司机操纵台</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2500mm×665mm×1050mm</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numPr>
                <w:ilvl w:val="0"/>
                <w:numId w:val="4"/>
              </w:numPr>
              <w:jc w:val="left"/>
              <w:rPr>
                <w:rFonts w:ascii="宋体" w:hAnsi="宋体" w:cs="宋体"/>
                <w:kern w:val="0"/>
                <w:sz w:val="18"/>
                <w:szCs w:val="18"/>
              </w:rPr>
            </w:pPr>
            <w:r>
              <w:rPr>
                <w:rFonts w:hint="eastAsia" w:ascii="宋体" w:hAnsi="宋体" w:cs="宋体"/>
                <w:kern w:val="0"/>
                <w:sz w:val="18"/>
                <w:szCs w:val="18"/>
              </w:rPr>
              <w:t>钢结构。</w:t>
            </w:r>
          </w:p>
          <w:p>
            <w:pPr>
              <w:widowControl/>
              <w:numPr>
                <w:ilvl w:val="0"/>
                <w:numId w:val="4"/>
              </w:numPr>
              <w:jc w:val="left"/>
              <w:rPr>
                <w:rFonts w:ascii="宋体" w:hAnsi="宋体" w:cs="宋体"/>
                <w:szCs w:val="21"/>
              </w:rPr>
            </w:pPr>
            <w:r>
              <w:rPr>
                <w:rFonts w:hint="eastAsia" w:ascii="宋体" w:hAnsi="宋体" w:cs="宋体"/>
                <w:kern w:val="0"/>
                <w:sz w:val="18"/>
                <w:szCs w:val="18"/>
              </w:rPr>
              <w:t>主要操作设备包括司机控制器、开关门按钮及指示灯、列车模式开关、紧急按钮、停放制动按钮、通讯设备、升降弓按钮、HMI设备、ATC设备和双针风表等，与实际列车上的对应设备具有相同的功能和控制逻辑。</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台</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729" w:type="dxa"/>
            <w:tcBorders>
              <w:right w:val="single" w:color="auto" w:sz="4" w:space="0"/>
            </w:tcBorders>
            <w:vAlign w:val="center"/>
          </w:tcPr>
          <w:p>
            <w:pPr>
              <w:adjustRightInd w:val="0"/>
              <w:snapToGrid w:val="0"/>
              <w:spacing w:line="360" w:lineRule="auto"/>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143" w:type="dxa"/>
            <w:tcBorders>
              <w:left w:val="single" w:color="auto" w:sz="4" w:space="0"/>
            </w:tcBorders>
            <w:vAlign w:val="center"/>
          </w:tcPr>
          <w:p>
            <w:pPr>
              <w:adjustRightInd w:val="0"/>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jc w:val="center"/>
        </w:trPr>
        <w:tc>
          <w:tcPr>
            <w:tcW w:w="506" w:type="dxa"/>
            <w:shd w:val="clear" w:color="auto" w:fill="auto"/>
            <w:vAlign w:val="center"/>
          </w:tcPr>
          <w:p>
            <w:pPr>
              <w:jc w:val="center"/>
              <w:rPr>
                <w:rFonts w:ascii="宋体" w:hAnsi="宋体" w:cs="宋体"/>
                <w:szCs w:val="21"/>
              </w:rPr>
            </w:pPr>
            <w:r>
              <w:rPr>
                <w:rFonts w:hint="eastAsia" w:ascii="宋体" w:hAnsi="宋体" w:cs="宋体"/>
                <w:sz w:val="18"/>
                <w:szCs w:val="18"/>
              </w:rPr>
              <w:t>2</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行调控制台</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包括控制台台体、控制台终端、触摸屏、控制台座椅（不锈钢仿皮质座椅）、电话、无线网卡、显示器等。</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729" w:type="dxa"/>
            <w:tcBorders>
              <w:right w:val="single" w:color="auto" w:sz="4" w:space="0"/>
            </w:tcBorders>
            <w:vAlign w:val="center"/>
          </w:tcPr>
          <w:p>
            <w:pPr>
              <w:adjustRightInd w:val="0"/>
              <w:snapToGrid w:val="0"/>
              <w:spacing w:line="360" w:lineRule="auto"/>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143" w:type="dxa"/>
            <w:tcBorders>
              <w:left w:val="single" w:color="auto" w:sz="4" w:space="0"/>
            </w:tcBorders>
            <w:vAlign w:val="center"/>
          </w:tcPr>
          <w:p>
            <w:pPr>
              <w:adjustRightInd w:val="0"/>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1" w:hRule="atLeast"/>
          <w:jc w:val="center"/>
        </w:trPr>
        <w:tc>
          <w:tcPr>
            <w:tcW w:w="506" w:type="dxa"/>
            <w:shd w:val="clear" w:color="auto" w:fill="auto"/>
            <w:vAlign w:val="center"/>
          </w:tcPr>
          <w:p>
            <w:pPr>
              <w:jc w:val="center"/>
              <w:rPr>
                <w:rFonts w:ascii="宋体" w:hAnsi="宋体" w:cs="宋体"/>
                <w:szCs w:val="21"/>
              </w:rPr>
            </w:pPr>
            <w:r>
              <w:rPr>
                <w:rFonts w:hint="eastAsia" w:ascii="宋体" w:hAnsi="宋体" w:cs="宋体"/>
                <w:sz w:val="18"/>
                <w:szCs w:val="18"/>
              </w:rPr>
              <w:t>3</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车站值班员控制台</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包括控制台台体、控制台终端、触摸屏、控制台座椅（不锈钢仿皮质座椅）、无线网卡、显示器等。</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729" w:type="dxa"/>
            <w:tcBorders>
              <w:right w:val="single" w:color="auto" w:sz="4" w:space="0"/>
            </w:tcBorders>
            <w:vAlign w:val="center"/>
          </w:tcPr>
          <w:p>
            <w:pPr>
              <w:adjustRightInd w:val="0"/>
              <w:snapToGrid w:val="0"/>
              <w:spacing w:line="360" w:lineRule="auto"/>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143" w:type="dxa"/>
            <w:tcBorders>
              <w:left w:val="single" w:color="auto" w:sz="4" w:space="0"/>
            </w:tcBorders>
            <w:vAlign w:val="center"/>
          </w:tcPr>
          <w:p>
            <w:pPr>
              <w:adjustRightInd w:val="0"/>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506" w:type="dxa"/>
            <w:shd w:val="clear" w:color="auto" w:fill="auto"/>
            <w:vAlign w:val="center"/>
          </w:tcPr>
          <w:p>
            <w:pPr>
              <w:jc w:val="center"/>
              <w:rPr>
                <w:rFonts w:ascii="宋体" w:hAnsi="宋体" w:cs="宋体"/>
                <w:szCs w:val="21"/>
              </w:rPr>
            </w:pPr>
            <w:r>
              <w:rPr>
                <w:rFonts w:hint="eastAsia" w:ascii="宋体" w:hAnsi="宋体" w:cs="宋体"/>
                <w:sz w:val="18"/>
                <w:szCs w:val="18"/>
              </w:rPr>
              <w:t>4</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前向视景显示器</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≧60英寸</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大屏显示器，不少于60英寸。</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729" w:type="dxa"/>
            <w:tcBorders>
              <w:right w:val="single" w:color="auto" w:sz="4" w:space="0"/>
            </w:tcBorders>
            <w:vAlign w:val="center"/>
          </w:tcPr>
          <w:p>
            <w:pPr>
              <w:adjustRightInd w:val="0"/>
              <w:snapToGrid w:val="0"/>
              <w:spacing w:line="360" w:lineRule="auto"/>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p>
        </w:tc>
        <w:tc>
          <w:tcPr>
            <w:tcW w:w="1143" w:type="dxa"/>
            <w:tcBorders>
              <w:left w:val="single" w:color="auto" w:sz="4" w:space="0"/>
            </w:tcBorders>
            <w:vAlign w:val="center"/>
          </w:tcPr>
          <w:p>
            <w:pPr>
              <w:adjustRightInd w:val="0"/>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szCs w:val="21"/>
              </w:rPr>
            </w:pPr>
            <w:r>
              <w:rPr>
                <w:rFonts w:hint="eastAsia" w:ascii="宋体" w:hAnsi="宋体" w:cs="宋体"/>
                <w:sz w:val="18"/>
                <w:szCs w:val="18"/>
              </w:rPr>
              <w:t>5</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前向视景显示终端</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终端采用定制工控机。</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729" w:type="dxa"/>
            <w:tcBorders>
              <w:right w:val="single" w:color="auto" w:sz="4" w:space="0"/>
            </w:tcBorders>
            <w:vAlign w:val="center"/>
          </w:tcPr>
          <w:p>
            <w:pPr>
              <w:adjustRightInd w:val="0"/>
              <w:snapToGrid w:val="0"/>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jc w:val="center"/>
              <w:rPr>
                <w:rFonts w:ascii="宋体" w:hAnsi="宋体" w:cs="宋体"/>
                <w:szCs w:val="21"/>
              </w:rPr>
            </w:pPr>
          </w:p>
        </w:tc>
        <w:tc>
          <w:tcPr>
            <w:tcW w:w="1143" w:type="dxa"/>
            <w:tcBorders>
              <w:left w:val="single" w:color="auto" w:sz="4" w:space="0"/>
            </w:tcBorders>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6</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高速数据采集控制系统</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numPr>
                <w:ilvl w:val="0"/>
                <w:numId w:val="5"/>
              </w:numPr>
              <w:jc w:val="left"/>
              <w:rPr>
                <w:rFonts w:ascii="宋体" w:hAnsi="宋体" w:cs="宋体"/>
                <w:kern w:val="0"/>
                <w:sz w:val="18"/>
                <w:szCs w:val="18"/>
              </w:rPr>
            </w:pPr>
            <w:r>
              <w:rPr>
                <w:rFonts w:hint="eastAsia" w:ascii="宋体" w:hAnsi="宋体" w:cs="宋体"/>
                <w:kern w:val="0"/>
                <w:sz w:val="18"/>
                <w:szCs w:val="18"/>
              </w:rPr>
              <w:t>内置微机测控及通讯系统,可实现数据采集及输出以及通讯功能。</w:t>
            </w:r>
          </w:p>
          <w:p>
            <w:pPr>
              <w:widowControl/>
              <w:numPr>
                <w:ilvl w:val="0"/>
                <w:numId w:val="5"/>
              </w:numPr>
              <w:jc w:val="left"/>
              <w:rPr>
                <w:rFonts w:ascii="宋体" w:hAnsi="宋体" w:cs="宋体"/>
                <w:kern w:val="0"/>
                <w:sz w:val="18"/>
                <w:szCs w:val="18"/>
              </w:rPr>
            </w:pPr>
            <w:r>
              <w:rPr>
                <w:rFonts w:hint="eastAsia" w:ascii="宋体" w:hAnsi="宋体" w:cs="宋体"/>
                <w:kern w:val="0"/>
                <w:sz w:val="18"/>
                <w:szCs w:val="18"/>
              </w:rPr>
              <w:t>PLC采集与控制，标准型 CPU 模块，继电器输出，220V AC供电，有输入输出。3.扩展模块EM：数字量输入模块</w:t>
            </w:r>
          </w:p>
          <w:p>
            <w:pPr>
              <w:widowControl/>
              <w:jc w:val="left"/>
              <w:rPr>
                <w:rFonts w:ascii="宋体" w:hAnsi="宋体" w:cs="宋体"/>
                <w:szCs w:val="21"/>
              </w:rPr>
            </w:pPr>
            <w:r>
              <w:rPr>
                <w:rFonts w:hint="eastAsia" w:ascii="宋体" w:hAnsi="宋体" w:cs="宋体"/>
                <w:kern w:val="0"/>
                <w:sz w:val="18"/>
                <w:szCs w:val="18"/>
              </w:rPr>
              <w:t>4.信号板SB：通信信号板。</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729" w:type="dxa"/>
            <w:tcBorders>
              <w:right w:val="single" w:color="auto" w:sz="4" w:space="0"/>
            </w:tcBorders>
            <w:vAlign w:val="center"/>
          </w:tcPr>
          <w:p>
            <w:pPr>
              <w:adjustRightInd w:val="0"/>
              <w:snapToGrid w:val="0"/>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jc w:val="center"/>
              <w:rPr>
                <w:rFonts w:ascii="宋体" w:hAnsi="宋体" w:cs="宋体"/>
                <w:szCs w:val="21"/>
              </w:rPr>
            </w:pPr>
          </w:p>
        </w:tc>
        <w:tc>
          <w:tcPr>
            <w:tcW w:w="1143" w:type="dxa"/>
            <w:tcBorders>
              <w:left w:val="single" w:color="auto" w:sz="4" w:space="0"/>
            </w:tcBorders>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7</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安全门就地控制盒</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numPr>
                <w:ilvl w:val="0"/>
                <w:numId w:val="6"/>
              </w:numPr>
              <w:jc w:val="left"/>
              <w:rPr>
                <w:rFonts w:ascii="宋体" w:hAnsi="宋体" w:cs="宋体"/>
                <w:kern w:val="0"/>
                <w:sz w:val="18"/>
                <w:szCs w:val="18"/>
              </w:rPr>
            </w:pPr>
            <w:r>
              <w:rPr>
                <w:rFonts w:hint="eastAsia" w:ascii="宋体" w:hAnsi="宋体" w:cs="宋体"/>
                <w:kern w:val="0"/>
                <w:sz w:val="18"/>
                <w:szCs w:val="18"/>
              </w:rPr>
              <w:t>司机操纵台左右两侧各一套</w:t>
            </w:r>
          </w:p>
          <w:p>
            <w:pPr>
              <w:widowControl/>
              <w:numPr>
                <w:ilvl w:val="0"/>
                <w:numId w:val="6"/>
              </w:numPr>
              <w:jc w:val="left"/>
              <w:rPr>
                <w:rFonts w:ascii="宋体" w:hAnsi="宋体" w:cs="宋体"/>
                <w:szCs w:val="21"/>
              </w:rPr>
            </w:pPr>
            <w:r>
              <w:rPr>
                <w:rFonts w:hint="eastAsia" w:ascii="宋体" w:hAnsi="宋体" w:cs="宋体"/>
                <w:kern w:val="0"/>
                <w:sz w:val="18"/>
                <w:szCs w:val="18"/>
              </w:rPr>
              <w:t>盘面包括指示灯（包括PSL允许、ASD开、互锁解除、门全关且锁紧等显示）、钥匙开关（包括PSL允许、互锁解除；按钮：开门、关门、灯测试等功能）</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2</w:t>
            </w:r>
          </w:p>
        </w:tc>
        <w:tc>
          <w:tcPr>
            <w:tcW w:w="729" w:type="dxa"/>
            <w:tcBorders>
              <w:right w:val="single" w:color="auto" w:sz="4" w:space="0"/>
            </w:tcBorders>
            <w:vAlign w:val="center"/>
          </w:tcPr>
          <w:p>
            <w:pPr>
              <w:adjustRightInd w:val="0"/>
              <w:snapToGrid w:val="0"/>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jc w:val="center"/>
              <w:rPr>
                <w:rFonts w:ascii="宋体" w:hAnsi="宋体" w:cs="宋体"/>
                <w:szCs w:val="21"/>
              </w:rPr>
            </w:pPr>
          </w:p>
        </w:tc>
        <w:tc>
          <w:tcPr>
            <w:tcW w:w="1143" w:type="dxa"/>
            <w:tcBorders>
              <w:left w:val="single" w:color="auto" w:sz="4" w:space="0"/>
            </w:tcBorders>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8</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司机座椅</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专业司机座椅，可调高度、靠背位置，面料材质真皮、皮革、绒布，填充物高回弹冷发泡海棉。</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729" w:type="dxa"/>
            <w:tcBorders>
              <w:right w:val="single" w:color="auto" w:sz="4" w:space="0"/>
            </w:tcBorders>
            <w:vAlign w:val="center"/>
          </w:tcPr>
          <w:p>
            <w:pPr>
              <w:adjustRightInd w:val="0"/>
              <w:snapToGrid w:val="0"/>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jc w:val="center"/>
              <w:rPr>
                <w:rFonts w:ascii="宋体" w:hAnsi="宋体" w:cs="宋体"/>
                <w:szCs w:val="21"/>
              </w:rPr>
            </w:pPr>
          </w:p>
        </w:tc>
        <w:tc>
          <w:tcPr>
            <w:tcW w:w="1143" w:type="dxa"/>
            <w:tcBorders>
              <w:left w:val="single" w:color="auto" w:sz="4" w:space="0"/>
            </w:tcBorders>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9</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电气屏柜模拟台</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620mm×450mm×1170mm</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numPr>
                <w:ilvl w:val="0"/>
                <w:numId w:val="7"/>
              </w:numPr>
              <w:jc w:val="left"/>
              <w:rPr>
                <w:rFonts w:ascii="宋体" w:hAnsi="宋体" w:cs="宋体"/>
                <w:kern w:val="0"/>
                <w:sz w:val="18"/>
                <w:szCs w:val="18"/>
              </w:rPr>
            </w:pPr>
            <w:r>
              <w:rPr>
                <w:rFonts w:hint="eastAsia" w:ascii="宋体" w:hAnsi="宋体" w:cs="宋体"/>
                <w:kern w:val="0"/>
                <w:sz w:val="18"/>
                <w:szCs w:val="18"/>
              </w:rPr>
              <w:t>采用一体式控制台，钢结构，内置定制工控机及21.5英寸显示系统，</w:t>
            </w:r>
          </w:p>
          <w:p>
            <w:pPr>
              <w:widowControl/>
              <w:numPr>
                <w:ilvl w:val="0"/>
                <w:numId w:val="7"/>
              </w:numPr>
              <w:jc w:val="left"/>
              <w:rPr>
                <w:rFonts w:ascii="宋体" w:hAnsi="宋体" w:cs="宋体"/>
                <w:szCs w:val="21"/>
              </w:rPr>
            </w:pPr>
            <w:r>
              <w:rPr>
                <w:rFonts w:hint="eastAsia" w:ascii="宋体" w:hAnsi="宋体" w:cs="宋体"/>
                <w:kern w:val="0"/>
                <w:sz w:val="18"/>
                <w:szCs w:val="18"/>
              </w:rPr>
              <w:t>分视图显示区及鼠标键盘操作区两部分组成，安装有三维数字化虚拟列车软件。</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729" w:type="dxa"/>
            <w:tcBorders>
              <w:right w:val="single" w:color="auto" w:sz="4" w:space="0"/>
            </w:tcBorders>
            <w:vAlign w:val="center"/>
          </w:tcPr>
          <w:p>
            <w:pPr>
              <w:adjustRightInd w:val="0"/>
              <w:snapToGrid w:val="0"/>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jc w:val="center"/>
              <w:rPr>
                <w:rFonts w:ascii="宋体" w:hAnsi="宋体" w:cs="宋体"/>
                <w:szCs w:val="21"/>
              </w:rPr>
            </w:pPr>
          </w:p>
        </w:tc>
        <w:tc>
          <w:tcPr>
            <w:tcW w:w="1143" w:type="dxa"/>
            <w:tcBorders>
              <w:left w:val="single" w:color="auto" w:sz="4" w:space="0"/>
            </w:tcBorders>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10</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控制台座椅</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不锈钢仿皮质座椅 弓形椅，具有抗氧化性高、提高耐磨性、抗腐蚀性、美观坚固，人工工程学靠背，完美腰部撑托，腰椎舒缓解释放压力。</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个</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2</w:t>
            </w:r>
          </w:p>
        </w:tc>
        <w:tc>
          <w:tcPr>
            <w:tcW w:w="729" w:type="dxa"/>
            <w:tcBorders>
              <w:right w:val="single" w:color="auto" w:sz="4" w:space="0"/>
            </w:tcBorders>
            <w:vAlign w:val="center"/>
          </w:tcPr>
          <w:p>
            <w:pPr>
              <w:adjustRightInd w:val="0"/>
              <w:snapToGrid w:val="0"/>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jc w:val="center"/>
              <w:rPr>
                <w:rFonts w:ascii="宋体" w:hAnsi="宋体" w:cs="宋体"/>
                <w:szCs w:val="21"/>
              </w:rPr>
            </w:pPr>
          </w:p>
        </w:tc>
        <w:tc>
          <w:tcPr>
            <w:tcW w:w="1143" w:type="dxa"/>
            <w:tcBorders>
              <w:left w:val="single" w:color="auto" w:sz="4" w:space="0"/>
            </w:tcBorders>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11</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侧窗显示器</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32英寸</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显示器能满足系统性能要求，能清晰展示列车侧面情况。</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2</w:t>
            </w:r>
          </w:p>
        </w:tc>
        <w:tc>
          <w:tcPr>
            <w:tcW w:w="729" w:type="dxa"/>
            <w:tcBorders>
              <w:right w:val="single" w:color="auto" w:sz="4" w:space="0"/>
            </w:tcBorders>
            <w:vAlign w:val="center"/>
          </w:tcPr>
          <w:p>
            <w:pPr>
              <w:adjustRightInd w:val="0"/>
              <w:snapToGrid w:val="0"/>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jc w:val="center"/>
              <w:rPr>
                <w:rFonts w:ascii="宋体" w:hAnsi="宋体" w:cs="宋体"/>
                <w:szCs w:val="21"/>
              </w:rPr>
            </w:pPr>
          </w:p>
        </w:tc>
        <w:tc>
          <w:tcPr>
            <w:tcW w:w="1143" w:type="dxa"/>
            <w:tcBorders>
              <w:left w:val="single" w:color="auto" w:sz="4" w:space="0"/>
            </w:tcBorders>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12</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侧窗显示终端</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终端采用定制工控机，主要用于侧窗视景加载，给左右侧窗视景提供信号源。</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729" w:type="dxa"/>
            <w:tcBorders>
              <w:right w:val="single" w:color="auto" w:sz="4" w:space="0"/>
            </w:tcBorders>
            <w:vAlign w:val="center"/>
          </w:tcPr>
          <w:p>
            <w:pPr>
              <w:adjustRightInd w:val="0"/>
              <w:snapToGrid w:val="0"/>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jc w:val="center"/>
              <w:rPr>
                <w:rFonts w:ascii="宋体" w:hAnsi="宋体" w:cs="宋体"/>
                <w:szCs w:val="21"/>
              </w:rPr>
            </w:pPr>
          </w:p>
        </w:tc>
        <w:tc>
          <w:tcPr>
            <w:tcW w:w="1143" w:type="dxa"/>
            <w:tcBorders>
              <w:left w:val="single" w:color="auto" w:sz="4" w:space="0"/>
            </w:tcBorders>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13</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电话机</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黑色，手柄按键一体化设计，使用更方便，各项指标均符合国家认证标准，使用更放心。</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个</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3</w:t>
            </w:r>
          </w:p>
        </w:tc>
        <w:tc>
          <w:tcPr>
            <w:tcW w:w="729" w:type="dxa"/>
            <w:tcBorders>
              <w:right w:val="single" w:color="auto" w:sz="4" w:space="0"/>
            </w:tcBorders>
            <w:vAlign w:val="center"/>
          </w:tcPr>
          <w:p>
            <w:pPr>
              <w:adjustRightInd w:val="0"/>
              <w:snapToGrid w:val="0"/>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jc w:val="center"/>
              <w:rPr>
                <w:rFonts w:ascii="宋体" w:hAnsi="宋体" w:cs="宋体"/>
                <w:szCs w:val="21"/>
              </w:rPr>
            </w:pPr>
          </w:p>
        </w:tc>
        <w:tc>
          <w:tcPr>
            <w:tcW w:w="1143" w:type="dxa"/>
            <w:tcBorders>
              <w:left w:val="single" w:color="auto" w:sz="4" w:space="0"/>
            </w:tcBorders>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14</w:t>
            </w:r>
          </w:p>
        </w:tc>
        <w:tc>
          <w:tcPr>
            <w:tcW w:w="945"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网络交换机</w:t>
            </w:r>
          </w:p>
        </w:tc>
        <w:tc>
          <w:tcPr>
            <w:tcW w:w="56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8口</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千兆以太网交换机</w:t>
            </w:r>
          </w:p>
        </w:tc>
        <w:tc>
          <w:tcPr>
            <w:tcW w:w="510" w:type="dxa"/>
            <w:tcBorders>
              <w:lef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729" w:type="dxa"/>
            <w:tcBorders>
              <w:right w:val="single" w:color="auto" w:sz="4" w:space="0"/>
            </w:tcBorders>
            <w:vAlign w:val="center"/>
          </w:tcPr>
          <w:p>
            <w:pPr>
              <w:adjustRightInd w:val="0"/>
              <w:snapToGrid w:val="0"/>
              <w:jc w:val="center"/>
              <w:rPr>
                <w:rFonts w:ascii="宋体" w:hAnsi="宋体" w:cs="宋体"/>
                <w:szCs w:val="21"/>
              </w:rPr>
            </w:pPr>
          </w:p>
        </w:tc>
        <w:tc>
          <w:tcPr>
            <w:tcW w:w="843" w:type="dxa"/>
            <w:tcBorders>
              <w:left w:val="single" w:color="auto" w:sz="4" w:space="0"/>
              <w:right w:val="single" w:color="auto" w:sz="4" w:space="0"/>
            </w:tcBorders>
            <w:vAlign w:val="center"/>
          </w:tcPr>
          <w:p>
            <w:pPr>
              <w:adjustRightInd w:val="0"/>
              <w:snapToGrid w:val="0"/>
              <w:jc w:val="center"/>
              <w:rPr>
                <w:rFonts w:ascii="宋体" w:hAnsi="宋体" w:cs="宋体"/>
                <w:szCs w:val="21"/>
              </w:rPr>
            </w:pPr>
          </w:p>
        </w:tc>
        <w:tc>
          <w:tcPr>
            <w:tcW w:w="1143" w:type="dxa"/>
            <w:tcBorders>
              <w:left w:val="single" w:color="auto" w:sz="4" w:space="0"/>
            </w:tcBorders>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15</w:t>
            </w:r>
          </w:p>
        </w:tc>
        <w:tc>
          <w:tcPr>
            <w:tcW w:w="945"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无线路由器</w:t>
            </w:r>
          </w:p>
        </w:tc>
        <w:tc>
          <w:tcPr>
            <w:tcW w:w="560" w:type="dxa"/>
            <w:shd w:val="clear" w:color="auto" w:fill="auto"/>
            <w:vAlign w:val="center"/>
          </w:tcPr>
          <w:p>
            <w:pPr>
              <w:widowControl/>
              <w:jc w:val="center"/>
              <w:rPr>
                <w:rFonts w:ascii="宋体" w:hAnsi="宋体" w:cs="宋体"/>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企业VPN路由器，WAN口数量2个；LAN口数量3个，支持Qos限速功能，支持无线桥接，天线可拆卸，11N无线技术，无线传输速率高达300Mbps。</w:t>
            </w:r>
          </w:p>
        </w:tc>
        <w:tc>
          <w:tcPr>
            <w:tcW w:w="510" w:type="dxa"/>
            <w:tcBorders>
              <w:left w:val="single" w:color="auto" w:sz="4" w:space="0"/>
            </w:tcBorders>
            <w:shd w:val="clear" w:color="auto" w:fill="auto"/>
            <w:vAlign w:val="center"/>
          </w:tcPr>
          <w:p>
            <w:pPr>
              <w:widowControl/>
              <w:jc w:val="center"/>
              <w:rPr>
                <w:rFonts w:ascii="宋体" w:hAnsi="宋体" w:cs="宋体"/>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2715" w:type="dxa"/>
            <w:gridSpan w:val="3"/>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16</w:t>
            </w:r>
          </w:p>
        </w:tc>
        <w:tc>
          <w:tcPr>
            <w:tcW w:w="945"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USB无线网卡</w:t>
            </w:r>
          </w:p>
        </w:tc>
        <w:tc>
          <w:tcPr>
            <w:tcW w:w="560" w:type="dxa"/>
            <w:shd w:val="clear" w:color="auto" w:fill="auto"/>
            <w:vAlign w:val="center"/>
          </w:tcPr>
          <w:p>
            <w:pPr>
              <w:widowControl/>
              <w:jc w:val="center"/>
              <w:rPr>
                <w:rFonts w:ascii="宋体" w:hAnsi="宋体" w:cs="宋体"/>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网络标准：IEEE 802.11ac，IEEE 802.11n，IEEE 802.11g，IEEE 802.11b，IEEE 802.11a ；传输速率：433Mbps；发射功率：20dBm（最大值）；频率范围：双频（2.4G、5G）；总线接口：USB；内置天线。</w:t>
            </w:r>
          </w:p>
        </w:tc>
        <w:tc>
          <w:tcPr>
            <w:tcW w:w="510" w:type="dxa"/>
            <w:tcBorders>
              <w:left w:val="single" w:color="auto" w:sz="4" w:space="0"/>
            </w:tcBorders>
            <w:shd w:val="clear" w:color="auto" w:fill="auto"/>
            <w:vAlign w:val="center"/>
          </w:tcPr>
          <w:p>
            <w:pPr>
              <w:widowControl/>
              <w:jc w:val="center"/>
              <w:rPr>
                <w:rFonts w:ascii="宋体" w:hAnsi="宋体" w:cs="宋体"/>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4</w:t>
            </w:r>
          </w:p>
        </w:tc>
        <w:tc>
          <w:tcPr>
            <w:tcW w:w="2715" w:type="dxa"/>
            <w:gridSpan w:val="3"/>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17</w:t>
            </w:r>
          </w:p>
        </w:tc>
        <w:tc>
          <w:tcPr>
            <w:tcW w:w="945"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音响设备</w:t>
            </w:r>
          </w:p>
        </w:tc>
        <w:tc>
          <w:tcPr>
            <w:tcW w:w="560" w:type="dxa"/>
            <w:shd w:val="clear" w:color="auto" w:fill="auto"/>
            <w:vAlign w:val="center"/>
          </w:tcPr>
          <w:p>
            <w:pPr>
              <w:widowControl/>
              <w:jc w:val="center"/>
              <w:rPr>
                <w:rFonts w:ascii="宋体" w:hAnsi="宋体" w:cs="宋体"/>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小音箱，2.0声道，信噪比60dB，功率5W，供电方式DC 5V，尺寸70×72×72mm。</w:t>
            </w:r>
          </w:p>
        </w:tc>
        <w:tc>
          <w:tcPr>
            <w:tcW w:w="510" w:type="dxa"/>
            <w:tcBorders>
              <w:left w:val="single" w:color="auto" w:sz="4" w:space="0"/>
            </w:tcBorders>
            <w:shd w:val="clear" w:color="auto" w:fill="auto"/>
            <w:vAlign w:val="center"/>
          </w:tcPr>
          <w:p>
            <w:pPr>
              <w:widowControl/>
              <w:jc w:val="center"/>
              <w:rPr>
                <w:rFonts w:ascii="宋体" w:hAnsi="宋体" w:cs="宋体"/>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3</w:t>
            </w:r>
          </w:p>
        </w:tc>
        <w:tc>
          <w:tcPr>
            <w:tcW w:w="2715" w:type="dxa"/>
            <w:gridSpan w:val="3"/>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18</w:t>
            </w:r>
          </w:p>
        </w:tc>
        <w:tc>
          <w:tcPr>
            <w:tcW w:w="945"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消防设备</w:t>
            </w:r>
          </w:p>
        </w:tc>
        <w:tc>
          <w:tcPr>
            <w:tcW w:w="560" w:type="dxa"/>
            <w:shd w:val="clear" w:color="auto" w:fill="auto"/>
            <w:vAlign w:val="center"/>
          </w:tcPr>
          <w:p>
            <w:pPr>
              <w:widowControl/>
              <w:jc w:val="center"/>
              <w:rPr>
                <w:rFonts w:ascii="宋体" w:hAnsi="宋体" w:cs="宋体"/>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手提式干粉灭火器，2公斤。</w:t>
            </w:r>
          </w:p>
        </w:tc>
        <w:tc>
          <w:tcPr>
            <w:tcW w:w="510" w:type="dxa"/>
            <w:tcBorders>
              <w:left w:val="single" w:color="auto" w:sz="4" w:space="0"/>
            </w:tcBorders>
            <w:shd w:val="clear" w:color="auto" w:fill="auto"/>
            <w:vAlign w:val="center"/>
          </w:tcPr>
          <w:p>
            <w:pPr>
              <w:widowControl/>
              <w:jc w:val="center"/>
              <w:rPr>
                <w:rFonts w:ascii="宋体" w:hAnsi="宋体" w:cs="宋体"/>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2715" w:type="dxa"/>
            <w:gridSpan w:val="3"/>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19</w:t>
            </w:r>
          </w:p>
        </w:tc>
        <w:tc>
          <w:tcPr>
            <w:tcW w:w="945"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模拟驾驶器控制软件</w:t>
            </w:r>
          </w:p>
        </w:tc>
        <w:tc>
          <w:tcPr>
            <w:tcW w:w="560" w:type="dxa"/>
            <w:shd w:val="clear" w:color="auto" w:fill="auto"/>
            <w:vAlign w:val="center"/>
          </w:tcPr>
          <w:p>
            <w:pPr>
              <w:widowControl/>
              <w:jc w:val="center"/>
              <w:rPr>
                <w:rFonts w:ascii="宋体" w:hAnsi="宋体" w:cs="宋体"/>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提供驾驶平台及标准化作业环境。模拟驾驶操作系统的软件包含“分布式仿真服务器”、“Loco Module”、 “动力学仿真”“HMI显示系统”、“CGI”、“声音系统”、“数据采集及输出系统”“仿真数据库”等。各子系统之间通过高性能的千兆以太网连接，从而保证系统间能流畅地协同工作。</w:t>
            </w:r>
          </w:p>
        </w:tc>
        <w:tc>
          <w:tcPr>
            <w:tcW w:w="510" w:type="dxa"/>
            <w:tcBorders>
              <w:left w:val="single" w:color="auto" w:sz="4" w:space="0"/>
            </w:tcBorders>
            <w:shd w:val="clear" w:color="auto" w:fill="auto"/>
            <w:vAlign w:val="center"/>
          </w:tcPr>
          <w:p>
            <w:pPr>
              <w:widowControl/>
              <w:jc w:val="center"/>
              <w:rPr>
                <w:rFonts w:ascii="宋体" w:hAnsi="宋体" w:cs="宋体"/>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2715" w:type="dxa"/>
            <w:gridSpan w:val="3"/>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20</w:t>
            </w:r>
          </w:p>
        </w:tc>
        <w:tc>
          <w:tcPr>
            <w:tcW w:w="945"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考核题库</w:t>
            </w:r>
          </w:p>
        </w:tc>
        <w:tc>
          <w:tcPr>
            <w:tcW w:w="560" w:type="dxa"/>
            <w:shd w:val="clear" w:color="auto" w:fill="auto"/>
            <w:vAlign w:val="center"/>
          </w:tcPr>
          <w:p>
            <w:pPr>
              <w:widowControl/>
              <w:jc w:val="center"/>
              <w:rPr>
                <w:rFonts w:ascii="宋体" w:hAnsi="宋体" w:cs="宋体"/>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kern w:val="0"/>
                <w:sz w:val="18"/>
                <w:szCs w:val="18"/>
              </w:rPr>
              <w:t>主要可用于列车运行前的整备检查，包括走行部检查、司机室检查、客室检查、动车试验等，同时满足司机在列车运行时出现故障，可以通过此系统进行故障处理和解决。该系统满足在全三维数字化全真虚拟列车内进行故障的处理演练，并能满足列车在线路场景中进行突发非正常状况的处理演练。学员在试题的训练过程中，每套试题都预先设置有故障，列车运行到相应地点，故障即会被触发，视景系统能即时做出响应，学员可通过故障处理机对故障进行处理。具体内容包含：标准化作业：驾驶技能、出乘前检查、出入库作业、区间运行、上下客监护、不同模式驾驶、折返及交接班作业；故障处理：制动系统故障、牵引系统故障、辅助系统故障、车门故障；应急处置：区间火灾、区间无电、异物侵限。</w:t>
            </w:r>
          </w:p>
        </w:tc>
        <w:tc>
          <w:tcPr>
            <w:tcW w:w="510" w:type="dxa"/>
            <w:tcBorders>
              <w:left w:val="single" w:color="auto" w:sz="4" w:space="0"/>
            </w:tcBorders>
            <w:shd w:val="clear" w:color="auto" w:fill="auto"/>
            <w:vAlign w:val="center"/>
          </w:tcPr>
          <w:p>
            <w:pPr>
              <w:widowControl/>
              <w:jc w:val="center"/>
              <w:rPr>
                <w:rFonts w:ascii="宋体" w:hAnsi="宋体" w:cs="宋体"/>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2715" w:type="dxa"/>
            <w:gridSpan w:val="3"/>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21</w:t>
            </w:r>
          </w:p>
        </w:tc>
        <w:tc>
          <w:tcPr>
            <w:tcW w:w="945"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操作记录及考评软件</w:t>
            </w:r>
          </w:p>
        </w:tc>
        <w:tc>
          <w:tcPr>
            <w:tcW w:w="560" w:type="dxa"/>
            <w:shd w:val="clear" w:color="auto" w:fill="auto"/>
            <w:vAlign w:val="center"/>
          </w:tcPr>
          <w:p>
            <w:pPr>
              <w:widowControl/>
              <w:jc w:val="center"/>
              <w:rPr>
                <w:rFonts w:ascii="宋体" w:hAnsi="宋体" w:cs="宋体"/>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sz w:val="18"/>
                <w:szCs w:val="18"/>
              </w:rPr>
              <w:t>自动检测考试过程及结果，并自动评分。</w:t>
            </w:r>
          </w:p>
        </w:tc>
        <w:tc>
          <w:tcPr>
            <w:tcW w:w="510" w:type="dxa"/>
            <w:tcBorders>
              <w:left w:val="single" w:color="auto" w:sz="4" w:space="0"/>
            </w:tcBorders>
            <w:shd w:val="clear" w:color="auto" w:fill="auto"/>
            <w:vAlign w:val="center"/>
          </w:tcPr>
          <w:p>
            <w:pPr>
              <w:widowControl/>
              <w:jc w:val="center"/>
              <w:rPr>
                <w:rFonts w:ascii="宋体" w:hAnsi="宋体" w:cs="宋体"/>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2715" w:type="dxa"/>
            <w:gridSpan w:val="3"/>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506" w:type="dxa"/>
            <w:shd w:val="clear" w:color="auto" w:fill="auto"/>
            <w:vAlign w:val="center"/>
          </w:tcPr>
          <w:p>
            <w:pPr>
              <w:jc w:val="center"/>
              <w:rPr>
                <w:rFonts w:ascii="宋体" w:hAnsi="宋体" w:cs="宋体"/>
                <w:kern w:val="0"/>
                <w:szCs w:val="21"/>
                <w:lang w:bidi="ar"/>
              </w:rPr>
            </w:pPr>
            <w:r>
              <w:rPr>
                <w:rFonts w:hint="eastAsia" w:ascii="宋体" w:hAnsi="宋体" w:cs="宋体"/>
                <w:sz w:val="18"/>
                <w:szCs w:val="18"/>
              </w:rPr>
              <w:t>22</w:t>
            </w:r>
          </w:p>
        </w:tc>
        <w:tc>
          <w:tcPr>
            <w:tcW w:w="945"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考核控制终端管理系统</w:t>
            </w:r>
          </w:p>
        </w:tc>
        <w:tc>
          <w:tcPr>
            <w:tcW w:w="560" w:type="dxa"/>
            <w:shd w:val="clear" w:color="auto" w:fill="auto"/>
            <w:vAlign w:val="center"/>
          </w:tcPr>
          <w:p>
            <w:pPr>
              <w:widowControl/>
              <w:jc w:val="center"/>
              <w:rPr>
                <w:rFonts w:ascii="宋体" w:hAnsi="宋体" w:cs="宋体"/>
              </w:rPr>
            </w:pPr>
            <w:r>
              <w:rPr>
                <w:rFonts w:hint="eastAsia" w:ascii="宋体" w:hAnsi="宋体" w:cs="宋体"/>
                <w:kern w:val="0"/>
                <w:sz w:val="18"/>
                <w:szCs w:val="18"/>
              </w:rPr>
              <w:t>/</w:t>
            </w:r>
          </w:p>
        </w:tc>
        <w:tc>
          <w:tcPr>
            <w:tcW w:w="652"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690" w:type="dxa"/>
            <w:tcBorders>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w:t>
            </w:r>
          </w:p>
        </w:tc>
        <w:tc>
          <w:tcPr>
            <w:tcW w:w="2625" w:type="dxa"/>
            <w:tcBorders>
              <w:lef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sz w:val="18"/>
                <w:szCs w:val="18"/>
              </w:rPr>
              <w:t>承担着列车模拟器的全方位监管、控制和系统维护任务。</w:t>
            </w:r>
          </w:p>
        </w:tc>
        <w:tc>
          <w:tcPr>
            <w:tcW w:w="510" w:type="dxa"/>
            <w:tcBorders>
              <w:left w:val="single" w:color="auto" w:sz="4" w:space="0"/>
            </w:tcBorders>
            <w:shd w:val="clear" w:color="auto" w:fill="auto"/>
            <w:vAlign w:val="center"/>
          </w:tcPr>
          <w:p>
            <w:pPr>
              <w:widowControl/>
              <w:jc w:val="center"/>
              <w:rPr>
                <w:rFonts w:ascii="宋体" w:hAnsi="宋体" w:cs="宋体"/>
              </w:rPr>
            </w:pPr>
            <w:r>
              <w:rPr>
                <w:rFonts w:hint="eastAsia" w:ascii="宋体" w:hAnsi="宋体" w:cs="宋体"/>
                <w:kern w:val="0"/>
                <w:sz w:val="18"/>
                <w:szCs w:val="18"/>
              </w:rPr>
              <w:t>套</w:t>
            </w:r>
          </w:p>
        </w:tc>
        <w:tc>
          <w:tcPr>
            <w:tcW w:w="636" w:type="dxa"/>
            <w:shd w:val="clear" w:color="auto" w:fill="auto"/>
            <w:vAlign w:val="center"/>
          </w:tcPr>
          <w:p>
            <w:pPr>
              <w:widowControl/>
              <w:jc w:val="center"/>
              <w:rPr>
                <w:rFonts w:ascii="宋体" w:hAnsi="宋体" w:cs="宋体"/>
                <w:szCs w:val="21"/>
              </w:rPr>
            </w:pPr>
            <w:r>
              <w:rPr>
                <w:rFonts w:hint="eastAsia" w:ascii="宋体" w:hAnsi="宋体" w:cs="宋体"/>
                <w:kern w:val="0"/>
                <w:sz w:val="18"/>
                <w:szCs w:val="18"/>
              </w:rPr>
              <w:t>1</w:t>
            </w:r>
          </w:p>
        </w:tc>
        <w:tc>
          <w:tcPr>
            <w:tcW w:w="2715" w:type="dxa"/>
            <w:gridSpan w:val="3"/>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1" w:hRule="atLeast"/>
          <w:jc w:val="center"/>
        </w:trPr>
        <w:tc>
          <w:tcPr>
            <w:tcW w:w="7124" w:type="dxa"/>
            <w:gridSpan w:val="8"/>
            <w:tcBorders>
              <w:right w:val="single" w:color="auto" w:sz="4" w:space="0"/>
            </w:tcBorders>
            <w:vAlign w:val="center"/>
          </w:tcPr>
          <w:p>
            <w:pPr>
              <w:adjustRightInd w:val="0"/>
              <w:snapToGrid w:val="0"/>
              <w:spacing w:line="360" w:lineRule="auto"/>
              <w:jc w:val="center"/>
              <w:rPr>
                <w:rFonts w:ascii="宋体" w:hAnsi="宋体" w:cs="宋体"/>
                <w:kern w:val="0"/>
                <w:szCs w:val="21"/>
                <w:lang w:bidi="ar"/>
              </w:rPr>
            </w:pPr>
            <w:r>
              <w:rPr>
                <w:rFonts w:hint="eastAsia" w:ascii="宋体" w:hAnsi="宋体" w:cs="宋体"/>
                <w:szCs w:val="21"/>
              </w:rPr>
              <w:t>合    计</w:t>
            </w:r>
          </w:p>
        </w:tc>
        <w:tc>
          <w:tcPr>
            <w:tcW w:w="2715" w:type="dxa"/>
            <w:gridSpan w:val="3"/>
            <w:tcBorders>
              <w:left w:val="single" w:color="auto" w:sz="4" w:space="0"/>
            </w:tcBorders>
            <w:vAlign w:val="center"/>
          </w:tcPr>
          <w:p>
            <w:pPr>
              <w:adjustRightInd w:val="0"/>
              <w:snapToGrid w:val="0"/>
              <w:spacing w:line="360" w:lineRule="auto"/>
              <w:jc w:val="center"/>
              <w:rPr>
                <w:rFonts w:ascii="宋体" w:hAnsi="宋体" w:cs="宋体"/>
                <w:szCs w:val="21"/>
              </w:rPr>
            </w:pPr>
          </w:p>
        </w:tc>
      </w:tr>
    </w:tbl>
    <w:p>
      <w:pPr>
        <w:pStyle w:val="13"/>
        <w:rPr>
          <w:rFonts w:ascii="宋体" w:hAnsi="宋体" w:cs="宋体"/>
        </w:rPr>
      </w:pPr>
    </w:p>
    <w:p>
      <w:pPr>
        <w:adjustRightInd w:val="0"/>
        <w:snapToGrid w:val="0"/>
        <w:spacing w:line="360" w:lineRule="auto"/>
        <w:ind w:left="-88" w:leftChars="-42"/>
        <w:rPr>
          <w:rFonts w:ascii="宋体" w:hAnsi="宋体" w:cs="宋体"/>
          <w:b/>
          <w:szCs w:val="21"/>
        </w:rPr>
      </w:pPr>
      <w:r>
        <w:rPr>
          <w:rFonts w:hint="eastAsia" w:ascii="宋体" w:hAnsi="宋体" w:cs="宋体"/>
          <w:b/>
          <w:szCs w:val="21"/>
        </w:rPr>
        <w:t>备注：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ascii="宋体" w:hAnsi="宋体"/>
          <w:szCs w:val="21"/>
        </w:rPr>
      </w:pPr>
      <w:r>
        <w:rPr>
          <w:rFonts w:hint="eastAsia" w:ascii="宋体" w:hAnsi="宋体"/>
          <w:b/>
          <w:szCs w:val="21"/>
        </w:rPr>
        <w:t>2.本表包含谈判文件“用户需求书”或其他部分对该项目所有要求的详细报价。“合计”金额应与《报价一览表》内“谈判总报价”金额一致。栏目“单价”为综合单价，应包含所有隐含的管理费、税金和利润等其他费用。</w:t>
      </w:r>
    </w:p>
    <w:p>
      <w:pPr>
        <w:pStyle w:val="27"/>
        <w:adjustRightInd w:val="0"/>
        <w:snapToGrid w:val="0"/>
        <w:spacing w:line="360" w:lineRule="auto"/>
        <w:outlineLvl w:val="0"/>
        <w:rPr>
          <w:rFonts w:ascii="宋体" w:hAnsi="宋体" w:cs="宋体"/>
          <w:sz w:val="21"/>
          <w:szCs w:val="21"/>
        </w:rPr>
      </w:pPr>
    </w:p>
    <w:p>
      <w:pPr>
        <w:pStyle w:val="27"/>
        <w:adjustRightInd w:val="0"/>
        <w:snapToGrid w:val="0"/>
        <w:spacing w:line="360" w:lineRule="auto"/>
        <w:outlineLvl w:val="0"/>
        <w:rPr>
          <w:rFonts w:ascii="宋体" w:hAnsi="宋体" w:cs="宋体"/>
          <w:sz w:val="21"/>
          <w:szCs w:val="21"/>
        </w:rPr>
      </w:pPr>
    </w:p>
    <w:p>
      <w:pPr>
        <w:pStyle w:val="27"/>
        <w:adjustRightInd w:val="0"/>
        <w:snapToGrid w:val="0"/>
        <w:spacing w:line="360" w:lineRule="auto"/>
        <w:ind w:firstLine="420" w:firstLineChars="200"/>
        <w:rPr>
          <w:rFonts w:ascii="宋体" w:hAnsi="宋体" w:cs="宋体"/>
          <w:bCs/>
          <w:sz w:val="21"/>
          <w:szCs w:val="21"/>
        </w:rPr>
      </w:pPr>
      <w:r>
        <w:rPr>
          <w:rFonts w:hint="eastAsia" w:ascii="宋体" w:hAnsi="宋体" w:cs="宋体"/>
          <w:sz w:val="21"/>
          <w:szCs w:val="21"/>
        </w:rPr>
        <w:t>谈判单位名称：</w:t>
      </w:r>
      <w:r>
        <w:rPr>
          <w:rFonts w:hint="eastAsia" w:ascii="宋体" w:hAnsi="宋体" w:cs="宋体"/>
          <w:sz w:val="21"/>
          <w:szCs w:val="21"/>
          <w:u w:val="single"/>
        </w:rPr>
        <w:t xml:space="preserve">    （盖单位章）    </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法定代表人或其委托代理人(签字或盖章)：</w:t>
      </w:r>
      <w:r>
        <w:rPr>
          <w:rFonts w:hint="eastAsia" w:ascii="宋体" w:hAnsi="宋体" w:cs="宋体"/>
          <w:szCs w:val="21"/>
          <w:u w:val="single"/>
        </w:rPr>
        <w:t xml:space="preserve">               </w:t>
      </w:r>
    </w:p>
    <w:p>
      <w:pPr>
        <w:spacing w:line="360" w:lineRule="auto"/>
        <w:ind w:firstLine="420" w:firstLineChars="200"/>
        <w:rPr>
          <w:rFonts w:ascii="宋体" w:hAnsi="宋体" w:cs="宋体"/>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rPr>
          <w:rFonts w:ascii="宋体" w:hAnsi="宋体" w:cs="宋体"/>
          <w:b/>
          <w:sz w:val="32"/>
          <w:szCs w:val="32"/>
        </w:rPr>
        <w:sectPr>
          <w:pgSz w:w="12240" w:h="15840"/>
          <w:pgMar w:top="1440" w:right="1183" w:bottom="1440" w:left="1134" w:header="720" w:footer="720" w:gutter="0"/>
          <w:cols w:space="720" w:num="1"/>
          <w:titlePg/>
          <w:docGrid w:type="lines" w:linePitch="323" w:charSpace="0"/>
        </w:sectPr>
      </w:pPr>
    </w:p>
    <w:p>
      <w:pPr>
        <w:rPr>
          <w:rFonts w:ascii="宋体" w:hAnsi="宋体" w:cs="宋体"/>
        </w:rPr>
      </w:pPr>
    </w:p>
    <w:p>
      <w:pPr>
        <w:spacing w:line="360" w:lineRule="exact"/>
        <w:jc w:val="center"/>
        <w:rPr>
          <w:rFonts w:ascii="宋体" w:hAnsi="宋体" w:cs="宋体"/>
          <w:b/>
          <w:sz w:val="32"/>
          <w:szCs w:val="32"/>
        </w:rPr>
      </w:pPr>
      <w:r>
        <w:rPr>
          <w:rFonts w:hint="eastAsia" w:ascii="宋体" w:hAnsi="宋体" w:cs="宋体"/>
          <w:b/>
          <w:sz w:val="32"/>
          <w:szCs w:val="32"/>
        </w:rPr>
        <w:t>八、其他资料(如有)</w:t>
      </w:r>
    </w:p>
    <w:p>
      <w:pPr>
        <w:adjustRightInd w:val="0"/>
        <w:snapToGrid w:val="0"/>
        <w:spacing w:before="161" w:beforeLines="50" w:line="360" w:lineRule="auto"/>
        <w:jc w:val="center"/>
        <w:rPr>
          <w:rFonts w:ascii="宋体" w:hAnsi="宋体" w:cs="宋体"/>
          <w:sz w:val="28"/>
          <w:szCs w:val="28"/>
        </w:rPr>
      </w:pPr>
    </w:p>
    <w:p>
      <w:pPr>
        <w:adjustRightInd w:val="0"/>
        <w:snapToGrid w:val="0"/>
        <w:spacing w:before="161" w:beforeLines="50" w:line="360" w:lineRule="auto"/>
        <w:jc w:val="center"/>
        <w:rPr>
          <w:rFonts w:ascii="宋体" w:hAnsi="宋体" w:cs="宋体"/>
          <w:szCs w:val="21"/>
        </w:rPr>
      </w:pPr>
      <w:bookmarkStart w:id="196" w:name="_Toc15601"/>
      <w:bookmarkStart w:id="197" w:name="_Toc14328"/>
      <w:bookmarkStart w:id="198" w:name="_Toc3706"/>
      <w:r>
        <w:rPr>
          <w:rFonts w:hint="eastAsia" w:ascii="宋体" w:hAnsi="宋体" w:cs="宋体"/>
          <w:szCs w:val="21"/>
        </w:rPr>
        <w:t>谈判单位认为需要提供的其他报价资料，格式自拟。</w:t>
      </w:r>
      <w:bookmarkEnd w:id="196"/>
      <w:bookmarkEnd w:id="197"/>
      <w:bookmarkEnd w:id="198"/>
    </w:p>
    <w:sectPr>
      <w:pgSz w:w="12240" w:h="15840"/>
      <w:pgMar w:top="1440" w:right="1800" w:bottom="1440" w:left="1800" w:header="720" w:footer="720" w:gutter="0"/>
      <w:cols w:space="720" w:num="1"/>
      <w:titlePg/>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Quad Arrow 3" o:spid="_x0000_s2070"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文本框 6" o:spid="_x0000_s2068"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3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_x0000_s2069" o:spid="_x0000_s2069"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Quad Arrow 4" o:spid="_x0000_s2051"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30"/>
                  <w:jc w:val="center"/>
                </w:pPr>
                <w:r>
                  <w:fldChar w:fldCharType="begin"/>
                </w:r>
                <w:r>
                  <w:instrText xml:space="preserve">PAGE   \* MERGEFORMAT</w:instrText>
                </w:r>
                <w:r>
                  <w:fldChar w:fldCharType="separate"/>
                </w:r>
                <w:r>
                  <w:rPr>
                    <w:lang w:val="zh-CN"/>
                  </w:rPr>
                  <w:t>9</w:t>
                </w:r>
                <w:r>
                  <w:rPr>
                    <w:lang w:val="zh-CN"/>
                  </w:rPr>
                  <w:fldChar w:fldCharType="end"/>
                </w:r>
              </w:p>
              <w:p/>
            </w:txbxContent>
          </v:textbox>
        </v:shape>
      </w:pic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Quad Arrow 8" o:spid="_x0000_s2049"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Quad Arrow 14" o:spid="_x0000_s2053"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Quad Arrow 15" o:spid="_x0000_s2052"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Quad Arrow 10" o:spid="_x0000_s2055"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30"/>
                  <w:jc w:val="center"/>
                </w:pPr>
                <w:r>
                  <w:fldChar w:fldCharType="begin"/>
                </w:r>
                <w:r>
                  <w:instrText xml:space="preserve">PAGE   \* MERGEFORMAT</w:instrText>
                </w:r>
                <w:r>
                  <w:fldChar w:fldCharType="separate"/>
                </w:r>
                <w:r>
                  <w:rPr>
                    <w:lang w:val="zh-CN"/>
                  </w:rPr>
                  <w:t>6</w:t>
                </w:r>
                <w:r>
                  <w:rPr>
                    <w:lang w:val="zh-CN"/>
                  </w:rPr>
                  <w:fldChar w:fldCharType="end"/>
                </w:r>
              </w:p>
              <w:p/>
            </w:txbxContent>
          </v:textbox>
        </v:shape>
      </w:pict>
    </w:r>
  </w:p>
  <w:p>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Quad Arrow 11" o:spid="_x0000_s2054"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80" w:hanging="180" w:hangingChars="100"/>
      <w:jc w:val="right"/>
      <w:rPr>
        <w:rFonts w:eastAsia="楷体_GB2312"/>
      </w:rPr>
    </w:pPr>
    <w:r>
      <w:pict>
        <v:shape id="_x0000_s2072" o:spid="_x0000_s2072"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weight="1.25pt"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20</w:t>
                </w:r>
                <w:r>
                  <w:rPr>
                    <w:rFonts w:hint="eastAsia"/>
                  </w:rPr>
                  <w:fldChar w:fldCharType="end"/>
                </w:r>
              </w:p>
            </w:txbxContent>
          </v:textbox>
        </v:shape>
      </w:pic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7BCDA"/>
    <w:multiLevelType w:val="singleLevel"/>
    <w:tmpl w:val="A2B7BCDA"/>
    <w:lvl w:ilvl="0" w:tentative="0">
      <w:start w:val="3"/>
      <w:numFmt w:val="chineseCounting"/>
      <w:suff w:val="space"/>
      <w:lvlText w:val="第%1部分"/>
      <w:lvlJc w:val="left"/>
      <w:rPr>
        <w:rFonts w:hint="eastAsia"/>
      </w:rPr>
    </w:lvl>
  </w:abstractNum>
  <w:abstractNum w:abstractNumId="1">
    <w:nsid w:val="00000006"/>
    <w:multiLevelType w:val="multilevel"/>
    <w:tmpl w:val="00000006"/>
    <w:lvl w:ilvl="0" w:tentative="0">
      <w:start w:val="1"/>
      <w:numFmt w:val="decimal"/>
      <w:pStyle w:val="127"/>
      <w:lvlText w:val="%1"/>
      <w:lvlJc w:val="left"/>
      <w:pPr>
        <w:tabs>
          <w:tab w:val="left" w:pos="2238"/>
        </w:tabs>
        <w:ind w:left="2238" w:hanging="432"/>
      </w:pPr>
      <w:rPr>
        <w:rFonts w:hint="default"/>
        <w:u w:val="none"/>
      </w:rPr>
    </w:lvl>
    <w:lvl w:ilvl="1" w:tentative="0">
      <w:start w:val="1"/>
      <w:numFmt w:val="decimal"/>
      <w:pStyle w:val="18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2">
    <w:nsid w:val="491E8A5F"/>
    <w:multiLevelType w:val="singleLevel"/>
    <w:tmpl w:val="491E8A5F"/>
    <w:lvl w:ilvl="0" w:tentative="0">
      <w:start w:val="4"/>
      <w:numFmt w:val="chineseCounting"/>
      <w:suff w:val="space"/>
      <w:lvlText w:val="第%1章"/>
      <w:lvlJc w:val="left"/>
      <w:rPr>
        <w:rFonts w:hint="eastAsia"/>
      </w:rPr>
    </w:lvl>
  </w:abstractNum>
  <w:abstractNum w:abstractNumId="3">
    <w:nsid w:val="5D7F7FFA"/>
    <w:multiLevelType w:val="singleLevel"/>
    <w:tmpl w:val="5D7F7FFA"/>
    <w:lvl w:ilvl="0" w:tentative="0">
      <w:start w:val="1"/>
      <w:numFmt w:val="decimal"/>
      <w:lvlText w:val="%1."/>
      <w:lvlJc w:val="left"/>
      <w:pPr>
        <w:tabs>
          <w:tab w:val="left" w:pos="312"/>
        </w:tabs>
      </w:pPr>
    </w:lvl>
  </w:abstractNum>
  <w:abstractNum w:abstractNumId="4">
    <w:nsid w:val="5D7F801E"/>
    <w:multiLevelType w:val="singleLevel"/>
    <w:tmpl w:val="5D7F801E"/>
    <w:lvl w:ilvl="0" w:tentative="0">
      <w:start w:val="1"/>
      <w:numFmt w:val="decimal"/>
      <w:lvlText w:val="%1."/>
      <w:lvlJc w:val="left"/>
      <w:pPr>
        <w:tabs>
          <w:tab w:val="left" w:pos="312"/>
        </w:tabs>
      </w:pPr>
    </w:lvl>
  </w:abstractNum>
  <w:abstractNum w:abstractNumId="5">
    <w:nsid w:val="5D7F8031"/>
    <w:multiLevelType w:val="singleLevel"/>
    <w:tmpl w:val="5D7F8031"/>
    <w:lvl w:ilvl="0" w:tentative="0">
      <w:start w:val="1"/>
      <w:numFmt w:val="decimal"/>
      <w:lvlText w:val="%1."/>
      <w:lvlJc w:val="left"/>
      <w:pPr>
        <w:tabs>
          <w:tab w:val="left" w:pos="312"/>
        </w:tabs>
      </w:pPr>
    </w:lvl>
  </w:abstractNum>
  <w:abstractNum w:abstractNumId="6">
    <w:nsid w:val="5D7F8041"/>
    <w:multiLevelType w:val="singleLevel"/>
    <w:tmpl w:val="5D7F8041"/>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210"/>
  <w:drawingGridVerticalSpacing w:val="16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84A"/>
    <w:rsid w:val="00005EC9"/>
    <w:rsid w:val="00006D21"/>
    <w:rsid w:val="00016902"/>
    <w:rsid w:val="000274C6"/>
    <w:rsid w:val="00052640"/>
    <w:rsid w:val="00063D15"/>
    <w:rsid w:val="00074928"/>
    <w:rsid w:val="00091C9D"/>
    <w:rsid w:val="000C106E"/>
    <w:rsid w:val="000D12D7"/>
    <w:rsid w:val="000E7A00"/>
    <w:rsid w:val="00115FE6"/>
    <w:rsid w:val="001453A1"/>
    <w:rsid w:val="00162D59"/>
    <w:rsid w:val="00186162"/>
    <w:rsid w:val="001C23BF"/>
    <w:rsid w:val="002069C8"/>
    <w:rsid w:val="002139EB"/>
    <w:rsid w:val="0022188F"/>
    <w:rsid w:val="00222DFA"/>
    <w:rsid w:val="00224DF9"/>
    <w:rsid w:val="00230A1A"/>
    <w:rsid w:val="002314A3"/>
    <w:rsid w:val="002523FD"/>
    <w:rsid w:val="00255546"/>
    <w:rsid w:val="00286014"/>
    <w:rsid w:val="00294F68"/>
    <w:rsid w:val="002B1D56"/>
    <w:rsid w:val="003102A2"/>
    <w:rsid w:val="00331810"/>
    <w:rsid w:val="00380064"/>
    <w:rsid w:val="00381105"/>
    <w:rsid w:val="003958B2"/>
    <w:rsid w:val="0039632C"/>
    <w:rsid w:val="003B1109"/>
    <w:rsid w:val="003D080C"/>
    <w:rsid w:val="003F46A7"/>
    <w:rsid w:val="004014FD"/>
    <w:rsid w:val="00403EB6"/>
    <w:rsid w:val="00423B85"/>
    <w:rsid w:val="00453EE9"/>
    <w:rsid w:val="00473865"/>
    <w:rsid w:val="0048093D"/>
    <w:rsid w:val="00495DBC"/>
    <w:rsid w:val="00495F57"/>
    <w:rsid w:val="00504DED"/>
    <w:rsid w:val="00517CB9"/>
    <w:rsid w:val="00526589"/>
    <w:rsid w:val="00545140"/>
    <w:rsid w:val="0055214F"/>
    <w:rsid w:val="005556A5"/>
    <w:rsid w:val="0056143E"/>
    <w:rsid w:val="0058754B"/>
    <w:rsid w:val="005C688B"/>
    <w:rsid w:val="005E6BBB"/>
    <w:rsid w:val="00641E72"/>
    <w:rsid w:val="0068504A"/>
    <w:rsid w:val="0068515F"/>
    <w:rsid w:val="00687C87"/>
    <w:rsid w:val="006B6300"/>
    <w:rsid w:val="006D0A13"/>
    <w:rsid w:val="006E025D"/>
    <w:rsid w:val="006F5FAC"/>
    <w:rsid w:val="0070784A"/>
    <w:rsid w:val="007175A0"/>
    <w:rsid w:val="007279D3"/>
    <w:rsid w:val="00730CC6"/>
    <w:rsid w:val="00740D0D"/>
    <w:rsid w:val="00793ABB"/>
    <w:rsid w:val="0079784E"/>
    <w:rsid w:val="007D0446"/>
    <w:rsid w:val="007F3811"/>
    <w:rsid w:val="00802770"/>
    <w:rsid w:val="0081382B"/>
    <w:rsid w:val="008511F3"/>
    <w:rsid w:val="008B6242"/>
    <w:rsid w:val="008C7C9F"/>
    <w:rsid w:val="00915948"/>
    <w:rsid w:val="00923E97"/>
    <w:rsid w:val="00976388"/>
    <w:rsid w:val="009A5642"/>
    <w:rsid w:val="009B5270"/>
    <w:rsid w:val="009C10AF"/>
    <w:rsid w:val="009C51CE"/>
    <w:rsid w:val="009D41D7"/>
    <w:rsid w:val="009D7D4A"/>
    <w:rsid w:val="009E03FD"/>
    <w:rsid w:val="00A34DC1"/>
    <w:rsid w:val="00A41E73"/>
    <w:rsid w:val="00A618F2"/>
    <w:rsid w:val="00A61CCE"/>
    <w:rsid w:val="00A92B7C"/>
    <w:rsid w:val="00AA1709"/>
    <w:rsid w:val="00AB013C"/>
    <w:rsid w:val="00AD758B"/>
    <w:rsid w:val="00AF11ED"/>
    <w:rsid w:val="00B01BA0"/>
    <w:rsid w:val="00B51FCB"/>
    <w:rsid w:val="00B74689"/>
    <w:rsid w:val="00B82298"/>
    <w:rsid w:val="00C0069B"/>
    <w:rsid w:val="00C20479"/>
    <w:rsid w:val="00C532E5"/>
    <w:rsid w:val="00C57914"/>
    <w:rsid w:val="00C6008B"/>
    <w:rsid w:val="00C758E3"/>
    <w:rsid w:val="00CB534B"/>
    <w:rsid w:val="00CE51F2"/>
    <w:rsid w:val="00CE631C"/>
    <w:rsid w:val="00CE703D"/>
    <w:rsid w:val="00CF0192"/>
    <w:rsid w:val="00D164FE"/>
    <w:rsid w:val="00D31733"/>
    <w:rsid w:val="00D43330"/>
    <w:rsid w:val="00D52041"/>
    <w:rsid w:val="00D84A7F"/>
    <w:rsid w:val="00DA51BD"/>
    <w:rsid w:val="00DC7B54"/>
    <w:rsid w:val="00DF363F"/>
    <w:rsid w:val="00E32EEF"/>
    <w:rsid w:val="00E77817"/>
    <w:rsid w:val="00E944EE"/>
    <w:rsid w:val="00EF6911"/>
    <w:rsid w:val="00F37996"/>
    <w:rsid w:val="00F410E0"/>
    <w:rsid w:val="00F579E9"/>
    <w:rsid w:val="00F80431"/>
    <w:rsid w:val="00FA6734"/>
    <w:rsid w:val="00FE3699"/>
    <w:rsid w:val="00FE589F"/>
    <w:rsid w:val="01DE6B70"/>
    <w:rsid w:val="02016232"/>
    <w:rsid w:val="028D51BD"/>
    <w:rsid w:val="03D609D8"/>
    <w:rsid w:val="03ED3E80"/>
    <w:rsid w:val="05894214"/>
    <w:rsid w:val="069B52D2"/>
    <w:rsid w:val="06C32324"/>
    <w:rsid w:val="072E061B"/>
    <w:rsid w:val="073C0D51"/>
    <w:rsid w:val="08C565F2"/>
    <w:rsid w:val="097D1C20"/>
    <w:rsid w:val="09D61CB2"/>
    <w:rsid w:val="0A426A0F"/>
    <w:rsid w:val="0A9A0228"/>
    <w:rsid w:val="0C164A2F"/>
    <w:rsid w:val="0D66668B"/>
    <w:rsid w:val="0E616540"/>
    <w:rsid w:val="0EE35C4D"/>
    <w:rsid w:val="0F017EE9"/>
    <w:rsid w:val="10703D88"/>
    <w:rsid w:val="110C2C29"/>
    <w:rsid w:val="110D463C"/>
    <w:rsid w:val="11FB259E"/>
    <w:rsid w:val="12281DA5"/>
    <w:rsid w:val="136544CD"/>
    <w:rsid w:val="15215506"/>
    <w:rsid w:val="15D00CD9"/>
    <w:rsid w:val="15DD7FEE"/>
    <w:rsid w:val="15ED6A1A"/>
    <w:rsid w:val="184738E0"/>
    <w:rsid w:val="1893797B"/>
    <w:rsid w:val="19035318"/>
    <w:rsid w:val="19630DF4"/>
    <w:rsid w:val="1A80468D"/>
    <w:rsid w:val="1AFC0AE8"/>
    <w:rsid w:val="1B324E6A"/>
    <w:rsid w:val="1B575122"/>
    <w:rsid w:val="1BE545F8"/>
    <w:rsid w:val="1C3228C1"/>
    <w:rsid w:val="1D5C448C"/>
    <w:rsid w:val="1D980D33"/>
    <w:rsid w:val="1E981D4A"/>
    <w:rsid w:val="1EFC3574"/>
    <w:rsid w:val="1FD401CA"/>
    <w:rsid w:val="20512691"/>
    <w:rsid w:val="219C6F36"/>
    <w:rsid w:val="21F1647A"/>
    <w:rsid w:val="233E41F0"/>
    <w:rsid w:val="23540F1C"/>
    <w:rsid w:val="24967E12"/>
    <w:rsid w:val="25AE5BE4"/>
    <w:rsid w:val="2658296F"/>
    <w:rsid w:val="267F0FB7"/>
    <w:rsid w:val="273B23BD"/>
    <w:rsid w:val="29060938"/>
    <w:rsid w:val="2951072C"/>
    <w:rsid w:val="29FE6640"/>
    <w:rsid w:val="2AC97A0D"/>
    <w:rsid w:val="2C074F20"/>
    <w:rsid w:val="2C162F55"/>
    <w:rsid w:val="2C3C6E9F"/>
    <w:rsid w:val="2C447CED"/>
    <w:rsid w:val="2C7627E2"/>
    <w:rsid w:val="2DDB7325"/>
    <w:rsid w:val="2DDC3B76"/>
    <w:rsid w:val="2E3B075A"/>
    <w:rsid w:val="2EA33208"/>
    <w:rsid w:val="2EF938A4"/>
    <w:rsid w:val="2F5F0C28"/>
    <w:rsid w:val="30F77CED"/>
    <w:rsid w:val="324F1840"/>
    <w:rsid w:val="32B27CA8"/>
    <w:rsid w:val="32F7027C"/>
    <w:rsid w:val="3326112B"/>
    <w:rsid w:val="33BD1A5D"/>
    <w:rsid w:val="343B7C3F"/>
    <w:rsid w:val="349537D0"/>
    <w:rsid w:val="34FC673B"/>
    <w:rsid w:val="359D78EF"/>
    <w:rsid w:val="36586AB4"/>
    <w:rsid w:val="36630339"/>
    <w:rsid w:val="36E403EC"/>
    <w:rsid w:val="38907664"/>
    <w:rsid w:val="38DE4586"/>
    <w:rsid w:val="392B2144"/>
    <w:rsid w:val="393442DF"/>
    <w:rsid w:val="39E27939"/>
    <w:rsid w:val="3A212368"/>
    <w:rsid w:val="3B235613"/>
    <w:rsid w:val="3C263F3D"/>
    <w:rsid w:val="3D350E98"/>
    <w:rsid w:val="3F6500C8"/>
    <w:rsid w:val="40BE1148"/>
    <w:rsid w:val="41FF2F5F"/>
    <w:rsid w:val="425B2511"/>
    <w:rsid w:val="42A637B4"/>
    <w:rsid w:val="42B961A0"/>
    <w:rsid w:val="434660D0"/>
    <w:rsid w:val="441759EC"/>
    <w:rsid w:val="4431133A"/>
    <w:rsid w:val="4575004E"/>
    <w:rsid w:val="45BD7EF6"/>
    <w:rsid w:val="468D7167"/>
    <w:rsid w:val="469965DF"/>
    <w:rsid w:val="46B34912"/>
    <w:rsid w:val="46E17929"/>
    <w:rsid w:val="47FA61F4"/>
    <w:rsid w:val="48605FB4"/>
    <w:rsid w:val="48C832A8"/>
    <w:rsid w:val="48D33662"/>
    <w:rsid w:val="4962034B"/>
    <w:rsid w:val="4A164FC6"/>
    <w:rsid w:val="4AC5638E"/>
    <w:rsid w:val="4B87119D"/>
    <w:rsid w:val="4D40298C"/>
    <w:rsid w:val="4EC90D3E"/>
    <w:rsid w:val="4F071772"/>
    <w:rsid w:val="4F557EF1"/>
    <w:rsid w:val="4F5E0C55"/>
    <w:rsid w:val="4F792F65"/>
    <w:rsid w:val="500002B0"/>
    <w:rsid w:val="51322546"/>
    <w:rsid w:val="51482C9B"/>
    <w:rsid w:val="522D2330"/>
    <w:rsid w:val="52F421A7"/>
    <w:rsid w:val="5444354A"/>
    <w:rsid w:val="548A000A"/>
    <w:rsid w:val="550C1056"/>
    <w:rsid w:val="55CD6F55"/>
    <w:rsid w:val="5624265B"/>
    <w:rsid w:val="57477B2B"/>
    <w:rsid w:val="57C86EED"/>
    <w:rsid w:val="581C411C"/>
    <w:rsid w:val="583D5903"/>
    <w:rsid w:val="58F11BFD"/>
    <w:rsid w:val="596D221D"/>
    <w:rsid w:val="598409DC"/>
    <w:rsid w:val="59AD536C"/>
    <w:rsid w:val="59BC25A2"/>
    <w:rsid w:val="59D37CF1"/>
    <w:rsid w:val="5ADF6442"/>
    <w:rsid w:val="5B1146F6"/>
    <w:rsid w:val="5B1D7FDB"/>
    <w:rsid w:val="5B95287A"/>
    <w:rsid w:val="5C524815"/>
    <w:rsid w:val="5CDA0CDF"/>
    <w:rsid w:val="5D396783"/>
    <w:rsid w:val="5D481133"/>
    <w:rsid w:val="5D4F4FA5"/>
    <w:rsid w:val="5DA1750E"/>
    <w:rsid w:val="60C0201A"/>
    <w:rsid w:val="60F765D6"/>
    <w:rsid w:val="624A6D8F"/>
    <w:rsid w:val="62A85CDD"/>
    <w:rsid w:val="62CC2A90"/>
    <w:rsid w:val="62E35C5C"/>
    <w:rsid w:val="632A666E"/>
    <w:rsid w:val="6336440C"/>
    <w:rsid w:val="63922181"/>
    <w:rsid w:val="64546A26"/>
    <w:rsid w:val="6582193E"/>
    <w:rsid w:val="65E83D26"/>
    <w:rsid w:val="66585984"/>
    <w:rsid w:val="66D32C64"/>
    <w:rsid w:val="670D79CE"/>
    <w:rsid w:val="67392F67"/>
    <w:rsid w:val="673B1F5E"/>
    <w:rsid w:val="6787347C"/>
    <w:rsid w:val="684E2057"/>
    <w:rsid w:val="694E7A6F"/>
    <w:rsid w:val="69CE2E46"/>
    <w:rsid w:val="69EF1903"/>
    <w:rsid w:val="6A636C96"/>
    <w:rsid w:val="6ABE21AD"/>
    <w:rsid w:val="6AFE2969"/>
    <w:rsid w:val="6B4713CF"/>
    <w:rsid w:val="6B776B5F"/>
    <w:rsid w:val="6B96184C"/>
    <w:rsid w:val="6B9A5005"/>
    <w:rsid w:val="6CF25E26"/>
    <w:rsid w:val="6F850583"/>
    <w:rsid w:val="6FF33E1A"/>
    <w:rsid w:val="710E6F5D"/>
    <w:rsid w:val="71301318"/>
    <w:rsid w:val="730A11F0"/>
    <w:rsid w:val="73952AC6"/>
    <w:rsid w:val="760667A9"/>
    <w:rsid w:val="770C4A8E"/>
    <w:rsid w:val="77684BEC"/>
    <w:rsid w:val="781264F1"/>
    <w:rsid w:val="78575A04"/>
    <w:rsid w:val="79EE69A0"/>
    <w:rsid w:val="7A851190"/>
    <w:rsid w:val="7AB93CAD"/>
    <w:rsid w:val="7AD51802"/>
    <w:rsid w:val="7C996C5E"/>
    <w:rsid w:val="7D3149F1"/>
    <w:rsid w:val="7DAE2B75"/>
    <w:rsid w:val="7DDC42F1"/>
    <w:rsid w:val="7DF00C43"/>
    <w:rsid w:val="7E5343A3"/>
    <w:rsid w:val="7E5366E5"/>
    <w:rsid w:val="7FAF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8"/>
    <w:qFormat/>
    <w:uiPriority w:val="0"/>
    <w:pPr>
      <w:keepNext/>
      <w:jc w:val="center"/>
      <w:outlineLvl w:val="0"/>
    </w:pPr>
    <w:rPr>
      <w:b/>
      <w:bCs/>
      <w:kern w:val="0"/>
      <w:sz w:val="24"/>
      <w:szCs w:val="20"/>
    </w:rPr>
  </w:style>
  <w:style w:type="paragraph" w:styleId="4">
    <w:name w:val="heading 2"/>
    <w:basedOn w:val="1"/>
    <w:next w:val="1"/>
    <w:link w:val="219"/>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220"/>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221"/>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22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22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224"/>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22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226"/>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71"/>
    <w:qFormat/>
    <w:uiPriority w:val="99"/>
    <w:pPr>
      <w:spacing w:after="120"/>
    </w:pPr>
  </w:style>
  <w:style w:type="paragraph" w:styleId="12">
    <w:name w:val="toc 7"/>
    <w:basedOn w:val="1"/>
    <w:next w:val="1"/>
    <w:qFormat/>
    <w:uiPriority w:val="0"/>
    <w:pPr>
      <w:ind w:left="2520" w:leftChars="1200"/>
    </w:pPr>
    <w:rPr>
      <w:rFonts w:ascii="Calibri" w:hAnsi="Calibri"/>
      <w:szCs w:val="22"/>
    </w:rPr>
  </w:style>
  <w:style w:type="paragraph" w:styleId="13">
    <w:name w:val="table of authorities"/>
    <w:basedOn w:val="1"/>
    <w:next w:val="1"/>
    <w:qFormat/>
    <w:uiPriority w:val="99"/>
    <w:pPr>
      <w:ind w:left="420" w:leftChars="200"/>
    </w:pPr>
  </w:style>
  <w:style w:type="paragraph" w:styleId="14">
    <w:name w:val="Normal Indent"/>
    <w:basedOn w:val="1"/>
    <w:link w:val="335"/>
    <w:qFormat/>
    <w:uiPriority w:val="99"/>
    <w:pPr>
      <w:widowControl/>
      <w:ind w:firstLine="420"/>
      <w:jc w:val="left"/>
    </w:pPr>
    <w:rPr>
      <w:kern w:val="0"/>
      <w:sz w:val="20"/>
      <w:szCs w:val="20"/>
    </w:rPr>
  </w:style>
  <w:style w:type="paragraph" w:styleId="15">
    <w:name w:val="Document Map"/>
    <w:basedOn w:val="1"/>
    <w:link w:val="281"/>
    <w:qFormat/>
    <w:uiPriority w:val="0"/>
    <w:pPr>
      <w:shd w:val="clear" w:color="auto" w:fill="000080"/>
    </w:pPr>
  </w:style>
  <w:style w:type="paragraph" w:styleId="16">
    <w:name w:val="toa heading"/>
    <w:basedOn w:val="1"/>
    <w:next w:val="1"/>
    <w:unhideWhenUsed/>
    <w:qFormat/>
    <w:uiPriority w:val="0"/>
    <w:pPr>
      <w:spacing w:before="120"/>
    </w:pPr>
    <w:rPr>
      <w:rFonts w:hint="eastAsia" w:ascii="Arial" w:hAnsi="Arial"/>
    </w:rPr>
  </w:style>
  <w:style w:type="paragraph" w:styleId="17">
    <w:name w:val="annotation text"/>
    <w:basedOn w:val="1"/>
    <w:link w:val="263"/>
    <w:unhideWhenUsed/>
    <w:qFormat/>
    <w:uiPriority w:val="99"/>
    <w:pPr>
      <w:jc w:val="left"/>
    </w:pPr>
  </w:style>
  <w:style w:type="paragraph" w:styleId="18">
    <w:name w:val="Salutation"/>
    <w:basedOn w:val="1"/>
    <w:next w:val="1"/>
    <w:link w:val="268"/>
    <w:qFormat/>
    <w:uiPriority w:val="0"/>
    <w:rPr>
      <w:rFonts w:ascii="仿宋_GB2312" w:eastAsia="仿宋_GB2312"/>
      <w:sz w:val="24"/>
    </w:rPr>
  </w:style>
  <w:style w:type="paragraph" w:styleId="19">
    <w:name w:val="Body Text 3"/>
    <w:basedOn w:val="1"/>
    <w:link w:val="302"/>
    <w:qFormat/>
    <w:uiPriority w:val="0"/>
    <w:pPr>
      <w:autoSpaceDE w:val="0"/>
      <w:autoSpaceDN w:val="0"/>
      <w:adjustRightInd w:val="0"/>
      <w:spacing w:line="410" w:lineRule="atLeast"/>
      <w:jc w:val="left"/>
    </w:pPr>
    <w:rPr>
      <w:rFonts w:ascii="宋体"/>
      <w:color w:val="000000"/>
      <w:kern w:val="0"/>
      <w:sz w:val="24"/>
      <w:szCs w:val="20"/>
    </w:rPr>
  </w:style>
  <w:style w:type="paragraph" w:styleId="20">
    <w:name w:val="Body Text Indent"/>
    <w:basedOn w:val="1"/>
    <w:link w:val="251"/>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260"/>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293"/>
    <w:qFormat/>
    <w:uiPriority w:val="0"/>
    <w:rPr>
      <w:rFonts w:ascii="Calibri" w:hAnsi="Calibri" w:cs="黑体"/>
      <w:sz w:val="24"/>
      <w:szCs w:val="22"/>
    </w:rPr>
  </w:style>
  <w:style w:type="paragraph" w:styleId="28">
    <w:name w:val="Body Text Indent 2"/>
    <w:basedOn w:val="1"/>
    <w:link w:val="255"/>
    <w:qFormat/>
    <w:uiPriority w:val="0"/>
    <w:pPr>
      <w:spacing w:after="120" w:line="480" w:lineRule="auto"/>
      <w:ind w:left="420" w:leftChars="200"/>
    </w:pPr>
  </w:style>
  <w:style w:type="paragraph" w:styleId="29">
    <w:name w:val="Balloon Text"/>
    <w:basedOn w:val="1"/>
    <w:link w:val="250"/>
    <w:qFormat/>
    <w:uiPriority w:val="0"/>
    <w:rPr>
      <w:rFonts w:ascii="Calibri" w:hAnsi="Calibri" w:cs="黑体"/>
      <w:sz w:val="18"/>
      <w:szCs w:val="18"/>
    </w:rPr>
  </w:style>
  <w:style w:type="paragraph" w:styleId="30">
    <w:name w:val="footer"/>
    <w:basedOn w:val="1"/>
    <w:link w:val="217"/>
    <w:unhideWhenUsed/>
    <w:qFormat/>
    <w:uiPriority w:val="0"/>
    <w:pPr>
      <w:tabs>
        <w:tab w:val="center" w:pos="4153"/>
        <w:tab w:val="right" w:pos="8306"/>
      </w:tabs>
      <w:snapToGrid w:val="0"/>
      <w:jc w:val="left"/>
    </w:pPr>
    <w:rPr>
      <w:sz w:val="18"/>
      <w:szCs w:val="18"/>
    </w:rPr>
  </w:style>
  <w:style w:type="paragraph" w:styleId="31">
    <w:name w:val="header"/>
    <w:basedOn w:val="1"/>
    <w:link w:val="216"/>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279"/>
    <w:qFormat/>
    <w:uiPriority w:val="99"/>
    <w:pPr>
      <w:spacing w:before="240" w:after="60" w:line="312" w:lineRule="auto"/>
      <w:jc w:val="center"/>
      <w:outlineLvl w:val="1"/>
    </w:pPr>
    <w:rPr>
      <w:rFonts w:ascii="等线" w:hAnsi="等线" w:eastAsia="等线" w:cs="黑体"/>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278"/>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227"/>
    <w:qFormat/>
    <w:uiPriority w:val="0"/>
    <w:pPr>
      <w:spacing w:after="120" w:line="480" w:lineRule="auto"/>
    </w:pPr>
  </w:style>
  <w:style w:type="paragraph" w:styleId="40">
    <w:name w:val="HTML Preformatted"/>
    <w:basedOn w:val="1"/>
    <w:link w:val="2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254"/>
    <w:qFormat/>
    <w:uiPriority w:val="0"/>
    <w:pPr>
      <w:spacing w:before="240" w:after="60"/>
      <w:jc w:val="center"/>
      <w:outlineLvl w:val="0"/>
    </w:pPr>
    <w:rPr>
      <w:rFonts w:ascii="Cambria" w:hAnsi="Cambria"/>
      <w:b/>
      <w:sz w:val="32"/>
    </w:rPr>
  </w:style>
  <w:style w:type="paragraph" w:styleId="44">
    <w:name w:val="annotation subject"/>
    <w:basedOn w:val="17"/>
    <w:next w:val="17"/>
    <w:link w:val="241"/>
    <w:qFormat/>
    <w:uiPriority w:val="0"/>
    <w:rPr>
      <w:rFonts w:ascii="Calibri" w:hAnsi="Calibri" w:cs="黑体"/>
      <w:b/>
      <w:bCs/>
    </w:rPr>
  </w:style>
  <w:style w:type="paragraph" w:styleId="45">
    <w:name w:val="Body Text First Indent"/>
    <w:basedOn w:val="2"/>
    <w:link w:val="329"/>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p0"/>
    <w:basedOn w:val="1"/>
    <w:link w:val="242"/>
    <w:qFormat/>
    <w:uiPriority w:val="0"/>
    <w:pPr>
      <w:widowControl/>
    </w:pPr>
    <w:rPr>
      <w:rFonts w:ascii="Calibri" w:hAnsi="Calibri" w:cs="黑体"/>
      <w:szCs w:val="21"/>
    </w:rPr>
  </w:style>
  <w:style w:type="paragraph" w:customStyle="1" w:styleId="6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63">
    <w:name w:val="Char Char Char"/>
    <w:basedOn w:val="1"/>
    <w:qFormat/>
    <w:uiPriority w:val="0"/>
    <w:rPr>
      <w:rFonts w:ascii="宋体" w:hAnsi="宋体"/>
      <w:b/>
      <w:sz w:val="28"/>
      <w:szCs w:val="28"/>
    </w:rPr>
  </w:style>
  <w:style w:type="paragraph" w:customStyle="1" w:styleId="64">
    <w:name w:val="Style29"/>
    <w:basedOn w:val="1"/>
    <w:unhideWhenUsed/>
    <w:qFormat/>
    <w:uiPriority w:val="0"/>
    <w:pPr>
      <w:spacing w:line="547" w:lineRule="exact"/>
      <w:ind w:firstLine="547"/>
    </w:pPr>
  </w:style>
  <w:style w:type="paragraph" w:customStyle="1" w:styleId="6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66">
    <w:name w:val="Style13"/>
    <w:basedOn w:val="1"/>
    <w:unhideWhenUsed/>
    <w:qFormat/>
    <w:uiPriority w:val="0"/>
  </w:style>
  <w:style w:type="paragraph" w:customStyle="1" w:styleId="6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68">
    <w:name w:val="正文缩进2"/>
    <w:basedOn w:val="1"/>
    <w:qFormat/>
    <w:uiPriority w:val="0"/>
    <w:pPr>
      <w:tabs>
        <w:tab w:val="left" w:pos="720"/>
      </w:tabs>
      <w:ind w:left="624" w:hanging="624"/>
      <w:textAlignment w:val="baseline"/>
    </w:pPr>
    <w:rPr>
      <w:rFonts w:hint="eastAsia" w:ascii="宋体"/>
    </w:rPr>
  </w:style>
  <w:style w:type="paragraph" w:customStyle="1" w:styleId="69">
    <w:name w:val="Style23"/>
    <w:basedOn w:val="1"/>
    <w:unhideWhenUsed/>
    <w:qFormat/>
    <w:uiPriority w:val="0"/>
  </w:style>
  <w:style w:type="paragraph" w:customStyle="1" w:styleId="70">
    <w:name w:val="Style81"/>
    <w:basedOn w:val="1"/>
    <w:unhideWhenUsed/>
    <w:qFormat/>
    <w:uiPriority w:val="0"/>
    <w:pPr>
      <w:spacing w:line="547" w:lineRule="exact"/>
    </w:pPr>
  </w:style>
  <w:style w:type="paragraph" w:customStyle="1" w:styleId="71">
    <w:name w:val="Style73"/>
    <w:basedOn w:val="1"/>
    <w:unhideWhenUsed/>
    <w:qFormat/>
    <w:uiPriority w:val="0"/>
    <w:pPr>
      <w:spacing w:line="538" w:lineRule="exact"/>
      <w:ind w:firstLine="533"/>
    </w:pPr>
  </w:style>
  <w:style w:type="paragraph" w:customStyle="1" w:styleId="72">
    <w:name w:val="Style47"/>
    <w:basedOn w:val="1"/>
    <w:unhideWhenUsed/>
    <w:qFormat/>
    <w:uiPriority w:val="0"/>
  </w:style>
  <w:style w:type="paragraph" w:customStyle="1" w:styleId="7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74">
    <w:name w:val="Style77"/>
    <w:basedOn w:val="1"/>
    <w:unhideWhenUsed/>
    <w:qFormat/>
    <w:uiPriority w:val="0"/>
  </w:style>
  <w:style w:type="paragraph" w:customStyle="1" w:styleId="75">
    <w:name w:val="Style8"/>
    <w:basedOn w:val="1"/>
    <w:unhideWhenUsed/>
    <w:qFormat/>
    <w:uiPriority w:val="0"/>
    <w:pPr>
      <w:spacing w:line="566" w:lineRule="exact"/>
      <w:jc w:val="center"/>
    </w:pPr>
  </w:style>
  <w:style w:type="paragraph" w:customStyle="1" w:styleId="76">
    <w:name w:val="纯文本1"/>
    <w:qFormat/>
    <w:uiPriority w:val="0"/>
    <w:pPr>
      <w:widowControl w:val="0"/>
      <w:jc w:val="both"/>
    </w:pPr>
    <w:rPr>
      <w:rFonts w:ascii="宋体" w:hAnsi="宋体" w:eastAsia="宋体" w:cs="宋体"/>
      <w:color w:val="000000"/>
      <w:kern w:val="2"/>
      <w:sz w:val="21"/>
      <w:szCs w:val="21"/>
      <w:u w:color="000000"/>
      <w:lang w:val="en-US" w:eastAsia="zh-CN" w:bidi="ar-SA"/>
    </w:rPr>
  </w:style>
  <w:style w:type="paragraph" w:customStyle="1" w:styleId="77">
    <w:name w:val="Char1 Char Char Char Char Char Char Char Char Char"/>
    <w:basedOn w:val="1"/>
    <w:qFormat/>
    <w:uiPriority w:val="0"/>
    <w:rPr>
      <w:szCs w:val="20"/>
    </w:rPr>
  </w:style>
  <w:style w:type="paragraph" w:customStyle="1" w:styleId="78">
    <w:name w:val="_Style 1"/>
    <w:basedOn w:val="1"/>
    <w:qFormat/>
    <w:uiPriority w:val="34"/>
    <w:pPr>
      <w:ind w:firstLine="420" w:firstLineChars="200"/>
    </w:pPr>
    <w:rPr>
      <w:rFonts w:ascii="Calibri" w:hAnsi="Calibri" w:cs="黑体"/>
    </w:rPr>
  </w:style>
  <w:style w:type="paragraph" w:customStyle="1" w:styleId="79">
    <w:name w:val="_Style 39"/>
    <w:basedOn w:val="80"/>
    <w:qFormat/>
    <w:uiPriority w:val="0"/>
  </w:style>
  <w:style w:type="paragraph" w:customStyle="1" w:styleId="8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Style24"/>
    <w:basedOn w:val="1"/>
    <w:unhideWhenUsed/>
    <w:qFormat/>
    <w:uiPriority w:val="0"/>
  </w:style>
  <w:style w:type="paragraph" w:customStyle="1" w:styleId="82">
    <w:name w:val="Style34"/>
    <w:basedOn w:val="1"/>
    <w:unhideWhenUsed/>
    <w:qFormat/>
    <w:uiPriority w:val="0"/>
    <w:pPr>
      <w:spacing w:line="375" w:lineRule="exact"/>
    </w:pPr>
  </w:style>
  <w:style w:type="paragraph" w:customStyle="1" w:styleId="8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84">
    <w:name w:val="Style69"/>
    <w:basedOn w:val="1"/>
    <w:unhideWhenUsed/>
    <w:qFormat/>
    <w:uiPriority w:val="0"/>
    <w:pPr>
      <w:spacing w:line="557" w:lineRule="exact"/>
      <w:ind w:firstLine="1666"/>
    </w:pPr>
  </w:style>
  <w:style w:type="paragraph" w:customStyle="1" w:styleId="8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86">
    <w:name w:val="表格内容"/>
    <w:basedOn w:val="2"/>
    <w:qFormat/>
    <w:uiPriority w:val="0"/>
    <w:pPr>
      <w:suppressLineNumbers/>
      <w:suppressAutoHyphens/>
      <w:jc w:val="left"/>
    </w:pPr>
    <w:rPr>
      <w:rFonts w:cs="Tahoma"/>
      <w:kern w:val="0"/>
      <w:sz w:val="24"/>
    </w:rPr>
  </w:style>
  <w:style w:type="paragraph" w:customStyle="1" w:styleId="87">
    <w:name w:val="Style54"/>
    <w:basedOn w:val="1"/>
    <w:unhideWhenUsed/>
    <w:qFormat/>
    <w:uiPriority w:val="0"/>
  </w:style>
  <w:style w:type="paragraph" w:customStyle="1" w:styleId="88">
    <w:name w:val="标题 31"/>
    <w:basedOn w:val="1"/>
    <w:next w:val="1"/>
    <w:qFormat/>
    <w:uiPriority w:val="0"/>
    <w:pPr>
      <w:spacing w:before="60" w:line="300" w:lineRule="auto"/>
      <w:outlineLvl w:val="2"/>
    </w:pPr>
    <w:rPr>
      <w:rFonts w:ascii="宋体" w:hAnsi="宋体"/>
      <w:snapToGrid w:val="0"/>
      <w:kern w:val="0"/>
      <w:sz w:val="24"/>
    </w:rPr>
  </w:style>
  <w:style w:type="paragraph" w:customStyle="1" w:styleId="89">
    <w:name w:val="正文缩进3"/>
    <w:basedOn w:val="1"/>
    <w:qFormat/>
    <w:uiPriority w:val="0"/>
    <w:pPr>
      <w:tabs>
        <w:tab w:val="left" w:pos="720"/>
      </w:tabs>
      <w:ind w:left="624" w:hanging="624"/>
      <w:textAlignment w:val="baseline"/>
    </w:pPr>
    <w:rPr>
      <w:rFonts w:hint="eastAsia" w:ascii="宋体"/>
    </w:rPr>
  </w:style>
  <w:style w:type="paragraph" w:customStyle="1" w:styleId="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9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92">
    <w:name w:val="Style21"/>
    <w:basedOn w:val="1"/>
    <w:unhideWhenUsed/>
    <w:qFormat/>
    <w:uiPriority w:val="0"/>
    <w:pPr>
      <w:spacing w:line="566" w:lineRule="exact"/>
      <w:ind w:firstLine="682"/>
    </w:pPr>
  </w:style>
  <w:style w:type="paragraph" w:customStyle="1" w:styleId="9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94">
    <w:name w:val="Style12"/>
    <w:basedOn w:val="1"/>
    <w:unhideWhenUsed/>
    <w:qFormat/>
    <w:uiPriority w:val="0"/>
    <w:pPr>
      <w:spacing w:line="564" w:lineRule="exact"/>
      <w:ind w:hanging="115"/>
    </w:pPr>
  </w:style>
  <w:style w:type="paragraph" w:customStyle="1" w:styleId="95">
    <w:name w:val="Style58"/>
    <w:basedOn w:val="1"/>
    <w:unhideWhenUsed/>
    <w:qFormat/>
    <w:uiPriority w:val="0"/>
    <w:pPr>
      <w:spacing w:line="413" w:lineRule="exact"/>
    </w:pPr>
  </w:style>
  <w:style w:type="paragraph" w:customStyle="1" w:styleId="9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97">
    <w:name w:val="默认段落字体 Para Char Char Char Char Char Char Char Char Char Char Char Char Char Char Char Char Char Char Char"/>
    <w:basedOn w:val="1"/>
    <w:qFormat/>
    <w:uiPriority w:val="0"/>
  </w:style>
  <w:style w:type="paragraph" w:customStyle="1" w:styleId="98">
    <w:name w:val="p16"/>
    <w:basedOn w:val="1"/>
    <w:qFormat/>
    <w:uiPriority w:val="0"/>
    <w:pPr>
      <w:widowControl/>
      <w:jc w:val="left"/>
    </w:pPr>
    <w:rPr>
      <w:kern w:val="0"/>
      <w:szCs w:val="21"/>
    </w:rPr>
  </w:style>
  <w:style w:type="paragraph" w:customStyle="1" w:styleId="99">
    <w:name w:val="Char Char1 Char Char Char"/>
    <w:basedOn w:val="1"/>
    <w:qFormat/>
    <w:uiPriority w:val="0"/>
    <w:rPr>
      <w:kern w:val="0"/>
      <w:sz w:val="20"/>
      <w:szCs w:val="20"/>
    </w:rPr>
  </w:style>
  <w:style w:type="paragraph" w:customStyle="1" w:styleId="100">
    <w:name w:val="Style42"/>
    <w:basedOn w:val="1"/>
    <w:unhideWhenUsed/>
    <w:qFormat/>
    <w:uiPriority w:val="0"/>
    <w:pPr>
      <w:spacing w:line="542" w:lineRule="exact"/>
      <w:ind w:firstLine="547"/>
    </w:pPr>
  </w:style>
  <w:style w:type="paragraph" w:customStyle="1" w:styleId="101">
    <w:name w:val="Style11"/>
    <w:basedOn w:val="1"/>
    <w:unhideWhenUsed/>
    <w:qFormat/>
    <w:uiPriority w:val="0"/>
    <w:pPr>
      <w:spacing w:line="559" w:lineRule="exact"/>
      <w:ind w:firstLine="590"/>
    </w:pPr>
  </w:style>
  <w:style w:type="paragraph" w:customStyle="1" w:styleId="102">
    <w:name w:val="Style27"/>
    <w:basedOn w:val="1"/>
    <w:unhideWhenUsed/>
    <w:qFormat/>
    <w:uiPriority w:val="0"/>
  </w:style>
  <w:style w:type="paragraph" w:customStyle="1" w:styleId="103">
    <w:name w:val="1"/>
    <w:basedOn w:val="1"/>
    <w:qFormat/>
    <w:uiPriority w:val="0"/>
    <w:pPr>
      <w:spacing w:afterLines="50" w:line="360" w:lineRule="auto"/>
    </w:pPr>
    <w:rPr>
      <w:rFonts w:ascii="宋体" w:hAnsi="宋体"/>
      <w:b/>
      <w:sz w:val="30"/>
      <w:szCs w:val="21"/>
    </w:rPr>
  </w:style>
  <w:style w:type="paragraph" w:customStyle="1" w:styleId="104">
    <w:name w:val="标题 311"/>
    <w:basedOn w:val="1"/>
    <w:next w:val="105"/>
    <w:qFormat/>
    <w:uiPriority w:val="0"/>
    <w:pPr>
      <w:spacing w:line="300" w:lineRule="auto"/>
      <w:outlineLvl w:val="2"/>
    </w:pPr>
    <w:rPr>
      <w:rFonts w:hint="eastAsia" w:ascii="宋体" w:hAnsi="宋体"/>
      <w:snapToGrid w:val="0"/>
      <w:kern w:val="0"/>
      <w:sz w:val="24"/>
      <w:szCs w:val="22"/>
    </w:rPr>
  </w:style>
  <w:style w:type="paragraph" w:customStyle="1" w:styleId="10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10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07">
    <w:name w:val="Style68"/>
    <w:basedOn w:val="1"/>
    <w:unhideWhenUsed/>
    <w:qFormat/>
    <w:uiPriority w:val="0"/>
    <w:pPr>
      <w:spacing w:line="547" w:lineRule="exact"/>
    </w:pPr>
  </w:style>
  <w:style w:type="paragraph" w:customStyle="1" w:styleId="108">
    <w:name w:val="Char1 Char Char Char"/>
    <w:basedOn w:val="1"/>
    <w:qFormat/>
    <w:uiPriority w:val="0"/>
    <w:pPr>
      <w:widowControl/>
      <w:spacing w:after="160" w:line="240" w:lineRule="exact"/>
      <w:jc w:val="left"/>
    </w:pPr>
    <w:rPr>
      <w:kern w:val="0"/>
      <w:sz w:val="24"/>
      <w:szCs w:val="20"/>
    </w:rPr>
  </w:style>
  <w:style w:type="paragraph" w:customStyle="1" w:styleId="109">
    <w:name w:val="Style46"/>
    <w:basedOn w:val="1"/>
    <w:unhideWhenUsed/>
    <w:qFormat/>
    <w:uiPriority w:val="0"/>
    <w:pPr>
      <w:spacing w:line="672" w:lineRule="exact"/>
    </w:pPr>
  </w:style>
  <w:style w:type="paragraph" w:customStyle="1" w:styleId="110">
    <w:name w:val="Style67"/>
    <w:basedOn w:val="1"/>
    <w:unhideWhenUsed/>
    <w:qFormat/>
    <w:uiPriority w:val="0"/>
    <w:pPr>
      <w:spacing w:line="566" w:lineRule="exact"/>
      <w:ind w:firstLine="552"/>
    </w:pPr>
  </w:style>
  <w:style w:type="paragraph" w:customStyle="1" w:styleId="111">
    <w:name w:val="Char1 Char Char Char 字元 Char Char 字元 Char 字元 Char1 Char Char Char"/>
    <w:basedOn w:val="1"/>
    <w:qFormat/>
    <w:uiPriority w:val="0"/>
    <w:rPr>
      <w:szCs w:val="20"/>
    </w:rPr>
  </w:style>
  <w:style w:type="paragraph" w:customStyle="1" w:styleId="112">
    <w:name w:val="Style50"/>
    <w:basedOn w:val="1"/>
    <w:unhideWhenUsed/>
    <w:qFormat/>
    <w:uiPriority w:val="0"/>
  </w:style>
  <w:style w:type="paragraph" w:customStyle="1" w:styleId="113">
    <w:name w:val="Style41"/>
    <w:basedOn w:val="1"/>
    <w:unhideWhenUsed/>
    <w:qFormat/>
    <w:uiPriority w:val="0"/>
    <w:pPr>
      <w:spacing w:line="542" w:lineRule="exact"/>
      <w:ind w:firstLine="125"/>
    </w:pPr>
  </w:style>
  <w:style w:type="paragraph" w:customStyle="1" w:styleId="114">
    <w:name w:val="Style62"/>
    <w:basedOn w:val="1"/>
    <w:unhideWhenUsed/>
    <w:qFormat/>
    <w:uiPriority w:val="0"/>
  </w:style>
  <w:style w:type="paragraph" w:customStyle="1" w:styleId="11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Style5"/>
    <w:basedOn w:val="1"/>
    <w:unhideWhenUsed/>
    <w:qFormat/>
    <w:uiPriority w:val="0"/>
  </w:style>
  <w:style w:type="paragraph" w:customStyle="1" w:styleId="11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Style15"/>
    <w:basedOn w:val="1"/>
    <w:unhideWhenUsed/>
    <w:qFormat/>
    <w:uiPriority w:val="0"/>
    <w:pPr>
      <w:spacing w:line="557" w:lineRule="exact"/>
      <w:ind w:firstLine="672"/>
    </w:pPr>
  </w:style>
  <w:style w:type="paragraph" w:customStyle="1" w:styleId="11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120">
    <w:name w:val="列出段落1"/>
    <w:basedOn w:val="1"/>
    <w:qFormat/>
    <w:uiPriority w:val="99"/>
    <w:pPr>
      <w:ind w:firstLine="420" w:firstLineChars="200"/>
    </w:pPr>
    <w:rPr>
      <w:rFonts w:ascii="Calibri" w:hAnsi="Calibri" w:cs="Calibri"/>
      <w:szCs w:val="21"/>
    </w:rPr>
  </w:style>
  <w:style w:type="paragraph" w:customStyle="1" w:styleId="1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2">
    <w:name w:val="Style44"/>
    <w:basedOn w:val="1"/>
    <w:unhideWhenUsed/>
    <w:qFormat/>
    <w:uiPriority w:val="0"/>
  </w:style>
  <w:style w:type="paragraph" w:customStyle="1" w:styleId="123">
    <w:name w:val="Char Char1 Char Char Char Char Char1 Char Char Char Char"/>
    <w:basedOn w:val="15"/>
    <w:qFormat/>
    <w:uiPriority w:val="0"/>
    <w:rPr>
      <w:rFonts w:ascii="Tahoma" w:hAnsi="Tahoma"/>
    </w:rPr>
  </w:style>
  <w:style w:type="paragraph" w:customStyle="1" w:styleId="12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25">
    <w:name w:val="标题2"/>
    <w:basedOn w:val="43"/>
    <w:qFormat/>
    <w:uiPriority w:val="0"/>
    <w:pPr>
      <w:spacing w:after="240"/>
      <w:jc w:val="left"/>
    </w:pPr>
    <w:rPr>
      <w:sz w:val="30"/>
    </w:rPr>
  </w:style>
  <w:style w:type="paragraph" w:customStyle="1" w:styleId="126">
    <w:name w:val="Style52"/>
    <w:basedOn w:val="1"/>
    <w:unhideWhenUsed/>
    <w:qFormat/>
    <w:uiPriority w:val="0"/>
    <w:pPr>
      <w:spacing w:line="682" w:lineRule="exact"/>
      <w:ind w:firstLine="557"/>
    </w:pPr>
  </w:style>
  <w:style w:type="paragraph" w:customStyle="1" w:styleId="12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128">
    <w:name w:val="Style53"/>
    <w:basedOn w:val="1"/>
    <w:unhideWhenUsed/>
    <w:qFormat/>
    <w:uiPriority w:val="0"/>
    <w:pPr>
      <w:spacing w:line="533" w:lineRule="exact"/>
      <w:ind w:firstLine="581"/>
    </w:pPr>
  </w:style>
  <w:style w:type="paragraph" w:customStyle="1" w:styleId="129">
    <w:name w:val="Style56"/>
    <w:basedOn w:val="1"/>
    <w:unhideWhenUsed/>
    <w:qFormat/>
    <w:uiPriority w:val="0"/>
  </w:style>
  <w:style w:type="paragraph" w:customStyle="1" w:styleId="130">
    <w:name w:val="Style9"/>
    <w:basedOn w:val="1"/>
    <w:unhideWhenUsed/>
    <w:qFormat/>
    <w:uiPriority w:val="0"/>
  </w:style>
  <w:style w:type="paragraph" w:customStyle="1" w:styleId="131">
    <w:name w:val="列出段落2"/>
    <w:basedOn w:val="1"/>
    <w:qFormat/>
    <w:uiPriority w:val="0"/>
    <w:pPr>
      <w:ind w:firstLine="420" w:firstLineChars="200"/>
    </w:pPr>
    <w:rPr>
      <w:rFonts w:ascii="Calibri" w:hAnsi="Calibri"/>
      <w:szCs w:val="22"/>
    </w:rPr>
  </w:style>
  <w:style w:type="paragraph" w:customStyle="1" w:styleId="132">
    <w:name w:val="1 Char Char Char Char"/>
    <w:basedOn w:val="1"/>
    <w:qFormat/>
    <w:uiPriority w:val="0"/>
  </w:style>
  <w:style w:type="paragraph" w:customStyle="1" w:styleId="133">
    <w:name w:val="标题 1 +"/>
    <w:basedOn w:val="3"/>
    <w:next w:val="1"/>
    <w:qFormat/>
    <w:uiPriority w:val="0"/>
    <w:pPr>
      <w:keepLines/>
      <w:spacing w:line="600" w:lineRule="auto"/>
    </w:pPr>
    <w:rPr>
      <w:rFonts w:eastAsia="黑体"/>
      <w:sz w:val="32"/>
      <w:szCs w:val="32"/>
    </w:rPr>
  </w:style>
  <w:style w:type="paragraph" w:customStyle="1" w:styleId="134">
    <w:name w:val="Style59"/>
    <w:basedOn w:val="1"/>
    <w:unhideWhenUsed/>
    <w:qFormat/>
    <w:uiPriority w:val="0"/>
  </w:style>
  <w:style w:type="paragraph" w:customStyle="1" w:styleId="135">
    <w:name w:val="标题 41"/>
    <w:basedOn w:val="1"/>
    <w:next w:val="105"/>
    <w:qFormat/>
    <w:uiPriority w:val="0"/>
    <w:pPr>
      <w:tabs>
        <w:tab w:val="left" w:pos="1021"/>
        <w:tab w:val="left" w:pos="1175"/>
      </w:tabs>
      <w:ind w:left="2" w:firstLine="2"/>
      <w:outlineLvl w:val="3"/>
    </w:pPr>
    <w:rPr>
      <w:snapToGrid w:val="0"/>
      <w:color w:val="000000"/>
      <w:kern w:val="0"/>
      <w:sz w:val="24"/>
      <w:szCs w:val="22"/>
    </w:rPr>
  </w:style>
  <w:style w:type="paragraph" w:customStyle="1" w:styleId="136">
    <w:name w:val="Style16"/>
    <w:basedOn w:val="1"/>
    <w:unhideWhenUsed/>
    <w:qFormat/>
    <w:uiPriority w:val="0"/>
    <w:pPr>
      <w:jc w:val="right"/>
    </w:pPr>
  </w:style>
  <w:style w:type="paragraph" w:customStyle="1" w:styleId="137">
    <w:name w:val="Style4"/>
    <w:basedOn w:val="1"/>
    <w:unhideWhenUsed/>
    <w:qFormat/>
    <w:uiPriority w:val="0"/>
  </w:style>
  <w:style w:type="paragraph" w:customStyle="1" w:styleId="138">
    <w:name w:val="Style63"/>
    <w:basedOn w:val="1"/>
    <w:unhideWhenUsed/>
    <w:qFormat/>
    <w:uiPriority w:val="0"/>
    <w:pPr>
      <w:spacing w:line="564" w:lineRule="exact"/>
      <w:ind w:firstLine="682"/>
    </w:pPr>
  </w:style>
  <w:style w:type="paragraph" w:customStyle="1" w:styleId="139">
    <w:name w:val="标题3"/>
    <w:basedOn w:val="3"/>
    <w:qFormat/>
    <w:uiPriority w:val="0"/>
    <w:pPr>
      <w:spacing w:beforeLines="50" w:afterLines="50" w:line="400" w:lineRule="exact"/>
      <w:jc w:val="both"/>
    </w:pPr>
    <w:rPr>
      <w:rFonts w:ascii="宋体" w:hAnsi="宋体"/>
      <w:kern w:val="32"/>
      <w:szCs w:val="32"/>
    </w:rPr>
  </w:style>
  <w:style w:type="paragraph" w:customStyle="1" w:styleId="140">
    <w:name w:val="Style26"/>
    <w:basedOn w:val="1"/>
    <w:unhideWhenUsed/>
    <w:qFormat/>
    <w:uiPriority w:val="0"/>
  </w:style>
  <w:style w:type="paragraph" w:customStyle="1" w:styleId="141">
    <w:name w:val="Style64"/>
    <w:basedOn w:val="1"/>
    <w:unhideWhenUsed/>
    <w:qFormat/>
    <w:uiPriority w:val="0"/>
  </w:style>
  <w:style w:type="paragraph" w:customStyle="1" w:styleId="142">
    <w:name w:val="Style48"/>
    <w:basedOn w:val="1"/>
    <w:unhideWhenUsed/>
    <w:qFormat/>
    <w:uiPriority w:val="0"/>
    <w:pPr>
      <w:spacing w:line="542" w:lineRule="exact"/>
      <w:jc w:val="right"/>
    </w:pPr>
  </w:style>
  <w:style w:type="paragraph" w:customStyle="1" w:styleId="143">
    <w:name w:val="Style70"/>
    <w:basedOn w:val="1"/>
    <w:unhideWhenUsed/>
    <w:qFormat/>
    <w:uiPriority w:val="0"/>
    <w:pPr>
      <w:spacing w:line="549" w:lineRule="exact"/>
      <w:ind w:firstLine="686"/>
    </w:pPr>
  </w:style>
  <w:style w:type="paragraph" w:customStyle="1" w:styleId="144">
    <w:name w:val="Style78"/>
    <w:basedOn w:val="1"/>
    <w:unhideWhenUsed/>
    <w:qFormat/>
    <w:uiPriority w:val="0"/>
  </w:style>
  <w:style w:type="paragraph" w:customStyle="1" w:styleId="145">
    <w:name w:val="Style60"/>
    <w:basedOn w:val="1"/>
    <w:unhideWhenUsed/>
    <w:qFormat/>
    <w:uiPriority w:val="0"/>
    <w:pPr>
      <w:spacing w:line="566" w:lineRule="exact"/>
    </w:pPr>
  </w:style>
  <w:style w:type="paragraph" w:customStyle="1" w:styleId="146">
    <w:name w:val="NO3"/>
    <w:basedOn w:val="1"/>
    <w:qFormat/>
    <w:uiPriority w:val="0"/>
    <w:pPr>
      <w:tabs>
        <w:tab w:val="left" w:pos="907"/>
      </w:tabs>
      <w:spacing w:line="360" w:lineRule="auto"/>
    </w:pPr>
    <w:rPr>
      <w:rFonts w:ascii="宋体" w:hAnsi="宋体"/>
      <w:sz w:val="24"/>
    </w:rPr>
  </w:style>
  <w:style w:type="paragraph" w:customStyle="1" w:styleId="147">
    <w:name w:val="Char"/>
    <w:basedOn w:val="1"/>
    <w:qFormat/>
    <w:uiPriority w:val="0"/>
    <w:pPr>
      <w:tabs>
        <w:tab w:val="left" w:pos="360"/>
      </w:tabs>
      <w:ind w:left="360" w:hanging="360" w:hangingChars="200"/>
    </w:pPr>
    <w:rPr>
      <w:sz w:val="24"/>
    </w:rPr>
  </w:style>
  <w:style w:type="paragraph" w:customStyle="1" w:styleId="148">
    <w:name w:val="附录标识"/>
    <w:basedOn w:val="90"/>
    <w:qFormat/>
    <w:uiPriority w:val="0"/>
    <w:pPr>
      <w:tabs>
        <w:tab w:val="left" w:pos="6405"/>
        <w:tab w:val="clear" w:pos="360"/>
        <w:tab w:val="clear" w:pos="720"/>
      </w:tabs>
      <w:spacing w:after="200"/>
    </w:pPr>
    <w:rPr>
      <w:sz w:val="21"/>
    </w:rPr>
  </w:style>
  <w:style w:type="paragraph" w:customStyle="1" w:styleId="149">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0">
    <w:name w:val="Style74"/>
    <w:basedOn w:val="1"/>
    <w:unhideWhenUsed/>
    <w:qFormat/>
    <w:uiPriority w:val="0"/>
    <w:pPr>
      <w:spacing w:line="437" w:lineRule="exact"/>
    </w:pPr>
  </w:style>
  <w:style w:type="paragraph" w:customStyle="1" w:styleId="151">
    <w:name w:val="Style36"/>
    <w:basedOn w:val="1"/>
    <w:unhideWhenUsed/>
    <w:qFormat/>
    <w:uiPriority w:val="0"/>
  </w:style>
  <w:style w:type="paragraph" w:customStyle="1" w:styleId="152">
    <w:name w:val="Style61"/>
    <w:basedOn w:val="1"/>
    <w:unhideWhenUsed/>
    <w:qFormat/>
    <w:uiPriority w:val="0"/>
  </w:style>
  <w:style w:type="paragraph" w:customStyle="1" w:styleId="153">
    <w:name w:val="标题 21"/>
    <w:basedOn w:val="1"/>
    <w:next w:val="105"/>
    <w:qFormat/>
    <w:uiPriority w:val="0"/>
    <w:pPr>
      <w:spacing w:line="300" w:lineRule="auto"/>
      <w:outlineLvl w:val="1"/>
    </w:pPr>
    <w:rPr>
      <w:rFonts w:hint="eastAsia" w:ascii="宋体" w:hAnsi="宋体"/>
      <w:b/>
      <w:snapToGrid w:val="0"/>
      <w:kern w:val="0"/>
      <w:sz w:val="28"/>
      <w:szCs w:val="22"/>
    </w:rPr>
  </w:style>
  <w:style w:type="paragraph" w:customStyle="1" w:styleId="154">
    <w:name w:val="Style76"/>
    <w:basedOn w:val="1"/>
    <w:unhideWhenUsed/>
    <w:qFormat/>
    <w:uiPriority w:val="0"/>
  </w:style>
  <w:style w:type="paragraph" w:customStyle="1" w:styleId="155">
    <w:name w:val="列表段落1"/>
    <w:basedOn w:val="1"/>
    <w:qFormat/>
    <w:uiPriority w:val="0"/>
    <w:pPr>
      <w:ind w:firstLine="420" w:firstLineChars="200"/>
    </w:pPr>
  </w:style>
  <w:style w:type="paragraph" w:customStyle="1" w:styleId="156">
    <w:name w:val="修订1"/>
    <w:qFormat/>
    <w:uiPriority w:val="0"/>
    <w:rPr>
      <w:rFonts w:ascii="Times New Roman" w:hAnsi="Times New Roman" w:eastAsia="宋体" w:cs="Times New Roman"/>
      <w:kern w:val="2"/>
      <w:sz w:val="21"/>
      <w:szCs w:val="24"/>
      <w:lang w:val="en-US" w:eastAsia="zh-CN" w:bidi="ar-SA"/>
    </w:rPr>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_Style 7"/>
    <w:basedOn w:val="1"/>
    <w:qFormat/>
    <w:uiPriority w:val="0"/>
    <w:pPr>
      <w:ind w:firstLine="420" w:firstLineChars="200"/>
    </w:pPr>
    <w:rPr>
      <w:rFonts w:ascii="Calibri" w:hAnsi="Calibri" w:cs="黑体"/>
    </w:rPr>
  </w:style>
  <w:style w:type="paragraph" w:customStyle="1" w:styleId="159">
    <w:name w:val="Char Char1 Char Char Char Char Char Char Char"/>
    <w:basedOn w:val="1"/>
    <w:qFormat/>
    <w:uiPriority w:val="0"/>
    <w:pPr>
      <w:widowControl/>
      <w:spacing w:after="160" w:line="240" w:lineRule="exact"/>
      <w:jc w:val="left"/>
    </w:pPr>
  </w:style>
  <w:style w:type="paragraph" w:customStyle="1" w:styleId="16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Style10"/>
    <w:basedOn w:val="1"/>
    <w:unhideWhenUsed/>
    <w:qFormat/>
    <w:uiPriority w:val="0"/>
    <w:pPr>
      <w:spacing w:line="538" w:lineRule="exact"/>
    </w:pPr>
  </w:style>
  <w:style w:type="paragraph" w:customStyle="1" w:styleId="16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64">
    <w:name w:val="Style72"/>
    <w:basedOn w:val="1"/>
    <w:unhideWhenUsed/>
    <w:qFormat/>
    <w:uiPriority w:val="0"/>
  </w:style>
  <w:style w:type="paragraph" w:customStyle="1" w:styleId="165">
    <w:name w:val="Style45"/>
    <w:basedOn w:val="1"/>
    <w:unhideWhenUsed/>
    <w:qFormat/>
    <w:uiPriority w:val="0"/>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Style80"/>
    <w:basedOn w:val="1"/>
    <w:unhideWhenUsed/>
    <w:qFormat/>
    <w:uiPriority w:val="0"/>
  </w:style>
  <w:style w:type="paragraph" w:customStyle="1" w:styleId="168">
    <w:name w:val="Style71"/>
    <w:basedOn w:val="1"/>
    <w:unhideWhenUsed/>
    <w:qFormat/>
    <w:uiPriority w:val="0"/>
    <w:pPr>
      <w:spacing w:line="538" w:lineRule="exact"/>
      <w:ind w:firstLine="101"/>
    </w:pPr>
  </w:style>
  <w:style w:type="paragraph" w:customStyle="1" w:styleId="169">
    <w:name w:val="Style65"/>
    <w:basedOn w:val="1"/>
    <w:unhideWhenUsed/>
    <w:qFormat/>
    <w:uiPriority w:val="0"/>
  </w:style>
  <w:style w:type="paragraph" w:customStyle="1" w:styleId="170">
    <w:name w:val="Style28"/>
    <w:basedOn w:val="1"/>
    <w:unhideWhenUsed/>
    <w:qFormat/>
    <w:uiPriority w:val="0"/>
    <w:pPr>
      <w:spacing w:line="552" w:lineRule="exact"/>
      <w:ind w:firstLine="547"/>
    </w:pPr>
  </w:style>
  <w:style w:type="paragraph" w:customStyle="1" w:styleId="17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172">
    <w:name w:val="标题 32"/>
    <w:basedOn w:val="1"/>
    <w:next w:val="1"/>
    <w:qFormat/>
    <w:uiPriority w:val="0"/>
    <w:pPr>
      <w:spacing w:before="60" w:line="300" w:lineRule="auto"/>
      <w:outlineLvl w:val="2"/>
    </w:pPr>
    <w:rPr>
      <w:rFonts w:hint="eastAsia" w:ascii="宋体" w:hAnsi="宋体" w:cs="黑体"/>
      <w:snapToGrid w:val="0"/>
      <w:kern w:val="0"/>
      <w:sz w:val="24"/>
      <w:szCs w:val="20"/>
    </w:rPr>
  </w:style>
  <w:style w:type="paragraph" w:customStyle="1" w:styleId="17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公文正文"/>
    <w:link w:val="336"/>
    <w:qFormat/>
    <w:uiPriority w:val="0"/>
    <w:pPr>
      <w:widowControl w:val="0"/>
      <w:spacing w:line="360" w:lineRule="auto"/>
      <w:ind w:firstLine="629"/>
      <w:jc w:val="both"/>
    </w:pPr>
    <w:rPr>
      <w:rFonts w:ascii="仿宋_GB2312" w:hAnsi="Calisto MT" w:eastAsia="仿宋_GB2312" w:cs="黑体"/>
      <w:color w:val="000000"/>
      <w:sz w:val="32"/>
      <w:lang w:val="en-US" w:eastAsia="zh-CN" w:bidi="ar-SA"/>
    </w:rPr>
  </w:style>
  <w:style w:type="paragraph" w:customStyle="1" w:styleId="175">
    <w:name w:val="无间隔1"/>
    <w:link w:val="339"/>
    <w:qFormat/>
    <w:uiPriority w:val="1"/>
    <w:rPr>
      <w:rFonts w:ascii="Calibri" w:hAnsi="Calibri" w:eastAsia="等线" w:cs="黑体"/>
      <w:sz w:val="22"/>
      <w:szCs w:val="22"/>
      <w:lang w:val="en-US" w:eastAsia="zh-CN" w:bidi="ar-SA"/>
    </w:rPr>
  </w:style>
  <w:style w:type="paragraph" w:customStyle="1" w:styleId="176">
    <w:name w:val="样式 样式 样式 标题 2标题 1.1第一层条第二层论文标题 1Para2Title1H2h22l2list + ch...1 ..."/>
    <w:basedOn w:val="177"/>
    <w:link w:val="340"/>
    <w:qFormat/>
    <w:uiPriority w:val="0"/>
    <w:pPr>
      <w:tabs>
        <w:tab w:val="left" w:pos="567"/>
        <w:tab w:val="left" w:pos="840"/>
        <w:tab w:val="left" w:pos="965"/>
      </w:tabs>
      <w:spacing w:beforeLines="0" w:afterLines="0"/>
      <w:ind w:left="965" w:right="105" w:hanging="425"/>
    </w:pPr>
    <w:rPr>
      <w:sz w:val="28"/>
      <w:szCs w:val="28"/>
    </w:rPr>
  </w:style>
  <w:style w:type="paragraph" w:customStyle="1" w:styleId="177">
    <w:name w:val="样式 样式 标题 2标题 1.1第一层条第二层论文标题 1Para2Title1H2h22l2list + ch...1 + 右...1"/>
    <w:basedOn w:val="178"/>
    <w:link w:val="348"/>
    <w:qFormat/>
    <w:uiPriority w:val="0"/>
    <w:pPr>
      <w:tabs>
        <w:tab w:val="left" w:pos="567"/>
        <w:tab w:val="left" w:pos="840"/>
      </w:tabs>
      <w:spacing w:beforeLines="50" w:afterLines="50"/>
      <w:ind w:left="576"/>
    </w:pPr>
  </w:style>
  <w:style w:type="paragraph" w:customStyle="1" w:styleId="178">
    <w:name w:val="样式 标题 2标题 1.1第一层条第二层论文标题 1Para2Title1H2h22l2list + ch...1"/>
    <w:basedOn w:val="4"/>
    <w:link w:val="349"/>
    <w:qFormat/>
    <w:uiPriority w:val="0"/>
    <w:pPr>
      <w:tabs>
        <w:tab w:val="left" w:pos="840"/>
      </w:tabs>
      <w:adjustRightInd w:val="0"/>
      <w:ind w:right="50" w:rightChars="50"/>
      <w:textAlignment w:val="baseline"/>
    </w:pPr>
    <w:rPr>
      <w:rFonts w:eastAsia="等线" w:cs="宋体"/>
      <w:bCs w:val="0"/>
      <w:color w:val="000000"/>
      <w:szCs w:val="24"/>
    </w:rPr>
  </w:style>
  <w:style w:type="paragraph" w:customStyle="1" w:styleId="179">
    <w:name w:val="列表框1"/>
    <w:basedOn w:val="180"/>
    <w:next w:val="180"/>
    <w:link w:val="341"/>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180">
    <w:name w:val="应答文本"/>
    <w:basedOn w:val="1"/>
    <w:link w:val="35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paragraph" w:customStyle="1" w:styleId="181">
    <w:name w:val="样式 标题 1标题 1 111121314151111211311611212213217113..."/>
    <w:basedOn w:val="3"/>
    <w:link w:val="343"/>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黑体"/>
      <w:b w:val="0"/>
      <w:kern w:val="44"/>
      <w:sz w:val="48"/>
      <w:szCs w:val="32"/>
    </w:rPr>
  </w:style>
  <w:style w:type="paragraph" w:customStyle="1" w:styleId="182">
    <w:name w:val="样式 标题 4Para4CDR_Lev 4Title3h44 dashddash + (符号) 宋体 加粗"/>
    <w:basedOn w:val="6"/>
    <w:link w:val="345"/>
    <w:qFormat/>
    <w:uiPriority w:val="0"/>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183">
    <w:name w:val="样式 样式 样式 样式 标题 2标题 1.1第一层条第二层论文标题 1Para2Title1H2h22l2list + ch....."/>
    <w:basedOn w:val="176"/>
    <w:link w:val="352"/>
    <w:qFormat/>
    <w:uiPriority w:val="0"/>
    <w:pPr>
      <w:spacing w:before="50" w:after="50"/>
      <w:ind w:left="1134" w:right="50" w:hanging="1134"/>
    </w:pPr>
    <w:rPr>
      <w:rFonts w:ascii="宋体" w:hAnsi="宋体"/>
      <w:sz w:val="20"/>
    </w:rPr>
  </w:style>
  <w:style w:type="paragraph" w:customStyle="1" w:styleId="184">
    <w:name w:val="章标题"/>
    <w:next w:val="185"/>
    <w:qFormat/>
    <w:uiPriority w:val="0"/>
    <w:pPr>
      <w:numPr>
        <w:ilvl w:val="1"/>
        <w:numId w:val="1"/>
      </w:numPr>
      <w:tabs>
        <w:tab w:val="left" w:pos="2238"/>
      </w:tabs>
      <w:spacing w:beforeLines="50" w:afterLines="50"/>
      <w:jc w:val="both"/>
      <w:outlineLvl w:val="1"/>
    </w:pPr>
    <w:rPr>
      <w:rFonts w:ascii="黑体" w:hAnsi="Times New Roman" w:eastAsia="黑体" w:cs="Times New Roman"/>
      <w:sz w:val="21"/>
      <w:lang w:val="en-US" w:eastAsia="zh-CN" w:bidi="ar-SA"/>
    </w:rPr>
  </w:style>
  <w:style w:type="paragraph" w:customStyle="1" w:styleId="1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6">
    <w:name w:val="表格"/>
    <w:basedOn w:val="1"/>
    <w:qFormat/>
    <w:uiPriority w:val="0"/>
    <w:pPr>
      <w:jc w:val="center"/>
    </w:pPr>
    <w:rPr>
      <w:rFonts w:ascii="华文细黑" w:hAnsi="华文细黑"/>
      <w:kern w:val="0"/>
      <w:szCs w:val="20"/>
    </w:rPr>
  </w:style>
  <w:style w:type="paragraph" w:customStyle="1" w:styleId="187">
    <w:name w:val="_Style 11"/>
    <w:basedOn w:val="15"/>
    <w:qFormat/>
    <w:uiPriority w:val="0"/>
  </w:style>
  <w:style w:type="paragraph" w:customStyle="1" w:styleId="188">
    <w:name w:val="Char2"/>
    <w:basedOn w:val="1"/>
    <w:qFormat/>
    <w:uiPriority w:val="0"/>
    <w:rPr>
      <w:sz w:val="24"/>
    </w:rPr>
  </w:style>
  <w:style w:type="paragraph" w:customStyle="1" w:styleId="189">
    <w:name w:val="正文文本缩进1"/>
    <w:basedOn w:val="1"/>
    <w:qFormat/>
    <w:uiPriority w:val="0"/>
    <w:pPr>
      <w:ind w:firstLine="420" w:firstLineChars="200"/>
    </w:pPr>
  </w:style>
  <w:style w:type="paragraph" w:customStyle="1" w:styleId="190">
    <w:name w:val="正文缩进11"/>
    <w:basedOn w:val="1"/>
    <w:qFormat/>
    <w:uiPriority w:val="0"/>
    <w:pPr>
      <w:tabs>
        <w:tab w:val="left" w:pos="720"/>
      </w:tabs>
      <w:ind w:left="624" w:hanging="624"/>
      <w:textAlignment w:val="baseline"/>
    </w:pPr>
    <w:rPr>
      <w:rFonts w:hint="eastAsia" w:ascii="宋体"/>
      <w:szCs w:val="22"/>
    </w:rPr>
  </w:style>
  <w:style w:type="paragraph" w:customStyle="1" w:styleId="191">
    <w:name w:val="样式 行距: 1.5 倍行距"/>
    <w:basedOn w:val="1"/>
    <w:qFormat/>
    <w:uiPriority w:val="0"/>
    <w:pPr>
      <w:spacing w:line="360" w:lineRule="auto"/>
    </w:pPr>
    <w:rPr>
      <w:rFonts w:cs="宋体"/>
      <w:szCs w:val="20"/>
    </w:rPr>
  </w:style>
  <w:style w:type="paragraph" w:customStyle="1" w:styleId="192">
    <w:name w:val="Char Char1 Char Char Char Char Char Char Char Char Char Char"/>
    <w:basedOn w:val="1"/>
    <w:qFormat/>
    <w:uiPriority w:val="0"/>
    <w:rPr>
      <w:sz w:val="24"/>
    </w:rPr>
  </w:style>
  <w:style w:type="paragraph" w:customStyle="1" w:styleId="193">
    <w:name w:val="Char Char17 Char Char"/>
    <w:basedOn w:val="15"/>
    <w:qFormat/>
    <w:uiPriority w:val="0"/>
    <w:pPr>
      <w:widowControl/>
      <w:jc w:val="left"/>
    </w:pPr>
  </w:style>
  <w:style w:type="paragraph" w:customStyle="1" w:styleId="194">
    <w:name w:val="目录文字"/>
    <w:basedOn w:val="1"/>
    <w:qFormat/>
    <w:uiPriority w:val="0"/>
    <w:pPr>
      <w:widowControl/>
      <w:spacing w:line="480" w:lineRule="auto"/>
      <w:jc w:val="left"/>
    </w:pPr>
    <w:rPr>
      <w:rFonts w:ascii="宋体" w:hAnsi="宋体"/>
      <w:kern w:val="0"/>
      <w:sz w:val="24"/>
      <w:szCs w:val="20"/>
    </w:rPr>
  </w:style>
  <w:style w:type="paragraph" w:customStyle="1" w:styleId="195">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196">
    <w:name w:val="Char Char Char Char Char Char Char Char Char Char Char Char Char Char Char Char"/>
    <w:basedOn w:val="1"/>
    <w:qFormat/>
    <w:uiPriority w:val="0"/>
    <w:rPr>
      <w:szCs w:val="20"/>
    </w:rPr>
  </w:style>
  <w:style w:type="paragraph" w:customStyle="1" w:styleId="197">
    <w:name w:val="列表段落2"/>
    <w:basedOn w:val="1"/>
    <w:qFormat/>
    <w:uiPriority w:val="0"/>
    <w:pPr>
      <w:ind w:firstLine="420" w:firstLineChars="200"/>
    </w:pPr>
  </w:style>
  <w:style w:type="paragraph" w:customStyle="1" w:styleId="198">
    <w:name w:val="日期1"/>
    <w:basedOn w:val="1"/>
    <w:next w:val="1"/>
    <w:qFormat/>
    <w:uiPriority w:val="0"/>
    <w:pPr>
      <w:ind w:left="100" w:leftChars="2500"/>
    </w:pPr>
  </w:style>
  <w:style w:type="paragraph" w:customStyle="1" w:styleId="199">
    <w:name w:val="普通(网站)1"/>
    <w:basedOn w:val="1"/>
    <w:qFormat/>
    <w:uiPriority w:val="0"/>
    <w:pPr>
      <w:widowControl/>
      <w:jc w:val="left"/>
    </w:pPr>
    <w:rPr>
      <w:rFonts w:hint="eastAsia" w:ascii="宋体" w:hAnsi="宋体"/>
      <w:sz w:val="24"/>
    </w:rPr>
  </w:style>
  <w:style w:type="paragraph" w:customStyle="1" w:styleId="200">
    <w:name w:val="文档结构图1"/>
    <w:basedOn w:val="1"/>
    <w:qFormat/>
    <w:uiPriority w:val="0"/>
    <w:pPr>
      <w:shd w:val="clear" w:color="auto" w:fill="000080"/>
    </w:pPr>
  </w:style>
  <w:style w:type="paragraph" w:customStyle="1" w:styleId="201">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202">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03">
    <w:name w:val="正文文本 22"/>
    <w:basedOn w:val="1"/>
    <w:qFormat/>
    <w:uiPriority w:val="0"/>
    <w:pPr>
      <w:spacing w:after="120" w:line="480" w:lineRule="auto"/>
    </w:pPr>
  </w:style>
  <w:style w:type="paragraph" w:customStyle="1" w:styleId="204">
    <w:name w:val="Char Char Char Char"/>
    <w:basedOn w:val="1"/>
    <w:qFormat/>
    <w:uiPriority w:val="0"/>
  </w:style>
  <w:style w:type="paragraph" w:customStyle="1" w:styleId="20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206">
    <w:name w:val="右侧正文"/>
    <w:basedOn w:val="1"/>
    <w:qFormat/>
    <w:uiPriority w:val="0"/>
    <w:pPr>
      <w:spacing w:line="360" w:lineRule="auto"/>
    </w:pPr>
    <w:rPr>
      <w:rFonts w:ascii="宋体" w:hAnsi="宋体"/>
      <w:sz w:val="24"/>
      <w:szCs w:val="28"/>
    </w:rPr>
  </w:style>
  <w:style w:type="paragraph" w:customStyle="1" w:styleId="207">
    <w:name w:val="WPSOffice手动目录 1"/>
    <w:qFormat/>
    <w:uiPriority w:val="0"/>
    <w:rPr>
      <w:rFonts w:ascii="Times New Roman" w:hAnsi="Times New Roman" w:eastAsia="宋体" w:cs="Times New Roman"/>
      <w:lang w:val="en-US" w:eastAsia="zh-CN" w:bidi="ar-SA"/>
    </w:rPr>
  </w:style>
  <w:style w:type="paragraph" w:customStyle="1" w:styleId="2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9">
    <w:name w:val="普通(网站)2"/>
    <w:basedOn w:val="1"/>
    <w:qFormat/>
    <w:uiPriority w:val="0"/>
    <w:pPr>
      <w:widowControl/>
      <w:jc w:val="left"/>
    </w:pPr>
    <w:rPr>
      <w:rFonts w:hint="eastAsia" w:ascii="宋体" w:hAnsi="宋体"/>
      <w:sz w:val="24"/>
    </w:rPr>
  </w:style>
  <w:style w:type="paragraph" w:customStyle="1" w:styleId="210">
    <w:name w:val="正文文本 23"/>
    <w:basedOn w:val="1"/>
    <w:qFormat/>
    <w:uiPriority w:val="0"/>
    <w:pPr>
      <w:spacing w:after="120" w:line="480" w:lineRule="auto"/>
    </w:pPr>
  </w:style>
  <w:style w:type="paragraph" w:customStyle="1" w:styleId="211">
    <w:name w:val="文档结构图2"/>
    <w:basedOn w:val="1"/>
    <w:qFormat/>
    <w:uiPriority w:val="0"/>
    <w:pPr>
      <w:shd w:val="clear" w:color="auto" w:fill="000080"/>
    </w:pPr>
  </w:style>
  <w:style w:type="paragraph" w:customStyle="1" w:styleId="2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正文文本缩进2"/>
    <w:basedOn w:val="1"/>
    <w:qFormat/>
    <w:uiPriority w:val="0"/>
    <w:pPr>
      <w:ind w:firstLine="420" w:firstLineChars="200"/>
    </w:pPr>
  </w:style>
  <w:style w:type="paragraph" w:customStyle="1" w:styleId="214">
    <w:name w:val="日期2"/>
    <w:basedOn w:val="1"/>
    <w:next w:val="1"/>
    <w:qFormat/>
    <w:uiPriority w:val="0"/>
    <w:pPr>
      <w:ind w:left="100" w:leftChars="2500"/>
    </w:pPr>
  </w:style>
  <w:style w:type="paragraph" w:customStyle="1" w:styleId="215">
    <w:name w:val="样式3"/>
    <w:basedOn w:val="1"/>
    <w:qFormat/>
    <w:uiPriority w:val="0"/>
    <w:pPr>
      <w:spacing w:line="360" w:lineRule="auto"/>
      <w:ind w:firstLine="480"/>
      <w:jc w:val="left"/>
    </w:pPr>
    <w:rPr>
      <w:rFonts w:ascii="宋体"/>
      <w:sz w:val="24"/>
      <w:szCs w:val="22"/>
    </w:rPr>
  </w:style>
  <w:style w:type="character" w:customStyle="1" w:styleId="216">
    <w:name w:val="页眉 字符"/>
    <w:link w:val="31"/>
    <w:qFormat/>
    <w:uiPriority w:val="0"/>
    <w:rPr>
      <w:sz w:val="18"/>
      <w:szCs w:val="18"/>
    </w:rPr>
  </w:style>
  <w:style w:type="character" w:customStyle="1" w:styleId="217">
    <w:name w:val="页脚 字符"/>
    <w:link w:val="30"/>
    <w:qFormat/>
    <w:uiPriority w:val="0"/>
    <w:rPr>
      <w:sz w:val="18"/>
      <w:szCs w:val="18"/>
    </w:rPr>
  </w:style>
  <w:style w:type="character" w:customStyle="1" w:styleId="218">
    <w:name w:val="标题 1 字符"/>
    <w:link w:val="3"/>
    <w:qFormat/>
    <w:uiPriority w:val="0"/>
    <w:rPr>
      <w:rFonts w:ascii="Times New Roman" w:hAnsi="Times New Roman" w:eastAsia="宋体" w:cs="Times New Roman"/>
      <w:b/>
      <w:bCs/>
      <w:kern w:val="0"/>
      <w:sz w:val="24"/>
      <w:szCs w:val="20"/>
    </w:rPr>
  </w:style>
  <w:style w:type="character" w:customStyle="1" w:styleId="219">
    <w:name w:val="标题 2 字符"/>
    <w:link w:val="4"/>
    <w:qFormat/>
    <w:uiPriority w:val="0"/>
    <w:rPr>
      <w:rFonts w:ascii="Arial" w:hAnsi="Arial" w:eastAsia="宋体" w:cs="Times New Roman"/>
      <w:b/>
      <w:bCs/>
      <w:kern w:val="0"/>
      <w:sz w:val="24"/>
      <w:szCs w:val="32"/>
    </w:rPr>
  </w:style>
  <w:style w:type="character" w:customStyle="1" w:styleId="220">
    <w:name w:val="标题 3 字符"/>
    <w:link w:val="5"/>
    <w:qFormat/>
    <w:uiPriority w:val="0"/>
    <w:rPr>
      <w:rFonts w:ascii="Times New Roman" w:hAnsi="Times New Roman" w:eastAsia="宋体" w:cs="Times New Roman"/>
      <w:b/>
      <w:bCs/>
      <w:kern w:val="0"/>
      <w:sz w:val="32"/>
      <w:szCs w:val="32"/>
    </w:rPr>
  </w:style>
  <w:style w:type="character" w:customStyle="1" w:styleId="221">
    <w:name w:val="标题 4 字符"/>
    <w:link w:val="6"/>
    <w:qFormat/>
    <w:uiPriority w:val="0"/>
    <w:rPr>
      <w:rFonts w:ascii="Arial" w:hAnsi="Arial" w:eastAsia="黑体" w:cs="Times New Roman"/>
      <w:b/>
      <w:bCs/>
      <w:kern w:val="0"/>
      <w:sz w:val="28"/>
      <w:szCs w:val="28"/>
    </w:rPr>
  </w:style>
  <w:style w:type="character" w:customStyle="1" w:styleId="222">
    <w:name w:val="标题 5 字符"/>
    <w:link w:val="7"/>
    <w:qFormat/>
    <w:uiPriority w:val="0"/>
    <w:rPr>
      <w:rFonts w:ascii="Times New Roman" w:hAnsi="Times New Roman" w:eastAsia="宋体" w:cs="Times New Roman"/>
      <w:b/>
      <w:bCs/>
      <w:kern w:val="0"/>
      <w:sz w:val="28"/>
      <w:szCs w:val="28"/>
    </w:rPr>
  </w:style>
  <w:style w:type="character" w:customStyle="1" w:styleId="223">
    <w:name w:val="标题 6 字符"/>
    <w:link w:val="8"/>
    <w:qFormat/>
    <w:uiPriority w:val="0"/>
    <w:rPr>
      <w:rFonts w:ascii="Arial" w:hAnsi="Arial" w:eastAsia="黑体" w:cs="Times New Roman"/>
      <w:b/>
      <w:bCs/>
      <w:kern w:val="0"/>
      <w:sz w:val="24"/>
      <w:szCs w:val="24"/>
    </w:rPr>
  </w:style>
  <w:style w:type="character" w:customStyle="1" w:styleId="224">
    <w:name w:val="标题 7 字符"/>
    <w:link w:val="9"/>
    <w:qFormat/>
    <w:uiPriority w:val="0"/>
    <w:rPr>
      <w:rFonts w:ascii="Times New Roman" w:hAnsi="Times New Roman" w:eastAsia="宋体" w:cs="Times New Roman"/>
      <w:b/>
      <w:bCs/>
      <w:kern w:val="0"/>
      <w:sz w:val="24"/>
      <w:szCs w:val="24"/>
    </w:rPr>
  </w:style>
  <w:style w:type="character" w:customStyle="1" w:styleId="225">
    <w:name w:val="标题 8 字符"/>
    <w:link w:val="10"/>
    <w:qFormat/>
    <w:uiPriority w:val="0"/>
    <w:rPr>
      <w:rFonts w:ascii="Arial" w:hAnsi="Arial" w:eastAsia="黑体" w:cs="Times New Roman"/>
      <w:kern w:val="0"/>
      <w:sz w:val="24"/>
      <w:szCs w:val="24"/>
    </w:rPr>
  </w:style>
  <w:style w:type="character" w:customStyle="1" w:styleId="226">
    <w:name w:val="标题 9 字符"/>
    <w:link w:val="11"/>
    <w:qFormat/>
    <w:uiPriority w:val="0"/>
    <w:rPr>
      <w:rFonts w:ascii="Arial" w:hAnsi="Arial" w:eastAsia="黑体" w:cs="Times New Roman"/>
      <w:kern w:val="0"/>
      <w:sz w:val="20"/>
      <w:szCs w:val="21"/>
    </w:rPr>
  </w:style>
  <w:style w:type="character" w:customStyle="1" w:styleId="227">
    <w:name w:val="正文文本 2 字符"/>
    <w:link w:val="39"/>
    <w:qFormat/>
    <w:uiPriority w:val="0"/>
    <w:rPr>
      <w:rFonts w:ascii="Times New Roman" w:hAnsi="Times New Roman" w:eastAsia="宋体" w:cs="Times New Roman"/>
      <w:szCs w:val="24"/>
    </w:rPr>
  </w:style>
  <w:style w:type="character" w:customStyle="1" w:styleId="228">
    <w:name w:val="Font Style104"/>
    <w:unhideWhenUsed/>
    <w:qFormat/>
    <w:uiPriority w:val="0"/>
    <w:rPr>
      <w:rFonts w:hint="eastAsia" w:ascii="宋体" w:hAnsi="宋体" w:eastAsia="宋体"/>
      <w:spacing w:val="30"/>
      <w:sz w:val="18"/>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页脚 Char1"/>
    <w:qFormat/>
    <w:uiPriority w:val="0"/>
    <w:rPr>
      <w:rFonts w:eastAsia="宋体"/>
      <w:kern w:val="2"/>
      <w:sz w:val="18"/>
      <w:szCs w:val="18"/>
      <w:lang w:val="en-US" w:eastAsia="zh-CN" w:bidi="ar-SA"/>
    </w:rPr>
  </w:style>
  <w:style w:type="character" w:customStyle="1" w:styleId="231">
    <w:name w:val="标题 4 Char"/>
    <w:qFormat/>
    <w:uiPriority w:val="0"/>
    <w:rPr>
      <w:rFonts w:ascii="Cambria" w:hAnsi="Cambria" w:eastAsia="宋体" w:cs="Times New Roman"/>
      <w:b/>
      <w:bCs/>
      <w:sz w:val="28"/>
      <w:szCs w:val="28"/>
    </w:rPr>
  </w:style>
  <w:style w:type="character" w:customStyle="1" w:styleId="232">
    <w:name w:val="日期 Char"/>
    <w:qFormat/>
    <w:uiPriority w:val="0"/>
    <w:rPr>
      <w:rFonts w:ascii="Times New Roman" w:hAnsi="Times New Roman" w:eastAsia="宋体" w:cs="Times New Roman"/>
      <w:szCs w:val="24"/>
    </w:rPr>
  </w:style>
  <w:style w:type="character" w:customStyle="1" w:styleId="233">
    <w:name w:val="Font Style123"/>
    <w:unhideWhenUsed/>
    <w:qFormat/>
    <w:uiPriority w:val="0"/>
    <w:rPr>
      <w:rFonts w:hint="eastAsia" w:ascii="宋体" w:hAnsi="宋体" w:eastAsia="宋体"/>
      <w:b/>
      <w:sz w:val="32"/>
    </w:rPr>
  </w:style>
  <w:style w:type="character" w:customStyle="1" w:styleId="234">
    <w:name w:val="bds_nopic2"/>
    <w:qFormat/>
    <w:uiPriority w:val="0"/>
    <w:rPr>
      <w:rFonts w:ascii="Times New Roman" w:hAnsi="Times New Roman" w:eastAsia="宋体"/>
    </w:rPr>
  </w:style>
  <w:style w:type="character" w:customStyle="1" w:styleId="235">
    <w:name w:val="lemmatitleh12"/>
    <w:qFormat/>
    <w:uiPriority w:val="0"/>
    <w:rPr>
      <w:rFonts w:ascii="Times New Roman" w:hAnsi="Times New Roman" w:eastAsia="宋体"/>
    </w:rPr>
  </w:style>
  <w:style w:type="character" w:customStyle="1" w:styleId="236">
    <w:name w:val="Char Char13"/>
    <w:qFormat/>
    <w:uiPriority w:val="0"/>
    <w:rPr>
      <w:rFonts w:eastAsia="宋体"/>
      <w:b/>
      <w:bCs/>
      <w:kern w:val="2"/>
      <w:sz w:val="24"/>
      <w:lang w:val="en-US" w:eastAsia="zh-CN" w:bidi="ar-SA"/>
    </w:rPr>
  </w:style>
  <w:style w:type="character" w:customStyle="1" w:styleId="237">
    <w:name w:val="Font Style94"/>
    <w:unhideWhenUsed/>
    <w:qFormat/>
    <w:uiPriority w:val="0"/>
    <w:rPr>
      <w:rFonts w:hint="eastAsia" w:ascii="Times New Roman" w:hAnsi="Times New Roman" w:eastAsia="Times New Roman"/>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Font Style133"/>
    <w:unhideWhenUsed/>
    <w:qFormat/>
    <w:uiPriority w:val="0"/>
    <w:rPr>
      <w:rFonts w:hint="eastAsia" w:ascii="宋体" w:hAnsi="宋体" w:eastAsia="宋体"/>
      <w:spacing w:val="30"/>
      <w:sz w:val="24"/>
    </w:rPr>
  </w:style>
  <w:style w:type="character" w:customStyle="1" w:styleId="240">
    <w:name w:val="polysemyred"/>
    <w:qFormat/>
    <w:uiPriority w:val="0"/>
    <w:rPr>
      <w:rFonts w:ascii="Times New Roman" w:hAnsi="Times New Roman" w:eastAsia="宋体"/>
      <w:color w:val="FF6666"/>
      <w:sz w:val="18"/>
      <w:szCs w:val="18"/>
    </w:rPr>
  </w:style>
  <w:style w:type="character" w:customStyle="1" w:styleId="241">
    <w:name w:val="批注主题 字符"/>
    <w:link w:val="44"/>
    <w:qFormat/>
    <w:uiPriority w:val="0"/>
    <w:rPr>
      <w:rFonts w:ascii="Calibri" w:hAnsi="Calibri" w:eastAsia="宋体" w:cs="黑体"/>
      <w:b/>
      <w:bCs/>
      <w:szCs w:val="24"/>
    </w:rPr>
  </w:style>
  <w:style w:type="character" w:customStyle="1" w:styleId="242">
    <w:name w:val="p0 Char"/>
    <w:link w:val="61"/>
    <w:qFormat/>
    <w:uiPriority w:val="0"/>
    <w:rPr>
      <w:rFonts w:ascii="Calibri" w:hAnsi="Calibri" w:eastAsia="宋体" w:cs="黑体"/>
      <w:szCs w:val="21"/>
    </w:rPr>
  </w:style>
  <w:style w:type="character" w:customStyle="1" w:styleId="243">
    <w:name w:val="Char Char12"/>
    <w:qFormat/>
    <w:uiPriority w:val="0"/>
    <w:rPr>
      <w:rFonts w:ascii="Arial" w:hAnsi="Arial" w:eastAsia="黑体"/>
      <w:b/>
      <w:bCs/>
      <w:kern w:val="2"/>
      <w:sz w:val="28"/>
      <w:szCs w:val="28"/>
      <w:lang w:val="en-US" w:eastAsia="zh-CN" w:bidi="ar-SA"/>
    </w:rPr>
  </w:style>
  <w:style w:type="character" w:customStyle="1" w:styleId="244">
    <w:name w:val="标题 4 Char Char"/>
    <w:qFormat/>
    <w:uiPriority w:val="0"/>
    <w:rPr>
      <w:rFonts w:ascii="Arial" w:hAnsi="Arial" w:eastAsia="宋体"/>
      <w:b/>
      <w:bCs/>
      <w:kern w:val="2"/>
      <w:sz w:val="21"/>
      <w:szCs w:val="28"/>
      <w:lang w:val="en-US" w:eastAsia="zh-CN" w:bidi="ar-SA"/>
    </w:rPr>
  </w:style>
  <w:style w:type="character" w:customStyle="1" w:styleId="245">
    <w:name w:val="font11"/>
    <w:qFormat/>
    <w:uiPriority w:val="0"/>
    <w:rPr>
      <w:rFonts w:hint="eastAsia" w:ascii="宋体" w:hAnsi="宋体" w:eastAsia="宋体" w:cs="宋体"/>
      <w:color w:val="000000"/>
      <w:sz w:val="18"/>
      <w:szCs w:val="18"/>
      <w:u w:val="none"/>
    </w:rPr>
  </w:style>
  <w:style w:type="character" w:customStyle="1" w:styleId="246">
    <w:name w:val="font01"/>
    <w:qFormat/>
    <w:uiPriority w:val="0"/>
    <w:rPr>
      <w:rFonts w:hint="eastAsia" w:ascii="宋体" w:hAnsi="宋体" w:eastAsia="宋体" w:cs="宋体"/>
      <w:color w:val="000000"/>
      <w:sz w:val="22"/>
      <w:szCs w:val="22"/>
      <w:u w:val="single"/>
    </w:rPr>
  </w:style>
  <w:style w:type="character" w:customStyle="1" w:styleId="247">
    <w:name w:val="sidecatalog-dot1"/>
    <w:qFormat/>
    <w:uiPriority w:val="0"/>
    <w:rPr>
      <w:rFonts w:ascii="Times New Roman" w:hAnsi="Times New Roman" w:eastAsia="宋体"/>
    </w:rPr>
  </w:style>
  <w:style w:type="character" w:customStyle="1" w:styleId="248">
    <w:name w:val="Font Style124"/>
    <w:unhideWhenUsed/>
    <w:qFormat/>
    <w:uiPriority w:val="0"/>
    <w:rPr>
      <w:rFonts w:hint="eastAsia" w:ascii="宋体" w:hAnsi="宋体" w:eastAsia="宋体"/>
      <w:spacing w:val="30"/>
      <w:sz w:val="24"/>
    </w:rPr>
  </w:style>
  <w:style w:type="character" w:customStyle="1" w:styleId="249">
    <w:name w:val="批注框文本 Char"/>
    <w:qFormat/>
    <w:uiPriority w:val="0"/>
    <w:rPr>
      <w:rFonts w:ascii="Times New Roman" w:hAnsi="Times New Roman" w:eastAsia="宋体" w:cs="Times New Roman"/>
      <w:sz w:val="18"/>
      <w:szCs w:val="18"/>
    </w:rPr>
  </w:style>
  <w:style w:type="character" w:customStyle="1" w:styleId="250">
    <w:name w:val="批注框文本 字符"/>
    <w:link w:val="29"/>
    <w:qFormat/>
    <w:locked/>
    <w:uiPriority w:val="0"/>
    <w:rPr>
      <w:rFonts w:ascii="Calibri" w:hAnsi="Calibri" w:eastAsia="宋体" w:cs="黑体"/>
      <w:sz w:val="18"/>
      <w:szCs w:val="18"/>
    </w:rPr>
  </w:style>
  <w:style w:type="character" w:customStyle="1" w:styleId="251">
    <w:name w:val="正文文本缩进 字符"/>
    <w:link w:val="20"/>
    <w:qFormat/>
    <w:uiPriority w:val="0"/>
    <w:rPr>
      <w:rFonts w:ascii="Calibri" w:hAnsi="Calibri" w:eastAsia="宋体" w:cs="黑体"/>
      <w:szCs w:val="24"/>
    </w:rPr>
  </w:style>
  <w:style w:type="character" w:customStyle="1" w:styleId="252">
    <w:name w:val="bds_more9"/>
    <w:qFormat/>
    <w:uiPriority w:val="0"/>
    <w:rPr>
      <w:rFonts w:ascii="Times New Roman" w:hAnsi="Times New Roman" w:eastAsia="宋体"/>
    </w:rPr>
  </w:style>
  <w:style w:type="character" w:customStyle="1" w:styleId="253">
    <w:name w:val="Char Char17"/>
    <w:qFormat/>
    <w:uiPriority w:val="0"/>
    <w:rPr>
      <w:rFonts w:ascii="宋体" w:hAnsi="Times New Roman" w:eastAsia="宋体"/>
      <w:b/>
      <w:sz w:val="28"/>
      <w:lang w:val="en-US" w:eastAsia="zh-CN" w:bidi="ar-SA"/>
    </w:rPr>
  </w:style>
  <w:style w:type="character" w:customStyle="1" w:styleId="254">
    <w:name w:val="标题 字符"/>
    <w:link w:val="43"/>
    <w:qFormat/>
    <w:uiPriority w:val="0"/>
    <w:rPr>
      <w:rFonts w:ascii="Cambria" w:hAnsi="Cambria" w:eastAsia="宋体" w:cs="Times New Roman"/>
      <w:b/>
      <w:sz w:val="32"/>
      <w:szCs w:val="24"/>
    </w:rPr>
  </w:style>
  <w:style w:type="character" w:customStyle="1" w:styleId="255">
    <w:name w:val="正文文本缩进 2 字符"/>
    <w:link w:val="28"/>
    <w:qFormat/>
    <w:uiPriority w:val="0"/>
    <w:rPr>
      <w:rFonts w:ascii="Times New Roman" w:hAnsi="Times New Roman" w:eastAsia="宋体" w:cs="Times New Roman"/>
      <w:szCs w:val="24"/>
    </w:rPr>
  </w:style>
  <w:style w:type="character" w:customStyle="1" w:styleId="256">
    <w:name w:val="Font Style105"/>
    <w:unhideWhenUsed/>
    <w:qFormat/>
    <w:uiPriority w:val="0"/>
    <w:rPr>
      <w:rFonts w:hint="eastAsia" w:ascii="Times New Roman" w:hAnsi="Times New Roman" w:eastAsia="Times New Roman"/>
      <w:w w:val="60"/>
      <w:sz w:val="26"/>
    </w:rPr>
  </w:style>
  <w:style w:type="character" w:customStyle="1" w:styleId="257">
    <w:name w:val="标题 6 Char"/>
    <w:qFormat/>
    <w:uiPriority w:val="0"/>
    <w:rPr>
      <w:rFonts w:ascii="Cambria" w:hAnsi="Cambria" w:eastAsia="宋体" w:cs="Times New Roman"/>
      <w:b/>
      <w:bCs/>
      <w:sz w:val="24"/>
      <w:szCs w:val="24"/>
    </w:rPr>
  </w:style>
  <w:style w:type="character" w:customStyle="1" w:styleId="258">
    <w:name w:val="morelink-item"/>
    <w:qFormat/>
    <w:uiPriority w:val="0"/>
    <w:rPr>
      <w:rFonts w:ascii="Times New Roman" w:hAnsi="Times New Roman" w:eastAsia="宋体"/>
    </w:rPr>
  </w:style>
  <w:style w:type="character" w:customStyle="1" w:styleId="259">
    <w:name w:val="bds_more7"/>
    <w:qFormat/>
    <w:uiPriority w:val="0"/>
    <w:rPr>
      <w:rFonts w:ascii="Times New Roman" w:hAnsi="Times New Roman" w:eastAsia="宋体"/>
    </w:rPr>
  </w:style>
  <w:style w:type="character" w:customStyle="1" w:styleId="260">
    <w:name w:val="纯文本 字符"/>
    <w:link w:val="25"/>
    <w:qFormat/>
    <w:uiPriority w:val="0"/>
    <w:rPr>
      <w:rFonts w:ascii="宋体" w:hAnsi="Courier New" w:eastAsia="宋体" w:cs="Courier New"/>
      <w:szCs w:val="21"/>
    </w:rPr>
  </w:style>
  <w:style w:type="character" w:customStyle="1" w:styleId="261">
    <w:name w:val="Char Char16"/>
    <w:qFormat/>
    <w:uiPriority w:val="0"/>
    <w:rPr>
      <w:rFonts w:ascii="宋体" w:hAnsi="Times New Roman" w:eastAsia="宋体"/>
      <w:b/>
      <w:sz w:val="24"/>
      <w:lang w:val="en-US" w:eastAsia="zh-CN" w:bidi="ar-SA"/>
    </w:rPr>
  </w:style>
  <w:style w:type="character" w:customStyle="1" w:styleId="262">
    <w:name w:val="批注主题 Char"/>
    <w:qFormat/>
    <w:uiPriority w:val="0"/>
    <w:rPr>
      <w:rFonts w:ascii="Times New Roman" w:hAnsi="Times New Roman" w:eastAsia="宋体" w:cs="Times New Roman"/>
      <w:b/>
      <w:bCs/>
      <w:szCs w:val="24"/>
    </w:rPr>
  </w:style>
  <w:style w:type="character" w:customStyle="1" w:styleId="263">
    <w:name w:val="批注文字 字符"/>
    <w:link w:val="17"/>
    <w:qFormat/>
    <w:uiPriority w:val="99"/>
    <w:rPr>
      <w:rFonts w:ascii="Times New Roman" w:hAnsi="Times New Roman" w:eastAsia="宋体" w:cs="Times New Roman"/>
      <w:szCs w:val="24"/>
    </w:rPr>
  </w:style>
  <w:style w:type="character" w:customStyle="1" w:styleId="264">
    <w:name w:val="Font Style126"/>
    <w:unhideWhenUsed/>
    <w:qFormat/>
    <w:uiPriority w:val="0"/>
    <w:rPr>
      <w:rFonts w:hint="eastAsia" w:ascii="宋体" w:hAnsi="宋体" w:eastAsia="宋体"/>
      <w:b/>
      <w:spacing w:val="-30"/>
      <w:sz w:val="28"/>
    </w:rPr>
  </w:style>
  <w:style w:type="character" w:customStyle="1" w:styleId="265">
    <w:name w:val="标题 Char1"/>
    <w:qFormat/>
    <w:uiPriority w:val="0"/>
    <w:rPr>
      <w:rFonts w:ascii="Cambria" w:hAnsi="Cambria" w:eastAsia="宋体" w:cs="Times New Roman"/>
      <w:b/>
      <w:bCs/>
      <w:sz w:val="32"/>
      <w:szCs w:val="32"/>
    </w:rPr>
  </w:style>
  <w:style w:type="character" w:customStyle="1" w:styleId="266">
    <w:name w:val="plus"/>
    <w:qFormat/>
    <w:uiPriority w:val="0"/>
    <w:rPr>
      <w:rFonts w:ascii="Times New Roman" w:hAnsi="Times New Roman" w:eastAsia="宋体"/>
      <w:b/>
      <w:vanish/>
      <w:color w:val="1F8DEF"/>
      <w:sz w:val="24"/>
      <w:szCs w:val="24"/>
    </w:rPr>
  </w:style>
  <w:style w:type="character" w:customStyle="1" w:styleId="267">
    <w:name w:val="HTML 预设格式 字符"/>
    <w:link w:val="40"/>
    <w:qFormat/>
    <w:uiPriority w:val="0"/>
    <w:rPr>
      <w:rFonts w:ascii="Arial" w:hAnsi="Arial" w:eastAsia="宋体" w:cs="Arial"/>
      <w:kern w:val="0"/>
      <w:sz w:val="24"/>
      <w:szCs w:val="24"/>
    </w:rPr>
  </w:style>
  <w:style w:type="character" w:customStyle="1" w:styleId="268">
    <w:name w:val="称呼 字符"/>
    <w:link w:val="18"/>
    <w:qFormat/>
    <w:uiPriority w:val="0"/>
    <w:rPr>
      <w:rFonts w:ascii="仿宋_GB2312" w:hAnsi="Times New Roman" w:eastAsia="仿宋_GB2312" w:cs="Times New Roman"/>
      <w:sz w:val="24"/>
      <w:szCs w:val="24"/>
    </w:rPr>
  </w:style>
  <w:style w:type="character" w:customStyle="1" w:styleId="269">
    <w:name w:val="批注文字 Char Char"/>
    <w:qFormat/>
    <w:uiPriority w:val="0"/>
    <w:rPr>
      <w:kern w:val="2"/>
      <w:sz w:val="21"/>
      <w:szCs w:val="24"/>
      <w:lang w:bidi="ar-SA"/>
    </w:rPr>
  </w:style>
  <w:style w:type="character" w:customStyle="1" w:styleId="270">
    <w:name w:val="p0 Char Char"/>
    <w:qFormat/>
    <w:uiPriority w:val="0"/>
    <w:rPr>
      <w:rFonts w:eastAsia="宋体"/>
      <w:kern w:val="2"/>
      <w:sz w:val="21"/>
      <w:szCs w:val="21"/>
      <w:lang w:val="en-US" w:eastAsia="zh-CN" w:bidi="ar-SA"/>
    </w:rPr>
  </w:style>
  <w:style w:type="character" w:customStyle="1" w:styleId="271">
    <w:name w:val="正文文本 字符"/>
    <w:link w:val="2"/>
    <w:qFormat/>
    <w:uiPriority w:val="99"/>
    <w:rPr>
      <w:rFonts w:ascii="Times New Roman" w:hAnsi="Times New Roman" w:eastAsia="宋体" w:cs="Times New Roman"/>
      <w:szCs w:val="24"/>
    </w:rPr>
  </w:style>
  <w:style w:type="character" w:customStyle="1" w:styleId="272">
    <w:name w:val="批注文字 Char1"/>
    <w:qFormat/>
    <w:uiPriority w:val="0"/>
    <w:rPr>
      <w:rFonts w:eastAsia="宋体"/>
      <w:kern w:val="2"/>
      <w:sz w:val="21"/>
      <w:szCs w:val="24"/>
      <w:lang w:val="en-US" w:eastAsia="zh-CN" w:bidi="ar-SA"/>
    </w:rPr>
  </w:style>
  <w:style w:type="character" w:customStyle="1" w:styleId="273">
    <w:name w:val="Font Style131"/>
    <w:unhideWhenUsed/>
    <w:qFormat/>
    <w:uiPriority w:val="0"/>
    <w:rPr>
      <w:rFonts w:hint="eastAsia" w:ascii="Times New Roman" w:hAnsi="Times New Roman" w:eastAsia="Times New Roman"/>
      <w:sz w:val="18"/>
    </w:rPr>
  </w:style>
  <w:style w:type="character" w:customStyle="1" w:styleId="274">
    <w:name w:val="Font Style127"/>
    <w:unhideWhenUsed/>
    <w:qFormat/>
    <w:uiPriority w:val="0"/>
    <w:rPr>
      <w:rFonts w:hint="eastAsia" w:ascii="Times New Roman" w:hAnsi="Times New Roman" w:eastAsia="Times New Roman"/>
      <w:sz w:val="20"/>
    </w:rPr>
  </w:style>
  <w:style w:type="character" w:customStyle="1" w:styleId="275">
    <w:name w:val="Font Style122"/>
    <w:unhideWhenUsed/>
    <w:qFormat/>
    <w:uiPriority w:val="0"/>
    <w:rPr>
      <w:rFonts w:hint="eastAsia" w:ascii="宋体" w:hAnsi="宋体" w:eastAsia="宋体"/>
      <w:spacing w:val="20"/>
      <w:sz w:val="24"/>
    </w:rPr>
  </w:style>
  <w:style w:type="character" w:customStyle="1" w:styleId="276">
    <w:name w:val="标题 3 Char"/>
    <w:qFormat/>
    <w:uiPriority w:val="0"/>
    <w:rPr>
      <w:rFonts w:ascii="Times New Roman" w:hAnsi="Times New Roman" w:eastAsia="宋体" w:cs="Times New Roman"/>
      <w:b/>
      <w:bCs/>
      <w:sz w:val="32"/>
      <w:szCs w:val="32"/>
    </w:rPr>
  </w:style>
  <w:style w:type="character" w:customStyle="1" w:styleId="277">
    <w:name w:val="sidecatalog-dot"/>
    <w:qFormat/>
    <w:uiPriority w:val="0"/>
    <w:rPr>
      <w:rFonts w:ascii="Times New Roman" w:hAnsi="Times New Roman" w:eastAsia="宋体"/>
    </w:rPr>
  </w:style>
  <w:style w:type="character" w:customStyle="1" w:styleId="278">
    <w:name w:val="正文文本缩进 3 字符"/>
    <w:link w:val="36"/>
    <w:qFormat/>
    <w:uiPriority w:val="0"/>
    <w:rPr>
      <w:rFonts w:ascii="Calibri" w:hAnsi="Calibri" w:eastAsia="宋体" w:cs="黑体"/>
      <w:sz w:val="16"/>
      <w:szCs w:val="16"/>
    </w:rPr>
  </w:style>
  <w:style w:type="character" w:customStyle="1" w:styleId="279">
    <w:name w:val="副标题 字符"/>
    <w:link w:val="34"/>
    <w:qFormat/>
    <w:uiPriority w:val="99"/>
    <w:rPr>
      <w:sz w:val="18"/>
      <w:szCs w:val="18"/>
    </w:rPr>
  </w:style>
  <w:style w:type="character" w:customStyle="1" w:styleId="280">
    <w:name w:val="页码1"/>
    <w:qFormat/>
    <w:uiPriority w:val="0"/>
    <w:rPr>
      <w:lang w:val="zh-TW" w:eastAsia="zh-TW"/>
    </w:rPr>
  </w:style>
  <w:style w:type="character" w:customStyle="1" w:styleId="281">
    <w:name w:val="文档结构图 字符"/>
    <w:link w:val="15"/>
    <w:qFormat/>
    <w:uiPriority w:val="0"/>
    <w:rPr>
      <w:rFonts w:ascii="Times New Roman" w:hAnsi="Times New Roman" w:eastAsia="宋体" w:cs="Times New Roman"/>
      <w:szCs w:val="24"/>
      <w:shd w:val="clear" w:color="auto" w:fill="000080"/>
    </w:rPr>
  </w:style>
  <w:style w:type="character" w:customStyle="1" w:styleId="282">
    <w:name w:val="标题 1 Char"/>
    <w:qFormat/>
    <w:uiPriority w:val="0"/>
    <w:rPr>
      <w:rFonts w:ascii="Times New Roman" w:hAnsi="Times New Roman" w:eastAsia="宋体" w:cs="Times New Roman"/>
      <w:b/>
      <w:bCs/>
      <w:kern w:val="44"/>
      <w:sz w:val="44"/>
      <w:szCs w:val="44"/>
    </w:rPr>
  </w:style>
  <w:style w:type="character" w:customStyle="1" w:styleId="283">
    <w:name w:val="bds_nopic"/>
    <w:qFormat/>
    <w:uiPriority w:val="0"/>
    <w:rPr>
      <w:rFonts w:ascii="Times New Roman" w:hAnsi="Times New Roman" w:eastAsia="宋体"/>
    </w:rPr>
  </w:style>
  <w:style w:type="character" w:customStyle="1" w:styleId="284">
    <w:name w:val="Font Style116"/>
    <w:unhideWhenUsed/>
    <w:qFormat/>
    <w:uiPriority w:val="0"/>
    <w:rPr>
      <w:rFonts w:hint="eastAsia" w:ascii="宋体" w:hAnsi="宋体" w:eastAsia="宋体"/>
      <w:spacing w:val="-20"/>
      <w:sz w:val="24"/>
    </w:rPr>
  </w:style>
  <w:style w:type="character" w:customStyle="1" w:styleId="285">
    <w:name w:val="标题 2 Char"/>
    <w:qFormat/>
    <w:uiPriority w:val="0"/>
    <w:rPr>
      <w:rFonts w:ascii="Cambria" w:hAnsi="Cambria" w:eastAsia="宋体" w:cs="Times New Roman"/>
      <w:b/>
      <w:bCs/>
      <w:sz w:val="32"/>
      <w:szCs w:val="32"/>
    </w:rPr>
  </w:style>
  <w:style w:type="character" w:customStyle="1" w:styleId="286">
    <w:name w:val="纯文本 Char1"/>
    <w:qFormat/>
    <w:uiPriority w:val="0"/>
    <w:rPr>
      <w:rFonts w:ascii="宋体" w:hAnsi="Courier New" w:eastAsia="宋体" w:cs="Courier New"/>
      <w:kern w:val="2"/>
      <w:sz w:val="21"/>
      <w:szCs w:val="21"/>
    </w:rPr>
  </w:style>
  <w:style w:type="character" w:customStyle="1" w:styleId="287">
    <w:name w:val="Font Style117"/>
    <w:unhideWhenUsed/>
    <w:qFormat/>
    <w:uiPriority w:val="0"/>
    <w:rPr>
      <w:rFonts w:hint="eastAsia" w:ascii="宋体" w:hAnsi="宋体" w:eastAsia="宋体"/>
      <w:spacing w:val="20"/>
      <w:sz w:val="24"/>
    </w:rPr>
  </w:style>
  <w:style w:type="character" w:customStyle="1" w:styleId="288">
    <w:name w:val="正文文本缩进 3 Char"/>
    <w:qFormat/>
    <w:uiPriority w:val="0"/>
    <w:rPr>
      <w:rFonts w:ascii="Times New Roman" w:hAnsi="Times New Roman" w:eastAsia="宋体" w:cs="Times New Roman"/>
      <w:sz w:val="16"/>
      <w:szCs w:val="16"/>
    </w:rPr>
  </w:style>
  <w:style w:type="character" w:customStyle="1" w:styleId="289">
    <w:name w:val="Font Style90"/>
    <w:unhideWhenUsed/>
    <w:qFormat/>
    <w:uiPriority w:val="0"/>
    <w:rPr>
      <w:rFonts w:hint="eastAsia" w:ascii="宋体" w:hAnsi="宋体" w:eastAsia="宋体"/>
      <w:b/>
      <w:spacing w:val="-20"/>
      <w:sz w:val="40"/>
    </w:rPr>
  </w:style>
  <w:style w:type="character" w:customStyle="1" w:styleId="290">
    <w:name w:val="sidecatalog-index2"/>
    <w:qFormat/>
    <w:uiPriority w:val="0"/>
    <w:rPr>
      <w:rFonts w:ascii="Arail" w:hAnsi="Arail" w:eastAsia="Arail" w:cs="Arail"/>
      <w:color w:val="999999"/>
      <w:sz w:val="21"/>
      <w:szCs w:val="21"/>
    </w:rPr>
  </w:style>
  <w:style w:type="character" w:customStyle="1" w:styleId="291">
    <w:name w:val="标题 Char"/>
    <w:qFormat/>
    <w:uiPriority w:val="0"/>
    <w:rPr>
      <w:rFonts w:ascii="Cambria" w:hAnsi="Cambria" w:eastAsia="宋体" w:cs="Times New Roman"/>
      <w:b/>
      <w:bCs/>
      <w:sz w:val="32"/>
      <w:szCs w:val="32"/>
    </w:rPr>
  </w:style>
  <w:style w:type="character" w:customStyle="1" w:styleId="292">
    <w:name w:val="font41"/>
    <w:qFormat/>
    <w:uiPriority w:val="0"/>
    <w:rPr>
      <w:rFonts w:hint="eastAsia" w:ascii="宋体" w:hAnsi="宋体" w:eastAsia="宋体" w:cs="宋体"/>
      <w:color w:val="000000"/>
      <w:sz w:val="22"/>
      <w:szCs w:val="22"/>
      <w:u w:val="single"/>
    </w:rPr>
  </w:style>
  <w:style w:type="character" w:customStyle="1" w:styleId="293">
    <w:name w:val="日期 字符"/>
    <w:link w:val="27"/>
    <w:qFormat/>
    <w:uiPriority w:val="0"/>
    <w:rPr>
      <w:rFonts w:ascii="Calibri" w:hAnsi="Calibri" w:eastAsia="宋体" w:cs="黑体"/>
      <w:sz w:val="24"/>
    </w:rPr>
  </w:style>
  <w:style w:type="character" w:customStyle="1" w:styleId="294">
    <w:name w:val="Font Style86"/>
    <w:unhideWhenUsed/>
    <w:qFormat/>
    <w:uiPriority w:val="0"/>
    <w:rPr>
      <w:rFonts w:hint="eastAsia" w:ascii="黑体" w:hAnsi="黑体" w:eastAsia="黑体"/>
      <w:spacing w:val="10"/>
      <w:sz w:val="30"/>
    </w:rPr>
  </w:style>
  <w:style w:type="character" w:customStyle="1" w:styleId="295">
    <w:name w:val="Font Style121"/>
    <w:unhideWhenUsed/>
    <w:qFormat/>
    <w:uiPriority w:val="0"/>
    <w:rPr>
      <w:rFonts w:hint="eastAsia" w:ascii="宋体" w:hAnsi="宋体" w:eastAsia="宋体"/>
      <w:spacing w:val="-10"/>
      <w:sz w:val="30"/>
    </w:rPr>
  </w:style>
  <w:style w:type="character" w:customStyle="1" w:styleId="296">
    <w:name w:val="Font Style134"/>
    <w:unhideWhenUsed/>
    <w:qFormat/>
    <w:uiPriority w:val="0"/>
    <w:rPr>
      <w:rFonts w:hint="eastAsia" w:ascii="宋体" w:hAnsi="宋体" w:eastAsia="宋体"/>
      <w:spacing w:val="20"/>
      <w:sz w:val="22"/>
    </w:rPr>
  </w:style>
  <w:style w:type="character" w:customStyle="1" w:styleId="297">
    <w:name w:val="页眉 Char1"/>
    <w:qFormat/>
    <w:uiPriority w:val="0"/>
    <w:rPr>
      <w:rFonts w:eastAsia="宋体"/>
      <w:kern w:val="2"/>
      <w:sz w:val="18"/>
      <w:szCs w:val="18"/>
      <w:lang w:val="en-US" w:eastAsia="zh-CN" w:bidi="ar-SA"/>
    </w:rPr>
  </w:style>
  <w:style w:type="character" w:customStyle="1" w:styleId="298">
    <w:name w:val="sort"/>
    <w:qFormat/>
    <w:uiPriority w:val="0"/>
    <w:rPr>
      <w:rFonts w:ascii="Times New Roman" w:hAnsi="Times New Roman" w:eastAsia="宋体"/>
      <w:color w:val="FFFFFF"/>
      <w:bdr w:val="single" w:color="auto" w:sz="24" w:space="0"/>
    </w:rPr>
  </w:style>
  <w:style w:type="character" w:customStyle="1" w:styleId="299">
    <w:name w:val="Font Style115"/>
    <w:unhideWhenUsed/>
    <w:qFormat/>
    <w:uiPriority w:val="0"/>
    <w:rPr>
      <w:rFonts w:hint="eastAsia" w:ascii="Times New Roman" w:hAnsi="Times New Roman" w:eastAsia="Times New Roman"/>
      <w:sz w:val="16"/>
    </w:rPr>
  </w:style>
  <w:style w:type="character" w:customStyle="1" w:styleId="300">
    <w:name w:val="bds_more6"/>
    <w:qFormat/>
    <w:uiPriority w:val="0"/>
    <w:rPr>
      <w:rFonts w:hint="eastAsia" w:ascii="宋体" w:hAnsi="宋体" w:eastAsia="宋体" w:cs="宋体"/>
    </w:rPr>
  </w:style>
  <w:style w:type="character" w:customStyle="1" w:styleId="301">
    <w:name w:val="标题 8 Char"/>
    <w:qFormat/>
    <w:uiPriority w:val="0"/>
    <w:rPr>
      <w:rFonts w:ascii="Cambria" w:hAnsi="Cambria" w:eastAsia="宋体" w:cs="Times New Roman"/>
      <w:sz w:val="24"/>
      <w:szCs w:val="24"/>
    </w:rPr>
  </w:style>
  <w:style w:type="character" w:customStyle="1" w:styleId="302">
    <w:name w:val="正文文本 3 字符"/>
    <w:link w:val="19"/>
    <w:qFormat/>
    <w:uiPriority w:val="0"/>
    <w:rPr>
      <w:rFonts w:ascii="宋体" w:hAnsi="Times New Roman" w:eastAsia="宋体" w:cs="Times New Roman"/>
      <w:color w:val="000000"/>
      <w:kern w:val="0"/>
      <w:sz w:val="24"/>
      <w:szCs w:val="20"/>
    </w:rPr>
  </w:style>
  <w:style w:type="character" w:customStyle="1" w:styleId="303">
    <w:name w:val="font71"/>
    <w:qFormat/>
    <w:uiPriority w:val="0"/>
    <w:rPr>
      <w:rFonts w:hint="eastAsia" w:ascii="宋体" w:hAnsi="宋体" w:eastAsia="宋体" w:cs="宋体"/>
      <w:b/>
      <w:color w:val="000000"/>
      <w:sz w:val="22"/>
      <w:szCs w:val="22"/>
      <w:u w:val="none"/>
    </w:rPr>
  </w:style>
  <w:style w:type="character" w:customStyle="1" w:styleId="304">
    <w:name w:val="font21"/>
    <w:qFormat/>
    <w:uiPriority w:val="0"/>
    <w:rPr>
      <w:rFonts w:hint="eastAsia" w:ascii="宋体" w:hAnsi="宋体" w:eastAsia="宋体" w:cs="宋体"/>
      <w:color w:val="000000"/>
      <w:sz w:val="18"/>
      <w:szCs w:val="18"/>
      <w:u w:val="none"/>
    </w:rPr>
  </w:style>
  <w:style w:type="character" w:customStyle="1" w:styleId="305">
    <w:name w:val="标题 9 Char"/>
    <w:qFormat/>
    <w:uiPriority w:val="0"/>
    <w:rPr>
      <w:rFonts w:ascii="Cambria" w:hAnsi="Cambria" w:eastAsia="宋体" w:cs="Times New Roman"/>
      <w:szCs w:val="21"/>
    </w:rPr>
  </w:style>
  <w:style w:type="character" w:customStyle="1" w:styleId="306">
    <w:name w:val="Char Char14"/>
    <w:qFormat/>
    <w:uiPriority w:val="0"/>
    <w:rPr>
      <w:rFonts w:ascii="Arial" w:hAnsi="Arial" w:eastAsia="黑体"/>
      <w:b/>
      <w:bCs/>
      <w:sz w:val="28"/>
      <w:szCs w:val="28"/>
      <w:lang w:val="en-US" w:eastAsia="zh-CN" w:bidi="ar-SA"/>
    </w:rPr>
  </w:style>
  <w:style w:type="character" w:customStyle="1" w:styleId="307">
    <w:name w:val="Font Style119"/>
    <w:unhideWhenUsed/>
    <w:qFormat/>
    <w:uiPriority w:val="0"/>
    <w:rPr>
      <w:rFonts w:hint="eastAsia" w:ascii="宋体" w:hAnsi="宋体" w:eastAsia="宋体"/>
      <w:sz w:val="24"/>
    </w:rPr>
  </w:style>
  <w:style w:type="character" w:customStyle="1" w:styleId="308">
    <w:name w:val="标题 5 Char"/>
    <w:qFormat/>
    <w:uiPriority w:val="0"/>
    <w:rPr>
      <w:rFonts w:ascii="Times New Roman" w:hAnsi="Times New Roman" w:eastAsia="宋体" w:cs="Times New Roman"/>
      <w:b/>
      <w:bCs/>
      <w:sz w:val="28"/>
      <w:szCs w:val="28"/>
    </w:rPr>
  </w:style>
  <w:style w:type="character" w:customStyle="1" w:styleId="309">
    <w:name w:val="Char Char15"/>
    <w:qFormat/>
    <w:uiPriority w:val="0"/>
    <w:rPr>
      <w:b/>
      <w:bCs/>
      <w:sz w:val="24"/>
      <w:szCs w:val="24"/>
    </w:rPr>
  </w:style>
  <w:style w:type="character" w:customStyle="1" w:styleId="310">
    <w:name w:val="polysemyexp"/>
    <w:qFormat/>
    <w:uiPriority w:val="0"/>
    <w:rPr>
      <w:rFonts w:ascii="Times New Roman" w:hAnsi="Times New Roman" w:eastAsia="宋体"/>
      <w:color w:val="AAAAAA"/>
      <w:sz w:val="18"/>
      <w:szCs w:val="18"/>
    </w:rPr>
  </w:style>
  <w:style w:type="character" w:customStyle="1" w:styleId="311">
    <w:name w:val="bds_nopic1"/>
    <w:qFormat/>
    <w:uiPriority w:val="0"/>
    <w:rPr>
      <w:rFonts w:ascii="Times New Roman" w:hAnsi="Times New Roman" w:eastAsia="宋体"/>
    </w:rPr>
  </w:style>
  <w:style w:type="character" w:customStyle="1" w:styleId="312">
    <w:name w:val="bds_more8"/>
    <w:qFormat/>
    <w:uiPriority w:val="0"/>
    <w:rPr>
      <w:rFonts w:ascii="Times New Roman" w:hAnsi="Times New Roman" w:eastAsia="宋体"/>
    </w:rPr>
  </w:style>
  <w:style w:type="character" w:customStyle="1" w:styleId="313">
    <w:name w:val="sort1"/>
    <w:qFormat/>
    <w:uiPriority w:val="0"/>
    <w:rPr>
      <w:rFonts w:ascii="Times New Roman" w:hAnsi="Times New Roman" w:eastAsia="宋体"/>
    </w:rPr>
  </w:style>
  <w:style w:type="character" w:customStyle="1" w:styleId="314">
    <w:name w:val="bds_more10"/>
    <w:qFormat/>
    <w:uiPriority w:val="0"/>
    <w:rPr>
      <w:rFonts w:ascii="Times New Roman" w:hAnsi="Times New Roman" w:eastAsia="宋体"/>
    </w:rPr>
  </w:style>
  <w:style w:type="character" w:customStyle="1" w:styleId="315">
    <w:name w:val="sidecatalog-index1"/>
    <w:qFormat/>
    <w:uiPriority w:val="0"/>
    <w:rPr>
      <w:rFonts w:ascii="Arial" w:hAnsi="Arial" w:eastAsia="宋体" w:cs="Arial"/>
      <w:b/>
      <w:color w:val="999999"/>
      <w:sz w:val="21"/>
      <w:szCs w:val="21"/>
    </w:rPr>
  </w:style>
  <w:style w:type="character" w:customStyle="1" w:styleId="316">
    <w:name w:val="标题 7 Char"/>
    <w:qFormat/>
    <w:uiPriority w:val="0"/>
    <w:rPr>
      <w:rFonts w:ascii="Times New Roman" w:hAnsi="Times New Roman" w:eastAsia="宋体" w:cs="Times New Roman"/>
      <w:b/>
      <w:bCs/>
      <w:sz w:val="24"/>
      <w:szCs w:val="24"/>
    </w:rPr>
  </w:style>
  <w:style w:type="character" w:customStyle="1" w:styleId="317">
    <w:name w:val="desc"/>
    <w:qFormat/>
    <w:uiPriority w:val="0"/>
    <w:rPr>
      <w:rFonts w:ascii="Times New Roman" w:hAnsi="Times New Roman" w:eastAsia="宋体"/>
      <w:color w:val="000000"/>
      <w:sz w:val="18"/>
      <w:szCs w:val="18"/>
    </w:rPr>
  </w:style>
  <w:style w:type="character" w:customStyle="1" w:styleId="318">
    <w:name w:val="正文文本缩进 2 字符1"/>
    <w:semiHidden/>
    <w:qFormat/>
    <w:uiPriority w:val="99"/>
    <w:rPr>
      <w:rFonts w:ascii="Times New Roman" w:hAnsi="Times New Roman" w:eastAsia="宋体" w:cs="Times New Roman"/>
      <w:szCs w:val="24"/>
    </w:rPr>
  </w:style>
  <w:style w:type="character" w:customStyle="1" w:styleId="319">
    <w:name w:val="正文文本缩进 字符1"/>
    <w:semiHidden/>
    <w:qFormat/>
    <w:uiPriority w:val="99"/>
    <w:rPr>
      <w:rFonts w:ascii="Times New Roman" w:hAnsi="Times New Roman" w:eastAsia="宋体" w:cs="Times New Roman"/>
      <w:szCs w:val="24"/>
    </w:rPr>
  </w:style>
  <w:style w:type="character" w:customStyle="1" w:styleId="320">
    <w:name w:val="正文文本 3 字符1"/>
    <w:semiHidden/>
    <w:qFormat/>
    <w:uiPriority w:val="99"/>
    <w:rPr>
      <w:rFonts w:ascii="Times New Roman" w:hAnsi="Times New Roman" w:eastAsia="宋体" w:cs="Times New Roman"/>
      <w:sz w:val="16"/>
      <w:szCs w:val="16"/>
    </w:rPr>
  </w:style>
  <w:style w:type="character" w:customStyle="1" w:styleId="321">
    <w:name w:val="称呼 字符1"/>
    <w:semiHidden/>
    <w:qFormat/>
    <w:uiPriority w:val="99"/>
    <w:rPr>
      <w:rFonts w:ascii="Times New Roman" w:hAnsi="Times New Roman" w:eastAsia="宋体" w:cs="Times New Roman"/>
      <w:szCs w:val="24"/>
    </w:rPr>
  </w:style>
  <w:style w:type="character" w:customStyle="1" w:styleId="322">
    <w:name w:val="批注框文本 字符1"/>
    <w:semiHidden/>
    <w:qFormat/>
    <w:uiPriority w:val="99"/>
    <w:rPr>
      <w:rFonts w:ascii="Times New Roman" w:hAnsi="Times New Roman" w:eastAsia="宋体" w:cs="Times New Roman"/>
      <w:sz w:val="18"/>
      <w:szCs w:val="18"/>
    </w:rPr>
  </w:style>
  <w:style w:type="character" w:customStyle="1" w:styleId="323">
    <w:name w:val="正文文本缩进 3 字符1"/>
    <w:semiHidden/>
    <w:qFormat/>
    <w:uiPriority w:val="99"/>
    <w:rPr>
      <w:rFonts w:ascii="Times New Roman" w:hAnsi="Times New Roman" w:eastAsia="宋体" w:cs="Times New Roman"/>
      <w:sz w:val="16"/>
      <w:szCs w:val="16"/>
    </w:rPr>
  </w:style>
  <w:style w:type="character" w:customStyle="1" w:styleId="324">
    <w:name w:val="文档结构图 字符1"/>
    <w:semiHidden/>
    <w:qFormat/>
    <w:uiPriority w:val="99"/>
    <w:rPr>
      <w:rFonts w:ascii="Microsoft YaHei UI" w:hAnsi="Times New Roman" w:eastAsia="Microsoft YaHei UI" w:cs="Times New Roman"/>
      <w:sz w:val="18"/>
      <w:szCs w:val="18"/>
    </w:rPr>
  </w:style>
  <w:style w:type="character" w:customStyle="1" w:styleId="325">
    <w:name w:val="日期 字符1"/>
    <w:semiHidden/>
    <w:qFormat/>
    <w:uiPriority w:val="99"/>
    <w:rPr>
      <w:rFonts w:ascii="Times New Roman" w:hAnsi="Times New Roman" w:eastAsia="宋体" w:cs="Times New Roman"/>
      <w:szCs w:val="24"/>
    </w:rPr>
  </w:style>
  <w:style w:type="character" w:customStyle="1" w:styleId="326">
    <w:name w:val="正文文本 字符1"/>
    <w:semiHidden/>
    <w:qFormat/>
    <w:uiPriority w:val="99"/>
    <w:rPr>
      <w:rFonts w:ascii="Times New Roman" w:hAnsi="Times New Roman" w:eastAsia="宋体" w:cs="Times New Roman"/>
      <w:szCs w:val="24"/>
    </w:rPr>
  </w:style>
  <w:style w:type="character" w:customStyle="1" w:styleId="327">
    <w:name w:val="批注文字 字符1"/>
    <w:semiHidden/>
    <w:qFormat/>
    <w:uiPriority w:val="99"/>
    <w:rPr>
      <w:rFonts w:ascii="Times New Roman" w:hAnsi="Times New Roman" w:eastAsia="宋体" w:cs="Times New Roman"/>
      <w:szCs w:val="24"/>
    </w:rPr>
  </w:style>
  <w:style w:type="character" w:customStyle="1" w:styleId="328">
    <w:name w:val="HTML 预设格式 字符1"/>
    <w:semiHidden/>
    <w:qFormat/>
    <w:uiPriority w:val="99"/>
    <w:rPr>
      <w:rFonts w:ascii="Courier New" w:hAnsi="Courier New" w:eastAsia="宋体" w:cs="Courier New"/>
      <w:sz w:val="20"/>
      <w:szCs w:val="20"/>
    </w:rPr>
  </w:style>
  <w:style w:type="character" w:customStyle="1" w:styleId="329">
    <w:name w:val="正文文本首行缩进 字符"/>
    <w:link w:val="45"/>
    <w:qFormat/>
    <w:uiPriority w:val="0"/>
    <w:rPr>
      <w:rFonts w:ascii="Times New Roman" w:hAnsi="Times New Roman" w:eastAsia="宋体" w:cs="Times New Roman"/>
      <w:szCs w:val="24"/>
    </w:rPr>
  </w:style>
  <w:style w:type="character" w:customStyle="1" w:styleId="330">
    <w:name w:val="正文文本 2 字符1"/>
    <w:semiHidden/>
    <w:qFormat/>
    <w:uiPriority w:val="99"/>
    <w:rPr>
      <w:rFonts w:ascii="Times New Roman" w:hAnsi="Times New Roman" w:eastAsia="宋体" w:cs="Times New Roman"/>
      <w:szCs w:val="24"/>
    </w:rPr>
  </w:style>
  <w:style w:type="character" w:customStyle="1" w:styleId="331">
    <w:name w:val="副标题 字符1"/>
    <w:qFormat/>
    <w:uiPriority w:val="11"/>
    <w:rPr>
      <w:b/>
      <w:bCs/>
      <w:kern w:val="28"/>
      <w:sz w:val="32"/>
      <w:szCs w:val="32"/>
    </w:rPr>
  </w:style>
  <w:style w:type="character" w:customStyle="1" w:styleId="332">
    <w:name w:val="批注主题 字符1"/>
    <w:semiHidden/>
    <w:qFormat/>
    <w:uiPriority w:val="99"/>
    <w:rPr>
      <w:rFonts w:ascii="Times New Roman" w:hAnsi="Times New Roman" w:eastAsia="宋体" w:cs="Times New Roman"/>
      <w:b/>
      <w:bCs/>
      <w:szCs w:val="24"/>
    </w:rPr>
  </w:style>
  <w:style w:type="character" w:customStyle="1" w:styleId="333">
    <w:name w:val="标题 字符1"/>
    <w:qFormat/>
    <w:uiPriority w:val="10"/>
    <w:rPr>
      <w:rFonts w:ascii="等线 Light" w:hAnsi="等线 Light" w:eastAsia="等线 Light" w:cs="黑体"/>
      <w:b/>
      <w:bCs/>
      <w:sz w:val="32"/>
      <w:szCs w:val="32"/>
    </w:rPr>
  </w:style>
  <w:style w:type="character" w:customStyle="1" w:styleId="334">
    <w:name w:val="纯文本 字符1"/>
    <w:semiHidden/>
    <w:qFormat/>
    <w:uiPriority w:val="99"/>
    <w:rPr>
      <w:rFonts w:ascii="等线" w:hAnsi="Courier New" w:cs="Courier New"/>
      <w:szCs w:val="24"/>
    </w:rPr>
  </w:style>
  <w:style w:type="character" w:customStyle="1" w:styleId="335">
    <w:name w:val="正文缩进 字符"/>
    <w:link w:val="14"/>
    <w:qFormat/>
    <w:uiPriority w:val="0"/>
    <w:rPr>
      <w:rFonts w:ascii="Times New Roman" w:hAnsi="Times New Roman" w:eastAsia="宋体" w:cs="Times New Roman"/>
      <w:kern w:val="0"/>
      <w:sz w:val="20"/>
      <w:szCs w:val="20"/>
    </w:rPr>
  </w:style>
  <w:style w:type="character" w:customStyle="1" w:styleId="336">
    <w:name w:val="公文正文 Char Char"/>
    <w:link w:val="174"/>
    <w:qFormat/>
    <w:uiPriority w:val="0"/>
    <w:rPr>
      <w:rFonts w:ascii="仿宋_GB2312" w:hAnsi="Calisto MT" w:eastAsia="仿宋_GB2312"/>
      <w:color w:val="000000"/>
      <w:sz w:val="32"/>
    </w:rPr>
  </w:style>
  <w:style w:type="character" w:customStyle="1" w:styleId="337">
    <w:name w:val="普通文字 Char Char"/>
    <w:qFormat/>
    <w:uiPriority w:val="0"/>
    <w:rPr>
      <w:rFonts w:ascii="宋体" w:hAnsi="Courier New" w:eastAsia="宋体"/>
      <w:kern w:val="2"/>
      <w:sz w:val="21"/>
      <w:lang w:val="en-US" w:eastAsia="zh-CN" w:bidi="ar-SA"/>
    </w:rPr>
  </w:style>
  <w:style w:type="character" w:customStyle="1" w:styleId="338">
    <w:name w:val="副标题 Char1"/>
    <w:qFormat/>
    <w:uiPriority w:val="0"/>
    <w:rPr>
      <w:rFonts w:ascii="Cambria" w:hAnsi="Cambria" w:cs="Times New Roman"/>
      <w:b/>
      <w:bCs/>
      <w:kern w:val="28"/>
      <w:sz w:val="32"/>
      <w:szCs w:val="32"/>
    </w:rPr>
  </w:style>
  <w:style w:type="character" w:customStyle="1" w:styleId="339">
    <w:name w:val="无间隔 Char"/>
    <w:link w:val="175"/>
    <w:qFormat/>
    <w:uiPriority w:val="1"/>
    <w:rPr>
      <w:rFonts w:ascii="Calibri" w:hAnsi="Calibri"/>
      <w:sz w:val="22"/>
      <w:szCs w:val="22"/>
    </w:rPr>
  </w:style>
  <w:style w:type="character" w:customStyle="1" w:styleId="340">
    <w:name w:val="样式 样式 样式 标题 2标题 1.1第一层条第二层论文标题 1Para2Title1H2h22l2list + ch...1 ... Char Char"/>
    <w:link w:val="176"/>
    <w:qFormat/>
    <w:uiPriority w:val="0"/>
    <w:rPr>
      <w:rFonts w:ascii="Arial" w:hAnsi="Arial" w:cs="宋体"/>
      <w:b/>
      <w:color w:val="000000"/>
      <w:sz w:val="28"/>
      <w:szCs w:val="28"/>
    </w:rPr>
  </w:style>
  <w:style w:type="character" w:customStyle="1" w:styleId="341">
    <w:name w:val="列表框1 Char Char"/>
    <w:link w:val="179"/>
    <w:qFormat/>
    <w:uiPriority w:val="0"/>
    <w:rPr>
      <w:rFonts w:ascii="Arial" w:hAnsi="Arial" w:eastAsia="楷体_GB2312" w:cs="Arial"/>
      <w:spacing w:val="10"/>
      <w:szCs w:val="24"/>
    </w:rPr>
  </w:style>
  <w:style w:type="character" w:customStyle="1" w:styleId="342">
    <w:name w:val="普通文字 Char2"/>
    <w:qFormat/>
    <w:uiPriority w:val="0"/>
    <w:rPr>
      <w:rFonts w:ascii="宋体" w:hAnsi="Courier New" w:eastAsia="宋体"/>
      <w:kern w:val="2"/>
      <w:sz w:val="21"/>
      <w:lang w:val="en-US" w:eastAsia="zh-CN" w:bidi="ar-SA"/>
    </w:rPr>
  </w:style>
  <w:style w:type="character" w:customStyle="1" w:styleId="343">
    <w:name w:val="样式 标题 1标题 1 111121314151111211311611212213217113... Char Char"/>
    <w:link w:val="181"/>
    <w:qFormat/>
    <w:uiPriority w:val="0"/>
    <w:rPr>
      <w:rFonts w:ascii="宋体" w:hAnsi="宋体" w:eastAsia="黑体"/>
      <w:bCs/>
      <w:kern w:val="44"/>
      <w:sz w:val="48"/>
      <w:szCs w:val="32"/>
    </w:rPr>
  </w:style>
  <w:style w:type="character" w:customStyle="1" w:styleId="344">
    <w:name w:val="even Char Char"/>
    <w:qFormat/>
    <w:uiPriority w:val="0"/>
    <w:rPr>
      <w:rFonts w:eastAsia="宋体"/>
      <w:kern w:val="2"/>
      <w:sz w:val="18"/>
      <w:szCs w:val="24"/>
      <w:lang w:val="en-US" w:eastAsia="zh-CN" w:bidi="ar-SA"/>
    </w:rPr>
  </w:style>
  <w:style w:type="character" w:customStyle="1" w:styleId="345">
    <w:name w:val="样式 标题 4Para4CDR_Lev 4Title3h44 dashddash + (符号) 宋体 加粗 Char Char"/>
    <w:link w:val="182"/>
    <w:qFormat/>
    <w:uiPriority w:val="0"/>
    <w:rPr>
      <w:rFonts w:ascii="Arial" w:hAnsi="Arial" w:eastAsia="黑体"/>
      <w:snapToGrid w:val="0"/>
      <w:sz w:val="28"/>
      <w:szCs w:val="24"/>
    </w:rPr>
  </w:style>
  <w:style w:type="character" w:customStyle="1" w:styleId="346">
    <w:name w:val="纯文本 Char"/>
    <w:qFormat/>
    <w:uiPriority w:val="0"/>
    <w:rPr>
      <w:rFonts w:ascii="宋体" w:hAnsi="Courier New" w:cs="Courier New"/>
      <w:kern w:val="2"/>
      <w:sz w:val="21"/>
      <w:szCs w:val="21"/>
    </w:rPr>
  </w:style>
  <w:style w:type="character" w:customStyle="1" w:styleId="347">
    <w:name w:val="style131"/>
    <w:qFormat/>
    <w:uiPriority w:val="0"/>
    <w:rPr>
      <w:rFonts w:eastAsia="宋体"/>
      <w:kern w:val="2"/>
      <w:sz w:val="24"/>
      <w:szCs w:val="24"/>
      <w:lang w:val="en-US" w:eastAsia="zh-CN" w:bidi="ar-SA"/>
    </w:rPr>
  </w:style>
  <w:style w:type="character" w:customStyle="1" w:styleId="348">
    <w:name w:val="样式 样式 标题 2标题 1.1第一层条第二层论文标题 1Para2Title1H2h22l2list + ch...1 + 右...1 Char Char"/>
    <w:link w:val="177"/>
    <w:qFormat/>
    <w:uiPriority w:val="0"/>
    <w:rPr>
      <w:rFonts w:ascii="Arial" w:hAnsi="Arial" w:cs="宋体"/>
      <w:b/>
      <w:color w:val="000000"/>
      <w:sz w:val="24"/>
      <w:szCs w:val="24"/>
    </w:rPr>
  </w:style>
  <w:style w:type="character" w:customStyle="1" w:styleId="349">
    <w:name w:val="样式 标题 2标题 1.1第一层条第二层论文标题 1Para2Title1H2h22l2list + ch...1 Char Char"/>
    <w:link w:val="178"/>
    <w:qFormat/>
    <w:uiPriority w:val="0"/>
    <w:rPr>
      <w:rFonts w:ascii="Arial" w:hAnsi="Arial" w:cs="宋体"/>
      <w:b/>
      <w:color w:val="000000"/>
      <w:sz w:val="24"/>
      <w:szCs w:val="24"/>
    </w:rPr>
  </w:style>
  <w:style w:type="character" w:customStyle="1" w:styleId="350">
    <w:name w:val="Char Char Char Char Char Char"/>
    <w:qFormat/>
    <w:uiPriority w:val="0"/>
    <w:rPr>
      <w:rFonts w:ascii="宋体" w:hAnsi="Courier New" w:eastAsia="宋体"/>
      <w:kern w:val="2"/>
      <w:sz w:val="21"/>
      <w:lang w:val="en-US" w:eastAsia="zh-CN" w:bidi="ar-SA"/>
    </w:rPr>
  </w:style>
  <w:style w:type="character" w:customStyle="1" w:styleId="351">
    <w:name w:val="页码2"/>
    <w:basedOn w:val="48"/>
    <w:qFormat/>
    <w:uiPriority w:val="0"/>
  </w:style>
  <w:style w:type="character" w:customStyle="1" w:styleId="352">
    <w:name w:val="样式 样式 样式 样式 标题 2标题 1.1第一层条第二层论文标题 1Para2Title1H2h22l2list + ch..... Char Char"/>
    <w:link w:val="183"/>
    <w:qFormat/>
    <w:uiPriority w:val="0"/>
    <w:rPr>
      <w:rFonts w:ascii="宋体" w:hAnsi="宋体" w:cs="宋体"/>
      <w:b/>
      <w:color w:val="000000"/>
      <w:szCs w:val="28"/>
    </w:rPr>
  </w:style>
  <w:style w:type="character" w:customStyle="1" w:styleId="353">
    <w:name w:val="应答文本 Char Char"/>
    <w:link w:val="180"/>
    <w:qFormat/>
    <w:uiPriority w:val="0"/>
    <w:rPr>
      <w:rFonts w:ascii="Arial" w:hAnsi="Arial" w:eastAsia="楷体_GB2312" w:cs="宋体"/>
      <w:spacing w:val="10"/>
      <w:szCs w:val="24"/>
    </w:rPr>
  </w:style>
  <w:style w:type="character" w:customStyle="1" w:styleId="354">
    <w:name w:val="页码3"/>
    <w:basedOn w:val="48"/>
    <w:qFormat/>
    <w:uiPriority w:val="0"/>
  </w:style>
  <w:style w:type="character" w:customStyle="1" w:styleId="355">
    <w:name w:val="页脚 字符1"/>
    <w:semiHidden/>
    <w:qFormat/>
    <w:uiPriority w:val="99"/>
    <w:rPr>
      <w:kern w:val="2"/>
      <w:sz w:val="18"/>
      <w:szCs w:val="18"/>
    </w:rPr>
  </w:style>
  <w:style w:type="character" w:customStyle="1" w:styleId="356">
    <w:name w:val="页眉 字符1"/>
    <w:semiHidden/>
    <w:qFormat/>
    <w:uiPriority w:val="99"/>
    <w:rPr>
      <w:kern w:val="2"/>
      <w:sz w:val="18"/>
      <w:szCs w:val="18"/>
    </w:rPr>
  </w:style>
  <w:style w:type="paragraph" w:customStyle="1" w:styleId="357">
    <w:name w:val="列出段落11"/>
    <w:basedOn w:val="1"/>
    <w:qFormat/>
    <w:uiPriority w:val="0"/>
    <w:pPr>
      <w:ind w:firstLine="420" w:firstLineChars="200"/>
    </w:pPr>
    <w:rPr>
      <w:rFonts w:hint="eastAsia"/>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header" Target="header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70"/>
    <customShpInfo spid="_x0000_s2069"/>
    <customShpInfo spid="_x0000_s2051"/>
    <customShpInfo spid="_x0000_s2049"/>
    <customShpInfo spid="_x0000_s2053"/>
    <customShpInfo spid="_x0000_s2052"/>
    <customShpInfo spid="_x0000_s2055"/>
    <customShpInfo spid="_x0000_s2054"/>
    <customShpInfo spid="_x0000_s2072"/>
    <customShpInfo spid="_x0000_s2068"/>
    <customShpInfo spid="_x0000_s1041"/>
    <customShpInfo spid="_x0000_s1042"/>
    <customShpInfo spid="_x0000_s1043"/>
    <customShpInfo spid="_x0000_s1044"/>
    <customShpInfo spid="_x0000_s1045"/>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4889</Words>
  <Characters>27872</Characters>
  <Lines>232</Lines>
  <Paragraphs>65</Paragraphs>
  <TotalTime>14</TotalTime>
  <ScaleCrop>false</ScaleCrop>
  <LinksUpToDate>false</LinksUpToDate>
  <CharactersWithSpaces>32696</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2018-06-05T08:48:00Z</dcterms:created>
  <dc:creator>李 毅</dc:creator>
  <cp:lastModifiedBy>shenbenqian</cp:lastModifiedBy>
  <cp:lastPrinted>2019-09-18T01:11:00Z</cp:lastPrinted>
  <dcterms:modified xsi:type="dcterms:W3CDTF">2019-10-17T03:22:17Z</dcterms:modified>
  <dc:title>长沙市轨道交通运营有限公司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