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9" w:hanging="2249" w:hangingChars="700"/>
        <w:jc w:val="left"/>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长沙市轨道交通1、2、3、4号线一期工程运营期公务用车维修定点服务项目（2020年度）</w:t>
      </w:r>
    </w:p>
    <w:p>
      <w:pPr>
        <w:spacing w:line="360" w:lineRule="auto"/>
        <w:jc w:val="left"/>
        <w:rPr>
          <w:rFonts w:ascii="宋体" w:hAnsi="宋体" w:cs="Courier New"/>
          <w:b/>
          <w:sz w:val="32"/>
          <w:szCs w:val="21"/>
          <w:u w:val="single"/>
        </w:rPr>
      </w:pPr>
    </w:p>
    <w:p>
      <w:pPr>
        <w:pStyle w:val="25"/>
        <w:adjustRightInd w:val="0"/>
        <w:snapToGrid w:val="0"/>
        <w:spacing w:line="360" w:lineRule="auto"/>
        <w:rPr>
          <w:rFonts w:hAnsi="宋体"/>
          <w:b/>
          <w:sz w:val="32"/>
          <w:u w:val="single"/>
        </w:rPr>
      </w:pPr>
      <w:r>
        <w:rPr>
          <w:rFonts w:hint="eastAsia" w:hAnsi="宋体"/>
          <w:b/>
          <w:sz w:val="32"/>
        </w:rPr>
        <w:t>采购单位名称：</w:t>
      </w:r>
      <w:r>
        <w:rPr>
          <w:rFonts w:hint="eastAsia" w:hAnsi="宋体"/>
          <w:b/>
          <w:sz w:val="32"/>
          <w:u w:val="single"/>
        </w:rPr>
        <w:t>长沙市轨道交通一号线建设发展有限公司</w:t>
      </w:r>
    </w:p>
    <w:p>
      <w:pPr>
        <w:pStyle w:val="25"/>
        <w:adjustRightInd w:val="0"/>
        <w:snapToGrid w:val="0"/>
        <w:spacing w:line="360" w:lineRule="auto"/>
        <w:ind w:firstLine="2249" w:firstLineChars="700"/>
        <w:rPr>
          <w:rFonts w:hAnsi="宋体"/>
          <w:b/>
          <w:sz w:val="32"/>
          <w:u w:val="single"/>
        </w:rPr>
      </w:pPr>
      <w:r>
        <w:rPr>
          <w:rFonts w:hint="eastAsia" w:hAnsi="宋体"/>
          <w:b/>
          <w:sz w:val="32"/>
          <w:u w:val="single"/>
        </w:rPr>
        <w:t>长沙市轨道交通运营有限公司</w:t>
      </w:r>
    </w:p>
    <w:p>
      <w:pPr>
        <w:pStyle w:val="25"/>
        <w:adjustRightInd w:val="0"/>
        <w:snapToGrid w:val="0"/>
        <w:spacing w:line="360" w:lineRule="auto"/>
        <w:ind w:firstLine="2249" w:firstLineChars="700"/>
        <w:rPr>
          <w:rFonts w:hAnsi="宋体"/>
          <w:b/>
          <w:sz w:val="32"/>
          <w:u w:val="single"/>
        </w:rPr>
      </w:pPr>
      <w:r>
        <w:rPr>
          <w:rFonts w:hint="eastAsia" w:hAnsi="宋体"/>
          <w:b/>
          <w:sz w:val="32"/>
          <w:u w:val="single"/>
        </w:rPr>
        <w:t>长沙市轨道交通三号线建设发展有限公司</w:t>
      </w:r>
    </w:p>
    <w:p>
      <w:pPr>
        <w:pStyle w:val="25"/>
        <w:adjustRightInd w:val="0"/>
        <w:snapToGrid w:val="0"/>
        <w:spacing w:line="360" w:lineRule="auto"/>
        <w:ind w:firstLine="2249" w:firstLineChars="700"/>
        <w:rPr>
          <w:rFonts w:hAnsi="宋体"/>
          <w:b/>
          <w:sz w:val="32"/>
          <w:u w:val="single"/>
        </w:rPr>
      </w:pPr>
      <w:r>
        <w:rPr>
          <w:rFonts w:hint="eastAsia" w:hAnsi="宋体"/>
          <w:b/>
          <w:sz w:val="32"/>
          <w:u w:val="single"/>
        </w:rPr>
        <w:t>长沙市轨道交通四号线建设发展有限公司</w:t>
      </w:r>
    </w:p>
    <w:p>
      <w:pPr>
        <w:pStyle w:val="25"/>
        <w:adjustRightInd w:val="0"/>
        <w:snapToGrid w:val="0"/>
        <w:spacing w:line="360" w:lineRule="auto"/>
        <w:ind w:firstLine="2249" w:firstLineChars="700"/>
        <w:rPr>
          <w:rFonts w:hAnsi="宋体"/>
          <w:b/>
          <w:sz w:val="32"/>
          <w:highlight w:val="yellow"/>
          <w:u w:val="single"/>
        </w:rPr>
      </w:pPr>
    </w:p>
    <w:p>
      <w:pPr>
        <w:pStyle w:val="25"/>
        <w:adjustRightInd w:val="0"/>
        <w:snapToGrid w:val="0"/>
        <w:spacing w:line="360" w:lineRule="auto"/>
        <w:rPr>
          <w:rFonts w:hAnsi="宋体"/>
          <w:b/>
          <w:sz w:val="32"/>
        </w:rPr>
      </w:pPr>
      <w:r>
        <w:rPr>
          <w:rFonts w:hint="eastAsia" w:hAnsi="宋体"/>
          <w:b/>
          <w:sz w:val="32"/>
        </w:rPr>
        <w:t>谈判项目编号：</w:t>
      </w:r>
      <w:r>
        <w:rPr>
          <w:rFonts w:hint="eastAsia" w:hAnsi="宋体"/>
          <w:b/>
          <w:sz w:val="32"/>
          <w:u w:val="single"/>
        </w:rPr>
        <w:t>长轨运服采【2019】27号</w:t>
      </w:r>
    </w:p>
    <w:p>
      <w:pPr>
        <w:pStyle w:val="25"/>
        <w:adjustRightInd w:val="0"/>
        <w:snapToGrid w:val="0"/>
        <w:spacing w:beforeLines="50" w:line="360" w:lineRule="auto"/>
        <w:rPr>
          <w:b/>
          <w:sz w:val="32"/>
          <w:szCs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jc w:val="center"/>
        <w:rPr>
          <w:rFonts w:hAnsi="宋体"/>
          <w:b/>
          <w:sz w:val="32"/>
        </w:rPr>
      </w:pPr>
      <w:r>
        <w:rPr>
          <w:rFonts w:hint="eastAsia" w:hAnsi="宋体"/>
          <w:b/>
          <w:sz w:val="32"/>
          <w:u w:val="single"/>
        </w:rPr>
        <w:t>二〇一九</w:t>
      </w:r>
      <w:r>
        <w:rPr>
          <w:rFonts w:hint="eastAsia" w:hAnsi="宋体"/>
          <w:b/>
          <w:sz w:val="32"/>
        </w:rPr>
        <w:t>年</w:t>
      </w:r>
      <w:r>
        <w:rPr>
          <w:rFonts w:hint="eastAsia" w:hAnsi="宋体"/>
          <w:b/>
          <w:sz w:val="32"/>
          <w:u w:val="single"/>
          <w:lang w:eastAsia="zh-CN"/>
        </w:rPr>
        <w:t>九</w:t>
      </w:r>
      <w:r>
        <w:rPr>
          <w:rFonts w:hint="eastAsia" w:hAnsi="宋体"/>
          <w:b/>
          <w:sz w:val="32"/>
        </w:rPr>
        <w:t>月</w:t>
      </w:r>
    </w:p>
    <w:p>
      <w:pPr>
        <w:pStyle w:val="25"/>
        <w:adjustRightInd w:val="0"/>
        <w:snapToGrid w:val="0"/>
        <w:spacing w:line="360" w:lineRule="auto"/>
        <w:jc w:val="center"/>
        <w:rPr>
          <w:rFonts w:hAnsi="宋体"/>
          <w:b/>
          <w:sz w:val="32"/>
        </w:rPr>
        <w:sectPr>
          <w:pgSz w:w="11906" w:h="16838"/>
          <w:pgMar w:top="1440" w:right="1797" w:bottom="1440" w:left="1797" w:header="851" w:footer="851" w:gutter="0"/>
          <w:pgNumType w:start="1"/>
          <w:cols w:space="720" w:num="1"/>
          <w:docGrid w:linePitch="312" w:charSpace="0"/>
        </w:sectPr>
      </w:pPr>
    </w:p>
    <w:sdt>
      <w:sdtPr>
        <w:rPr>
          <w:rFonts w:ascii="Times New Roman" w:hAnsi="Times New Roman"/>
          <w:color w:val="auto"/>
          <w:kern w:val="2"/>
          <w:sz w:val="21"/>
          <w:szCs w:val="24"/>
          <w:lang w:val="zh-CN"/>
        </w:rPr>
        <w:id w:val="-158008853"/>
        <w:docPartObj>
          <w:docPartGallery w:val="Table of Contents"/>
          <w:docPartUnique/>
        </w:docPartObj>
      </w:sdtPr>
      <w:sdtEndPr>
        <w:rPr>
          <w:rFonts w:ascii="Times New Roman" w:hAnsi="Times New Roman"/>
          <w:b/>
          <w:bCs/>
          <w:color w:val="auto"/>
          <w:kern w:val="2"/>
          <w:sz w:val="21"/>
          <w:szCs w:val="24"/>
          <w:lang w:val="zh-CN"/>
        </w:rPr>
      </w:sdtEndPr>
      <w:sdtContent>
        <w:p>
          <w:pPr>
            <w:pStyle w:val="340"/>
            <w:keepNext w:val="0"/>
            <w:keepLines w:val="0"/>
            <w:tabs>
              <w:tab w:val="left" w:pos="1415"/>
              <w:tab w:val="center" w:pos="4156"/>
            </w:tabs>
            <w:rPr>
              <w:rFonts w:ascii="宋体" w:hAnsi="宋体"/>
              <w:b/>
              <w:color w:val="auto"/>
              <w:lang w:val="zh-CN"/>
            </w:rPr>
          </w:pPr>
          <w:r>
            <w:rPr>
              <w:rFonts w:ascii="Times New Roman" w:hAnsi="Times New Roman"/>
              <w:color w:val="auto"/>
              <w:kern w:val="2"/>
              <w:sz w:val="21"/>
              <w:szCs w:val="24"/>
              <w:lang w:val="zh-CN"/>
            </w:rPr>
            <w:tab/>
          </w:r>
          <w:r>
            <w:rPr>
              <w:rFonts w:ascii="Times New Roman" w:hAnsi="Times New Roman"/>
              <w:color w:val="auto"/>
              <w:kern w:val="2"/>
              <w:sz w:val="21"/>
              <w:szCs w:val="24"/>
              <w:lang w:val="zh-CN"/>
            </w:rPr>
            <w:tab/>
          </w:r>
          <w:r>
            <w:rPr>
              <w:rFonts w:ascii="宋体" w:hAnsi="宋体"/>
              <w:b/>
              <w:color w:val="auto"/>
              <w:lang w:val="zh-CN"/>
            </w:rPr>
            <w:t>目</w:t>
          </w:r>
          <w:r>
            <w:rPr>
              <w:rFonts w:hint="eastAsia" w:ascii="宋体" w:hAnsi="宋体"/>
              <w:b/>
              <w:color w:val="auto"/>
              <w:lang w:val="en-US" w:eastAsia="zh-CN"/>
            </w:rPr>
            <w:t xml:space="preserve">  </w:t>
          </w:r>
          <w:r>
            <w:rPr>
              <w:rFonts w:ascii="宋体" w:hAnsi="宋体"/>
              <w:b/>
              <w:color w:val="auto"/>
              <w:lang w:val="zh-CN"/>
            </w:rPr>
            <w:t>录</w:t>
          </w:r>
        </w:p>
        <w:p>
          <w:pPr>
            <w:pStyle w:val="32"/>
            <w:tabs>
              <w:tab w:val="right" w:leader="dot" w:pos="8302"/>
            </w:tabs>
            <w:spacing w:line="300" w:lineRule="auto"/>
            <w:rPr>
              <w:rFonts w:asciiTheme="minorHAnsi" w:hAnsiTheme="minorHAnsi" w:eastAsiaTheme="minorEastAsia" w:cstheme="minorBidi"/>
              <w:sz w:val="24"/>
            </w:rPr>
          </w:pPr>
          <w:r>
            <w:rPr>
              <w:rFonts w:ascii="黑体" w:hAnsi="宋体" w:eastAsia="黑体"/>
              <w:sz w:val="32"/>
              <w:szCs w:val="32"/>
            </w:rPr>
            <w:fldChar w:fldCharType="begin"/>
          </w:r>
          <w:r>
            <w:rPr>
              <w:rFonts w:ascii="黑体" w:hAnsi="宋体" w:eastAsia="黑体"/>
              <w:sz w:val="32"/>
              <w:szCs w:val="32"/>
            </w:rPr>
            <w:instrText xml:space="preserve"> TOC \o "1-3" \h \z \u </w:instrText>
          </w:r>
          <w:r>
            <w:rPr>
              <w:rFonts w:ascii="黑体" w:hAnsi="宋体" w:eastAsia="黑体"/>
              <w:sz w:val="32"/>
              <w:szCs w:val="32"/>
            </w:rPr>
            <w:fldChar w:fldCharType="separate"/>
          </w:r>
          <w:r>
            <w:fldChar w:fldCharType="begin"/>
          </w:r>
          <w:r>
            <w:instrText xml:space="preserve"> HYPERLINK \l "_Toc20753181" </w:instrText>
          </w:r>
          <w:r>
            <w:fldChar w:fldCharType="separate"/>
          </w:r>
          <w:r>
            <w:rPr>
              <w:rStyle w:val="55"/>
              <w:rFonts w:hint="eastAsia" w:ascii="宋体" w:hAnsi="宋体"/>
              <w:sz w:val="24"/>
            </w:rPr>
            <w:t>第一章谈判邀请公告</w:t>
          </w:r>
          <w:r>
            <w:rPr>
              <w:sz w:val="24"/>
            </w:rPr>
            <w:tab/>
          </w:r>
          <w:r>
            <w:rPr>
              <w:sz w:val="24"/>
            </w:rPr>
            <w:fldChar w:fldCharType="begin"/>
          </w:r>
          <w:r>
            <w:rPr>
              <w:sz w:val="24"/>
            </w:rPr>
            <w:instrText xml:space="preserve"> PAGEREF _Toc20753181 \h </w:instrText>
          </w:r>
          <w:r>
            <w:rPr>
              <w:sz w:val="24"/>
            </w:rPr>
            <w:fldChar w:fldCharType="separate"/>
          </w:r>
          <w:r>
            <w:rPr>
              <w:sz w:val="24"/>
            </w:rPr>
            <w:t>3</w:t>
          </w:r>
          <w:r>
            <w:rPr>
              <w:sz w:val="24"/>
            </w:rPr>
            <w:fldChar w:fldCharType="end"/>
          </w:r>
          <w:r>
            <w:rPr>
              <w:sz w:val="24"/>
            </w:rPr>
            <w:fldChar w:fldCharType="end"/>
          </w:r>
        </w:p>
        <w:p>
          <w:pPr>
            <w:pStyle w:val="32"/>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"_Toc20753182" </w:instrText>
          </w:r>
          <w:r>
            <w:fldChar w:fldCharType="separate"/>
          </w:r>
          <w:r>
            <w:rPr>
              <w:rStyle w:val="55"/>
              <w:rFonts w:hint="eastAsia" w:ascii="宋体" w:hAnsi="宋体"/>
              <w:sz w:val="24"/>
            </w:rPr>
            <w:t>第二章谈判须知</w:t>
          </w:r>
          <w:r>
            <w:rPr>
              <w:sz w:val="24"/>
            </w:rPr>
            <w:tab/>
          </w:r>
          <w:r>
            <w:rPr>
              <w:sz w:val="24"/>
            </w:rPr>
            <w:fldChar w:fldCharType="begin"/>
          </w:r>
          <w:r>
            <w:rPr>
              <w:sz w:val="24"/>
            </w:rPr>
            <w:instrText xml:space="preserve"> PAGEREF _Toc20753182 \h </w:instrText>
          </w:r>
          <w:r>
            <w:rPr>
              <w:sz w:val="24"/>
            </w:rPr>
            <w:fldChar w:fldCharType="separate"/>
          </w:r>
          <w:r>
            <w:rPr>
              <w:sz w:val="24"/>
            </w:rPr>
            <w:t>5</w:t>
          </w:r>
          <w:r>
            <w:rPr>
              <w:sz w:val="24"/>
            </w:rPr>
            <w:fldChar w:fldCharType="end"/>
          </w:r>
          <w:r>
            <w:rPr>
              <w:sz w:val="24"/>
            </w:rPr>
            <w:fldChar w:fldCharType="end"/>
          </w:r>
        </w:p>
        <w:p>
          <w:pPr>
            <w:pStyle w:val="37"/>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"_Toc20753183" </w:instrText>
          </w:r>
          <w:r>
            <w:fldChar w:fldCharType="separate"/>
          </w:r>
          <w:r>
            <w:rPr>
              <w:rStyle w:val="55"/>
              <w:rFonts w:hint="eastAsia" w:ascii="宋体" w:hAnsi="宋体"/>
              <w:sz w:val="24"/>
            </w:rPr>
            <w:t>谈判须知前附表</w:t>
          </w:r>
          <w:r>
            <w:rPr>
              <w:sz w:val="24"/>
            </w:rPr>
            <w:tab/>
          </w:r>
          <w:r>
            <w:rPr>
              <w:sz w:val="24"/>
            </w:rPr>
            <w:fldChar w:fldCharType="begin"/>
          </w:r>
          <w:r>
            <w:rPr>
              <w:sz w:val="24"/>
            </w:rPr>
            <w:instrText xml:space="preserve"> PAGEREF _Toc20753183 \h </w:instrText>
          </w:r>
          <w:r>
            <w:rPr>
              <w:sz w:val="24"/>
            </w:rPr>
            <w:fldChar w:fldCharType="separate"/>
          </w:r>
          <w:r>
            <w:rPr>
              <w:sz w:val="24"/>
            </w:rPr>
            <w:t>5</w:t>
          </w:r>
          <w:r>
            <w:rPr>
              <w:sz w:val="24"/>
            </w:rPr>
            <w:fldChar w:fldCharType="end"/>
          </w:r>
          <w:r>
            <w:rPr>
              <w:sz w:val="24"/>
            </w:rPr>
            <w:fldChar w:fldCharType="end"/>
          </w:r>
        </w:p>
        <w:p>
          <w:pPr>
            <w:pStyle w:val="37"/>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"_Toc20753184" </w:instrText>
          </w:r>
          <w:r>
            <w:fldChar w:fldCharType="separate"/>
          </w:r>
          <w:r>
            <w:rPr>
              <w:rStyle w:val="55"/>
              <w:rFonts w:hint="eastAsia" w:ascii="宋体" w:hAnsi="宋体"/>
              <w:sz w:val="24"/>
            </w:rPr>
            <w:t>谈判须知正文</w:t>
          </w:r>
          <w:r>
            <w:rPr>
              <w:sz w:val="24"/>
            </w:rPr>
            <w:tab/>
          </w:r>
          <w:r>
            <w:rPr>
              <w:sz w:val="24"/>
            </w:rPr>
            <w:fldChar w:fldCharType="begin"/>
          </w:r>
          <w:r>
            <w:rPr>
              <w:sz w:val="24"/>
            </w:rPr>
            <w:instrText xml:space="preserve"> PAGEREF _Toc20753184 \h </w:instrText>
          </w:r>
          <w:r>
            <w:rPr>
              <w:sz w:val="24"/>
            </w:rPr>
            <w:fldChar w:fldCharType="separate"/>
          </w:r>
          <w:r>
            <w:rPr>
              <w:sz w:val="24"/>
            </w:rPr>
            <w:t>9</w:t>
          </w:r>
          <w:r>
            <w:rPr>
              <w:sz w:val="24"/>
            </w:rPr>
            <w:fldChar w:fldCharType="end"/>
          </w:r>
          <w:r>
            <w:rPr>
              <w:sz w:val="24"/>
            </w:rPr>
            <w:fldChar w:fldCharType="end"/>
          </w:r>
        </w:p>
        <w:p>
          <w:pPr>
            <w:pStyle w:val="24"/>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"_Toc20753185" </w:instrText>
          </w:r>
          <w:r>
            <w:fldChar w:fldCharType="separate"/>
          </w:r>
          <w:r>
            <w:rPr>
              <w:rStyle w:val="55"/>
              <w:rFonts w:hint="eastAsia" w:ascii="宋体" w:hAnsi="宋体"/>
              <w:sz w:val="24"/>
            </w:rPr>
            <w:t>一、说明</w:t>
          </w:r>
          <w:r>
            <w:rPr>
              <w:sz w:val="24"/>
            </w:rPr>
            <w:tab/>
          </w:r>
          <w:r>
            <w:rPr>
              <w:sz w:val="24"/>
            </w:rPr>
            <w:fldChar w:fldCharType="begin"/>
          </w:r>
          <w:r>
            <w:rPr>
              <w:sz w:val="24"/>
            </w:rPr>
            <w:instrText xml:space="preserve"> PAGEREF _Toc20753185 \h </w:instrText>
          </w:r>
          <w:r>
            <w:rPr>
              <w:sz w:val="24"/>
            </w:rPr>
            <w:fldChar w:fldCharType="separate"/>
          </w:r>
          <w:r>
            <w:rPr>
              <w:sz w:val="24"/>
            </w:rPr>
            <w:t>9</w:t>
          </w:r>
          <w:r>
            <w:rPr>
              <w:sz w:val="24"/>
            </w:rPr>
            <w:fldChar w:fldCharType="end"/>
          </w:r>
          <w:r>
            <w:rPr>
              <w:sz w:val="24"/>
            </w:rPr>
            <w:fldChar w:fldCharType="end"/>
          </w:r>
        </w:p>
        <w:p>
          <w:pPr>
            <w:pStyle w:val="24"/>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"_Toc20753186" </w:instrText>
          </w:r>
          <w:r>
            <w:fldChar w:fldCharType="separate"/>
          </w:r>
          <w:r>
            <w:rPr>
              <w:rStyle w:val="55"/>
              <w:rFonts w:hint="eastAsia" w:ascii="宋体" w:hAnsi="宋体"/>
              <w:sz w:val="24"/>
            </w:rPr>
            <w:t>二、谈判文件</w:t>
          </w:r>
          <w:r>
            <w:rPr>
              <w:sz w:val="24"/>
            </w:rPr>
            <w:tab/>
          </w:r>
          <w:r>
            <w:rPr>
              <w:sz w:val="24"/>
            </w:rPr>
            <w:fldChar w:fldCharType="begin"/>
          </w:r>
          <w:r>
            <w:rPr>
              <w:sz w:val="24"/>
            </w:rPr>
            <w:instrText xml:space="preserve"> PAGEREF _Toc20753186 \h </w:instrText>
          </w:r>
          <w:r>
            <w:rPr>
              <w:sz w:val="24"/>
            </w:rPr>
            <w:fldChar w:fldCharType="separate"/>
          </w:r>
          <w:r>
            <w:rPr>
              <w:sz w:val="24"/>
            </w:rPr>
            <w:t>9</w:t>
          </w:r>
          <w:r>
            <w:rPr>
              <w:sz w:val="24"/>
            </w:rPr>
            <w:fldChar w:fldCharType="end"/>
          </w:r>
          <w:r>
            <w:rPr>
              <w:sz w:val="24"/>
            </w:rPr>
            <w:fldChar w:fldCharType="end"/>
          </w:r>
        </w:p>
        <w:p>
          <w:pPr>
            <w:pStyle w:val="24"/>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"_Toc20753187" </w:instrText>
          </w:r>
          <w:r>
            <w:fldChar w:fldCharType="separate"/>
          </w:r>
          <w:r>
            <w:rPr>
              <w:rStyle w:val="55"/>
              <w:rFonts w:hint="eastAsia" w:ascii="宋体" w:hAnsi="宋体"/>
              <w:sz w:val="24"/>
            </w:rPr>
            <w:t>三、响应文件</w:t>
          </w:r>
          <w:r>
            <w:rPr>
              <w:sz w:val="24"/>
            </w:rPr>
            <w:tab/>
          </w:r>
          <w:r>
            <w:rPr>
              <w:sz w:val="24"/>
            </w:rPr>
            <w:fldChar w:fldCharType="begin"/>
          </w:r>
          <w:r>
            <w:rPr>
              <w:sz w:val="24"/>
            </w:rPr>
            <w:instrText xml:space="preserve"> PAGEREF _Toc20753187 \h </w:instrText>
          </w:r>
          <w:r>
            <w:rPr>
              <w:sz w:val="24"/>
            </w:rPr>
            <w:fldChar w:fldCharType="separate"/>
          </w:r>
          <w:r>
            <w:rPr>
              <w:sz w:val="24"/>
            </w:rPr>
            <w:t>10</w:t>
          </w:r>
          <w:r>
            <w:rPr>
              <w:sz w:val="24"/>
            </w:rPr>
            <w:fldChar w:fldCharType="end"/>
          </w:r>
          <w:r>
            <w:rPr>
              <w:sz w:val="24"/>
            </w:rPr>
            <w:fldChar w:fldCharType="end"/>
          </w:r>
        </w:p>
        <w:p>
          <w:pPr>
            <w:pStyle w:val="24"/>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"_Toc20753188" </w:instrText>
          </w:r>
          <w:r>
            <w:fldChar w:fldCharType="separate"/>
          </w:r>
          <w:r>
            <w:rPr>
              <w:rStyle w:val="55"/>
              <w:rFonts w:hint="eastAsia" w:ascii="宋体" w:hAnsi="宋体"/>
              <w:sz w:val="24"/>
            </w:rPr>
            <w:t>四、响应文件的递交</w:t>
          </w:r>
          <w:r>
            <w:rPr>
              <w:sz w:val="24"/>
            </w:rPr>
            <w:tab/>
          </w:r>
          <w:r>
            <w:rPr>
              <w:sz w:val="24"/>
            </w:rPr>
            <w:fldChar w:fldCharType="begin"/>
          </w:r>
          <w:r>
            <w:rPr>
              <w:sz w:val="24"/>
            </w:rPr>
            <w:instrText xml:space="preserve"> PAGEREF _Toc20753188 \h </w:instrText>
          </w:r>
          <w:r>
            <w:rPr>
              <w:sz w:val="24"/>
            </w:rPr>
            <w:fldChar w:fldCharType="separate"/>
          </w:r>
          <w:r>
            <w:rPr>
              <w:sz w:val="24"/>
            </w:rPr>
            <w:t>12</w:t>
          </w:r>
          <w:r>
            <w:rPr>
              <w:sz w:val="24"/>
            </w:rPr>
            <w:fldChar w:fldCharType="end"/>
          </w:r>
          <w:r>
            <w:rPr>
              <w:sz w:val="24"/>
            </w:rPr>
            <w:fldChar w:fldCharType="end"/>
          </w:r>
        </w:p>
        <w:p>
          <w:pPr>
            <w:pStyle w:val="24"/>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"_Toc20753189" </w:instrText>
          </w:r>
          <w:r>
            <w:fldChar w:fldCharType="separate"/>
          </w:r>
          <w:r>
            <w:rPr>
              <w:rStyle w:val="55"/>
              <w:rFonts w:hint="eastAsia" w:ascii="宋体" w:hAnsi="宋体"/>
              <w:sz w:val="24"/>
            </w:rPr>
            <w:t>五、响应文件的评审</w:t>
          </w:r>
          <w:r>
            <w:rPr>
              <w:sz w:val="24"/>
            </w:rPr>
            <w:tab/>
          </w:r>
          <w:r>
            <w:rPr>
              <w:sz w:val="24"/>
            </w:rPr>
            <w:fldChar w:fldCharType="begin"/>
          </w:r>
          <w:r>
            <w:rPr>
              <w:sz w:val="24"/>
            </w:rPr>
            <w:instrText xml:space="preserve"> PAGEREF _Toc20753189 \h </w:instrText>
          </w:r>
          <w:r>
            <w:rPr>
              <w:sz w:val="24"/>
            </w:rPr>
            <w:fldChar w:fldCharType="separate"/>
          </w:r>
          <w:r>
            <w:rPr>
              <w:sz w:val="24"/>
            </w:rPr>
            <w:t>12</w:t>
          </w:r>
          <w:r>
            <w:rPr>
              <w:sz w:val="24"/>
            </w:rPr>
            <w:fldChar w:fldCharType="end"/>
          </w:r>
          <w:r>
            <w:rPr>
              <w:sz w:val="24"/>
            </w:rPr>
            <w:fldChar w:fldCharType="end"/>
          </w:r>
        </w:p>
        <w:p>
          <w:pPr>
            <w:pStyle w:val="24"/>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"_Toc20753190" </w:instrText>
          </w:r>
          <w:r>
            <w:fldChar w:fldCharType="separate"/>
          </w:r>
          <w:r>
            <w:rPr>
              <w:rStyle w:val="55"/>
              <w:rFonts w:hint="eastAsia" w:ascii="宋体" w:hAnsi="宋体"/>
              <w:sz w:val="24"/>
            </w:rPr>
            <w:t>六、响应文件的澄清、说明及补正</w:t>
          </w:r>
          <w:r>
            <w:rPr>
              <w:sz w:val="24"/>
            </w:rPr>
            <w:tab/>
          </w:r>
          <w:r>
            <w:rPr>
              <w:sz w:val="24"/>
            </w:rPr>
            <w:fldChar w:fldCharType="begin"/>
          </w:r>
          <w:r>
            <w:rPr>
              <w:sz w:val="24"/>
            </w:rPr>
            <w:instrText xml:space="preserve"> PAGEREF _Toc20753190 \h </w:instrText>
          </w:r>
          <w:r>
            <w:rPr>
              <w:sz w:val="24"/>
            </w:rPr>
            <w:fldChar w:fldCharType="separate"/>
          </w:r>
          <w:r>
            <w:rPr>
              <w:sz w:val="24"/>
            </w:rPr>
            <w:t>12</w:t>
          </w:r>
          <w:r>
            <w:rPr>
              <w:sz w:val="24"/>
            </w:rPr>
            <w:fldChar w:fldCharType="end"/>
          </w:r>
          <w:r>
            <w:rPr>
              <w:sz w:val="24"/>
            </w:rPr>
            <w:fldChar w:fldCharType="end"/>
          </w:r>
        </w:p>
        <w:p>
          <w:pPr>
            <w:pStyle w:val="24"/>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"_Toc20753191" </w:instrText>
          </w:r>
          <w:r>
            <w:fldChar w:fldCharType="separate"/>
          </w:r>
          <w:r>
            <w:rPr>
              <w:rStyle w:val="55"/>
              <w:rFonts w:hint="eastAsia" w:ascii="宋体" w:hAnsi="宋体"/>
              <w:sz w:val="24"/>
            </w:rPr>
            <w:t>七、中选结果与授予合同</w:t>
          </w:r>
          <w:r>
            <w:rPr>
              <w:sz w:val="24"/>
            </w:rPr>
            <w:tab/>
          </w:r>
          <w:r>
            <w:rPr>
              <w:sz w:val="24"/>
            </w:rPr>
            <w:fldChar w:fldCharType="begin"/>
          </w:r>
          <w:r>
            <w:rPr>
              <w:sz w:val="24"/>
            </w:rPr>
            <w:instrText xml:space="preserve"> PAGEREF _Toc20753191 \h </w:instrText>
          </w:r>
          <w:r>
            <w:rPr>
              <w:sz w:val="24"/>
            </w:rPr>
            <w:fldChar w:fldCharType="separate"/>
          </w:r>
          <w:r>
            <w:rPr>
              <w:sz w:val="24"/>
            </w:rPr>
            <w:t>13</w:t>
          </w:r>
          <w:r>
            <w:rPr>
              <w:sz w:val="24"/>
            </w:rPr>
            <w:fldChar w:fldCharType="end"/>
          </w:r>
          <w:r>
            <w:rPr>
              <w:sz w:val="24"/>
            </w:rPr>
            <w:fldChar w:fldCharType="end"/>
          </w:r>
        </w:p>
        <w:p>
          <w:pPr>
            <w:pStyle w:val="24"/>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"_Toc20753192" </w:instrText>
          </w:r>
          <w:r>
            <w:fldChar w:fldCharType="separate"/>
          </w:r>
          <w:r>
            <w:rPr>
              <w:rStyle w:val="55"/>
              <w:rFonts w:hint="eastAsia" w:ascii="宋体" w:hAnsi="宋体"/>
              <w:sz w:val="24"/>
            </w:rPr>
            <w:t>八、其他</w:t>
          </w:r>
          <w:r>
            <w:rPr>
              <w:sz w:val="24"/>
            </w:rPr>
            <w:tab/>
          </w:r>
          <w:r>
            <w:rPr>
              <w:sz w:val="24"/>
            </w:rPr>
            <w:fldChar w:fldCharType="begin"/>
          </w:r>
          <w:r>
            <w:rPr>
              <w:sz w:val="24"/>
            </w:rPr>
            <w:instrText xml:space="preserve"> PAGEREF _Toc20753192 \h </w:instrText>
          </w:r>
          <w:r>
            <w:rPr>
              <w:sz w:val="24"/>
            </w:rPr>
            <w:fldChar w:fldCharType="separate"/>
          </w:r>
          <w:r>
            <w:rPr>
              <w:sz w:val="24"/>
            </w:rPr>
            <w:t>14</w:t>
          </w:r>
          <w:r>
            <w:rPr>
              <w:sz w:val="24"/>
            </w:rPr>
            <w:fldChar w:fldCharType="end"/>
          </w:r>
          <w:r>
            <w:rPr>
              <w:sz w:val="24"/>
            </w:rPr>
            <w:fldChar w:fldCharType="end"/>
          </w:r>
        </w:p>
        <w:p>
          <w:pPr>
            <w:pStyle w:val="32"/>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"_Toc20753193" </w:instrText>
          </w:r>
          <w:r>
            <w:fldChar w:fldCharType="separate"/>
          </w:r>
          <w:r>
            <w:rPr>
              <w:rStyle w:val="55"/>
              <w:rFonts w:hint="eastAsia" w:ascii="宋体" w:hAnsi="宋体"/>
              <w:sz w:val="24"/>
            </w:rPr>
            <w:t>第三章评审办法及标准</w:t>
          </w:r>
          <w:r>
            <w:rPr>
              <w:sz w:val="24"/>
            </w:rPr>
            <w:tab/>
          </w:r>
          <w:r>
            <w:rPr>
              <w:sz w:val="24"/>
            </w:rPr>
            <w:fldChar w:fldCharType="begin"/>
          </w:r>
          <w:r>
            <w:rPr>
              <w:sz w:val="24"/>
            </w:rPr>
            <w:instrText xml:space="preserve"> PAGEREF _Toc20753193 \h </w:instrText>
          </w:r>
          <w:r>
            <w:rPr>
              <w:sz w:val="24"/>
            </w:rPr>
            <w:fldChar w:fldCharType="separate"/>
          </w:r>
          <w:r>
            <w:rPr>
              <w:sz w:val="24"/>
            </w:rPr>
            <w:t>16</w:t>
          </w:r>
          <w:r>
            <w:rPr>
              <w:sz w:val="24"/>
            </w:rPr>
            <w:fldChar w:fldCharType="end"/>
          </w:r>
          <w:r>
            <w:rPr>
              <w:sz w:val="24"/>
            </w:rPr>
            <w:fldChar w:fldCharType="end"/>
          </w:r>
        </w:p>
        <w:p>
          <w:pPr>
            <w:pStyle w:val="32"/>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"_Toc20753194" </w:instrText>
          </w:r>
          <w:r>
            <w:fldChar w:fldCharType="separate"/>
          </w:r>
          <w:r>
            <w:rPr>
              <w:rStyle w:val="55"/>
              <w:rFonts w:hint="eastAsia" w:ascii="宋体" w:hAnsi="宋体"/>
              <w:sz w:val="24"/>
            </w:rPr>
            <w:t>第四章用户需求书</w:t>
          </w:r>
          <w:r>
            <w:rPr>
              <w:sz w:val="24"/>
            </w:rPr>
            <w:tab/>
          </w:r>
          <w:r>
            <w:rPr>
              <w:sz w:val="24"/>
            </w:rPr>
            <w:fldChar w:fldCharType="begin"/>
          </w:r>
          <w:r>
            <w:rPr>
              <w:sz w:val="24"/>
            </w:rPr>
            <w:instrText xml:space="preserve"> PAGEREF _Toc20753194 \h </w:instrText>
          </w:r>
          <w:r>
            <w:rPr>
              <w:sz w:val="24"/>
            </w:rPr>
            <w:fldChar w:fldCharType="separate"/>
          </w:r>
          <w:r>
            <w:rPr>
              <w:sz w:val="24"/>
            </w:rPr>
            <w:t>18</w:t>
          </w:r>
          <w:r>
            <w:rPr>
              <w:sz w:val="24"/>
            </w:rPr>
            <w:fldChar w:fldCharType="end"/>
          </w:r>
          <w:r>
            <w:rPr>
              <w:sz w:val="24"/>
            </w:rPr>
            <w:fldChar w:fldCharType="end"/>
          </w:r>
        </w:p>
        <w:p>
          <w:pPr>
            <w:pStyle w:val="32"/>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"_Toc20753195" </w:instrText>
          </w:r>
          <w:r>
            <w:fldChar w:fldCharType="separate"/>
          </w:r>
          <w:r>
            <w:rPr>
              <w:rStyle w:val="55"/>
              <w:rFonts w:hint="eastAsia" w:ascii="宋体" w:hAnsi="宋体"/>
              <w:sz w:val="24"/>
            </w:rPr>
            <w:t>第五章合同格式条款</w:t>
          </w:r>
          <w:r>
            <w:rPr>
              <w:sz w:val="24"/>
            </w:rPr>
            <w:tab/>
          </w:r>
          <w:r>
            <w:rPr>
              <w:sz w:val="24"/>
            </w:rPr>
            <w:fldChar w:fldCharType="begin"/>
          </w:r>
          <w:r>
            <w:rPr>
              <w:sz w:val="24"/>
            </w:rPr>
            <w:instrText xml:space="preserve"> PAGEREF _Toc20753195 \h </w:instrText>
          </w:r>
          <w:r>
            <w:rPr>
              <w:sz w:val="24"/>
            </w:rPr>
            <w:fldChar w:fldCharType="separate"/>
          </w:r>
          <w:r>
            <w:rPr>
              <w:sz w:val="24"/>
            </w:rPr>
            <w:t>23</w:t>
          </w:r>
          <w:r>
            <w:rPr>
              <w:sz w:val="24"/>
            </w:rPr>
            <w:fldChar w:fldCharType="end"/>
          </w:r>
          <w:r>
            <w:rPr>
              <w:sz w:val="24"/>
            </w:rPr>
            <w:fldChar w:fldCharType="end"/>
          </w:r>
        </w:p>
        <w:p>
          <w:pPr>
            <w:pStyle w:val="32"/>
            <w:tabs>
              <w:tab w:val="right" w:leader="dot" w:pos="8302"/>
            </w:tabs>
            <w:spacing w:line="300" w:lineRule="auto"/>
            <w:rPr>
              <w:rFonts w:asciiTheme="minorHAnsi" w:hAnsiTheme="minorHAnsi" w:eastAsiaTheme="minorEastAsia" w:cstheme="minorBidi"/>
              <w:sz w:val="24"/>
            </w:rPr>
          </w:pPr>
          <w:r>
            <w:fldChar w:fldCharType="begin"/>
          </w:r>
          <w:r>
            <w:instrText xml:space="preserve"> HYPERLINK \l "_Toc20753226" </w:instrText>
          </w:r>
          <w:r>
            <w:fldChar w:fldCharType="separate"/>
          </w:r>
          <w:r>
            <w:rPr>
              <w:rStyle w:val="55"/>
              <w:rFonts w:hint="eastAsia" w:ascii="宋体" w:hAnsi="宋体" w:cs="宋体"/>
              <w:sz w:val="24"/>
            </w:rPr>
            <w:t>第六章响应文件组成</w:t>
          </w:r>
          <w:r>
            <w:rPr>
              <w:sz w:val="24"/>
            </w:rPr>
            <w:tab/>
          </w:r>
          <w:r>
            <w:rPr>
              <w:sz w:val="24"/>
            </w:rPr>
            <w:fldChar w:fldCharType="begin"/>
          </w:r>
          <w:r>
            <w:rPr>
              <w:sz w:val="24"/>
            </w:rPr>
            <w:instrText xml:space="preserve"> PAGEREF _Toc20753226 \h </w:instrText>
          </w:r>
          <w:r>
            <w:rPr>
              <w:sz w:val="24"/>
            </w:rPr>
            <w:fldChar w:fldCharType="separate"/>
          </w:r>
          <w:r>
            <w:rPr>
              <w:sz w:val="24"/>
            </w:rPr>
            <w:t>36</w:t>
          </w:r>
          <w:r>
            <w:rPr>
              <w:sz w:val="24"/>
            </w:rPr>
            <w:fldChar w:fldCharType="end"/>
          </w:r>
          <w:r>
            <w:rPr>
              <w:sz w:val="24"/>
            </w:rPr>
            <w:fldChar w:fldCharType="end"/>
          </w:r>
        </w:p>
        <w:p>
          <w:pPr>
            <w:pStyle w:val="32"/>
            <w:tabs>
              <w:tab w:val="right" w:leader="dot" w:pos="8302"/>
            </w:tabs>
            <w:spacing w:line="300" w:lineRule="auto"/>
            <w:ind w:firstLine="735" w:firstLineChars="350"/>
            <w:rPr>
              <w:rFonts w:asciiTheme="minorHAnsi" w:hAnsiTheme="minorHAnsi" w:eastAsiaTheme="minorEastAsia" w:cstheme="minorBidi"/>
              <w:sz w:val="24"/>
            </w:rPr>
          </w:pPr>
          <w:r>
            <w:fldChar w:fldCharType="begin"/>
          </w:r>
          <w:r>
            <w:instrText xml:space="preserve"> HYPERLINK \l "_Toc20753227" </w:instrText>
          </w:r>
          <w:r>
            <w:fldChar w:fldCharType="separate"/>
          </w:r>
          <w:r>
            <w:rPr>
              <w:rStyle w:val="55"/>
              <w:rFonts w:hint="eastAsia" w:ascii="宋体" w:hAnsi="宋体"/>
              <w:sz w:val="24"/>
            </w:rPr>
            <w:t>一、谈判承诺书</w:t>
          </w:r>
          <w:r>
            <w:rPr>
              <w:sz w:val="24"/>
            </w:rPr>
            <w:tab/>
          </w:r>
          <w:r>
            <w:rPr>
              <w:sz w:val="24"/>
            </w:rPr>
            <w:fldChar w:fldCharType="begin"/>
          </w:r>
          <w:r>
            <w:rPr>
              <w:sz w:val="24"/>
            </w:rPr>
            <w:instrText xml:space="preserve"> PAGEREF _Toc20753227 \h </w:instrText>
          </w:r>
          <w:r>
            <w:rPr>
              <w:sz w:val="24"/>
            </w:rPr>
            <w:fldChar w:fldCharType="separate"/>
          </w:r>
          <w:r>
            <w:rPr>
              <w:sz w:val="24"/>
            </w:rPr>
            <w:t>38</w:t>
          </w:r>
          <w:r>
            <w:rPr>
              <w:sz w:val="24"/>
            </w:rPr>
            <w:fldChar w:fldCharType="end"/>
          </w:r>
          <w:r>
            <w:rPr>
              <w:sz w:val="24"/>
            </w:rPr>
            <w:fldChar w:fldCharType="end"/>
          </w:r>
        </w:p>
        <w:p>
          <w:pPr>
            <w:pStyle w:val="32"/>
            <w:tabs>
              <w:tab w:val="right" w:leader="dot" w:pos="8302"/>
            </w:tabs>
            <w:spacing w:line="300" w:lineRule="auto"/>
            <w:ind w:firstLine="735" w:firstLineChars="350"/>
            <w:rPr>
              <w:rFonts w:asciiTheme="minorHAnsi" w:hAnsiTheme="minorHAnsi" w:eastAsiaTheme="minorEastAsia" w:cstheme="minorBidi"/>
              <w:sz w:val="24"/>
            </w:rPr>
          </w:pPr>
          <w:r>
            <w:fldChar w:fldCharType="begin"/>
          </w:r>
          <w:r>
            <w:instrText xml:space="preserve"> HYPERLINK \l "_Toc20753228" </w:instrText>
          </w:r>
          <w:r>
            <w:fldChar w:fldCharType="separate"/>
          </w:r>
          <w:r>
            <w:rPr>
              <w:rStyle w:val="55"/>
              <w:rFonts w:hint="eastAsia" w:ascii="宋体" w:hAnsi="宋体"/>
              <w:sz w:val="24"/>
            </w:rPr>
            <w:t>二、法定代表人身份证明书</w:t>
          </w:r>
          <w:r>
            <w:rPr>
              <w:sz w:val="24"/>
            </w:rPr>
            <w:tab/>
          </w:r>
          <w:r>
            <w:rPr>
              <w:sz w:val="24"/>
            </w:rPr>
            <w:fldChar w:fldCharType="begin"/>
          </w:r>
          <w:r>
            <w:rPr>
              <w:sz w:val="24"/>
            </w:rPr>
            <w:instrText xml:space="preserve"> PAGEREF _Toc20753228 \h </w:instrText>
          </w:r>
          <w:r>
            <w:rPr>
              <w:sz w:val="24"/>
            </w:rPr>
            <w:fldChar w:fldCharType="separate"/>
          </w:r>
          <w:r>
            <w:rPr>
              <w:sz w:val="24"/>
            </w:rPr>
            <w:t>39</w:t>
          </w:r>
          <w:r>
            <w:rPr>
              <w:sz w:val="24"/>
            </w:rPr>
            <w:fldChar w:fldCharType="end"/>
          </w:r>
          <w:r>
            <w:rPr>
              <w:sz w:val="24"/>
            </w:rPr>
            <w:fldChar w:fldCharType="end"/>
          </w:r>
        </w:p>
        <w:p>
          <w:pPr>
            <w:pStyle w:val="32"/>
            <w:tabs>
              <w:tab w:val="right" w:leader="dot" w:pos="8302"/>
            </w:tabs>
            <w:spacing w:line="300" w:lineRule="auto"/>
            <w:ind w:firstLine="735" w:firstLineChars="350"/>
            <w:rPr>
              <w:rFonts w:asciiTheme="minorHAnsi" w:hAnsiTheme="minorHAnsi" w:eastAsiaTheme="minorEastAsia" w:cstheme="minorBidi"/>
              <w:sz w:val="24"/>
            </w:rPr>
          </w:pPr>
          <w:r>
            <w:fldChar w:fldCharType="begin"/>
          </w:r>
          <w:r>
            <w:instrText xml:space="preserve"> HYPERLINK \l "_Toc20753229" </w:instrText>
          </w:r>
          <w:r>
            <w:fldChar w:fldCharType="separate"/>
          </w:r>
          <w:r>
            <w:rPr>
              <w:rStyle w:val="55"/>
              <w:rFonts w:hint="eastAsia" w:ascii="宋体" w:hAnsi="宋体"/>
              <w:sz w:val="24"/>
            </w:rPr>
            <w:t>三、授权委托书</w:t>
          </w:r>
          <w:r>
            <w:rPr>
              <w:sz w:val="24"/>
            </w:rPr>
            <w:tab/>
          </w:r>
          <w:r>
            <w:rPr>
              <w:sz w:val="24"/>
            </w:rPr>
            <w:fldChar w:fldCharType="begin"/>
          </w:r>
          <w:r>
            <w:rPr>
              <w:sz w:val="24"/>
            </w:rPr>
            <w:instrText xml:space="preserve"> PAGEREF _Toc20753229 \h </w:instrText>
          </w:r>
          <w:r>
            <w:rPr>
              <w:sz w:val="24"/>
            </w:rPr>
            <w:fldChar w:fldCharType="separate"/>
          </w:r>
          <w:r>
            <w:rPr>
              <w:sz w:val="24"/>
            </w:rPr>
            <w:t>40</w:t>
          </w:r>
          <w:r>
            <w:rPr>
              <w:sz w:val="24"/>
            </w:rPr>
            <w:fldChar w:fldCharType="end"/>
          </w:r>
          <w:r>
            <w:rPr>
              <w:sz w:val="24"/>
            </w:rPr>
            <w:fldChar w:fldCharType="end"/>
          </w:r>
        </w:p>
        <w:p>
          <w:pPr>
            <w:pStyle w:val="32"/>
            <w:tabs>
              <w:tab w:val="right" w:leader="dot" w:pos="8302"/>
            </w:tabs>
            <w:spacing w:line="300" w:lineRule="auto"/>
            <w:ind w:firstLine="735" w:firstLineChars="350"/>
            <w:rPr>
              <w:rFonts w:asciiTheme="minorHAnsi" w:hAnsiTheme="minorHAnsi" w:eastAsiaTheme="minorEastAsia" w:cstheme="minorBidi"/>
              <w:sz w:val="24"/>
            </w:rPr>
          </w:pPr>
          <w:r>
            <w:fldChar w:fldCharType="begin"/>
          </w:r>
          <w:r>
            <w:instrText xml:space="preserve"> HYPERLINK \l "_Toc20753230" </w:instrText>
          </w:r>
          <w:r>
            <w:fldChar w:fldCharType="separate"/>
          </w:r>
          <w:r>
            <w:rPr>
              <w:rStyle w:val="55"/>
              <w:rFonts w:hint="eastAsia" w:ascii="宋体" w:hAnsi="宋体"/>
              <w:sz w:val="24"/>
            </w:rPr>
            <w:t>四、谈判单位资格证明文件</w:t>
          </w:r>
          <w:r>
            <w:rPr>
              <w:sz w:val="24"/>
            </w:rPr>
            <w:tab/>
          </w:r>
          <w:r>
            <w:rPr>
              <w:sz w:val="24"/>
            </w:rPr>
            <w:fldChar w:fldCharType="begin"/>
          </w:r>
          <w:r>
            <w:rPr>
              <w:sz w:val="24"/>
            </w:rPr>
            <w:instrText xml:space="preserve"> PAGEREF _Toc20753230 \h </w:instrText>
          </w:r>
          <w:r>
            <w:rPr>
              <w:sz w:val="24"/>
            </w:rPr>
            <w:fldChar w:fldCharType="separate"/>
          </w:r>
          <w:r>
            <w:rPr>
              <w:sz w:val="24"/>
            </w:rPr>
            <w:t>41</w:t>
          </w:r>
          <w:r>
            <w:rPr>
              <w:sz w:val="24"/>
            </w:rPr>
            <w:fldChar w:fldCharType="end"/>
          </w:r>
          <w:r>
            <w:rPr>
              <w:sz w:val="24"/>
            </w:rPr>
            <w:fldChar w:fldCharType="end"/>
          </w:r>
        </w:p>
        <w:p>
          <w:pPr>
            <w:pStyle w:val="32"/>
            <w:tabs>
              <w:tab w:val="right" w:leader="dot" w:pos="8302"/>
            </w:tabs>
            <w:spacing w:line="300" w:lineRule="auto"/>
            <w:ind w:firstLine="735" w:firstLineChars="350"/>
            <w:rPr>
              <w:rFonts w:asciiTheme="minorHAnsi" w:hAnsiTheme="minorHAnsi" w:eastAsiaTheme="minorEastAsia" w:cstheme="minorBidi"/>
              <w:sz w:val="24"/>
            </w:rPr>
          </w:pPr>
          <w:r>
            <w:fldChar w:fldCharType="begin"/>
          </w:r>
          <w:r>
            <w:instrText xml:space="preserve"> HYPERLINK \l "_Toc20753231" </w:instrText>
          </w:r>
          <w:r>
            <w:fldChar w:fldCharType="separate"/>
          </w:r>
          <w:r>
            <w:rPr>
              <w:rStyle w:val="55"/>
              <w:rFonts w:hint="eastAsia" w:ascii="宋体" w:hAnsi="宋体"/>
              <w:sz w:val="24"/>
            </w:rPr>
            <w:t>五、报价一览表</w:t>
          </w:r>
          <w:r>
            <w:rPr>
              <w:sz w:val="24"/>
            </w:rPr>
            <w:tab/>
          </w:r>
          <w:r>
            <w:rPr>
              <w:sz w:val="24"/>
            </w:rPr>
            <w:fldChar w:fldCharType="begin"/>
          </w:r>
          <w:r>
            <w:rPr>
              <w:sz w:val="24"/>
            </w:rPr>
            <w:instrText xml:space="preserve"> PAGEREF _Toc20753231 \h </w:instrText>
          </w:r>
          <w:r>
            <w:rPr>
              <w:sz w:val="24"/>
            </w:rPr>
            <w:fldChar w:fldCharType="separate"/>
          </w:r>
          <w:r>
            <w:rPr>
              <w:sz w:val="24"/>
            </w:rPr>
            <w:t>42</w:t>
          </w:r>
          <w:r>
            <w:rPr>
              <w:sz w:val="24"/>
            </w:rPr>
            <w:fldChar w:fldCharType="end"/>
          </w:r>
          <w:r>
            <w:rPr>
              <w:sz w:val="24"/>
            </w:rPr>
            <w:fldChar w:fldCharType="end"/>
          </w:r>
        </w:p>
        <w:p>
          <w:pPr>
            <w:pStyle w:val="32"/>
            <w:tabs>
              <w:tab w:val="right" w:leader="dot" w:pos="8302"/>
            </w:tabs>
            <w:spacing w:line="300" w:lineRule="auto"/>
            <w:ind w:firstLine="735" w:firstLineChars="350"/>
            <w:rPr>
              <w:rFonts w:asciiTheme="minorHAnsi" w:hAnsiTheme="minorHAnsi" w:eastAsiaTheme="minorEastAsia" w:cstheme="minorBidi"/>
              <w:szCs w:val="22"/>
            </w:rPr>
          </w:pPr>
          <w:r>
            <w:fldChar w:fldCharType="begin"/>
          </w:r>
          <w:r>
            <w:instrText xml:space="preserve"> HYPERLINK \l "_Toc20753232" </w:instrText>
          </w:r>
          <w:r>
            <w:fldChar w:fldCharType="separate"/>
          </w:r>
          <w:r>
            <w:rPr>
              <w:rStyle w:val="55"/>
              <w:rFonts w:hint="eastAsia" w:ascii="宋体" w:hAnsi="宋体"/>
              <w:sz w:val="24"/>
            </w:rPr>
            <w:t>六、其他资料</w:t>
          </w:r>
          <w:r>
            <w:rPr>
              <w:rStyle w:val="55"/>
              <w:rFonts w:ascii="宋体" w:hAnsi="宋体"/>
              <w:sz w:val="24"/>
            </w:rPr>
            <w:t>(</w:t>
          </w:r>
          <w:r>
            <w:rPr>
              <w:rStyle w:val="55"/>
              <w:rFonts w:hint="eastAsia" w:ascii="宋体" w:hAnsi="宋体"/>
              <w:sz w:val="24"/>
            </w:rPr>
            <w:t>如有</w:t>
          </w:r>
          <w:r>
            <w:rPr>
              <w:rStyle w:val="55"/>
              <w:rFonts w:ascii="宋体" w:hAnsi="宋体"/>
              <w:sz w:val="24"/>
            </w:rPr>
            <w:t>)</w:t>
          </w:r>
          <w:r>
            <w:rPr>
              <w:sz w:val="24"/>
            </w:rPr>
            <w:tab/>
          </w:r>
          <w:r>
            <w:rPr>
              <w:sz w:val="24"/>
            </w:rPr>
            <w:fldChar w:fldCharType="begin"/>
          </w:r>
          <w:r>
            <w:rPr>
              <w:sz w:val="24"/>
            </w:rPr>
            <w:instrText xml:space="preserve"> PAGEREF _Toc20753232 \h </w:instrText>
          </w:r>
          <w:r>
            <w:rPr>
              <w:sz w:val="24"/>
            </w:rPr>
            <w:fldChar w:fldCharType="separate"/>
          </w:r>
          <w:r>
            <w:rPr>
              <w:sz w:val="24"/>
            </w:rPr>
            <w:t>43</w:t>
          </w:r>
          <w:r>
            <w:rPr>
              <w:sz w:val="24"/>
            </w:rPr>
            <w:fldChar w:fldCharType="end"/>
          </w:r>
          <w:r>
            <w:rPr>
              <w:sz w:val="24"/>
            </w:rPr>
            <w:fldChar w:fldCharType="end"/>
          </w:r>
        </w:p>
        <w:p>
          <w:pPr>
            <w:rPr>
              <w:rFonts w:ascii="黑体" w:hAnsi="宋体" w:eastAsia="黑体"/>
              <w:b/>
              <w:sz w:val="32"/>
              <w:szCs w:val="32"/>
            </w:rPr>
            <w:sectPr>
              <w:footerReference r:id="rId3" w:type="default"/>
              <w:pgSz w:w="11906" w:h="16838"/>
              <w:pgMar w:top="1440" w:right="1797" w:bottom="1440" w:left="1797" w:header="851" w:footer="851" w:gutter="0"/>
              <w:pgNumType w:start="1"/>
              <w:cols w:space="720" w:num="1"/>
              <w:docGrid w:linePitch="312" w:charSpace="0"/>
            </w:sectPr>
          </w:pPr>
          <w:r>
            <w:rPr>
              <w:rFonts w:ascii="黑体" w:hAnsi="宋体" w:eastAsia="黑体"/>
              <w:sz w:val="32"/>
              <w:szCs w:val="32"/>
            </w:rPr>
            <w:fldChar w:fldCharType="end"/>
          </w:r>
        </w:p>
      </w:sdtContent>
    </w:sdt>
    <w:p>
      <w:pPr>
        <w:pStyle w:val="3"/>
        <w:keepNext w:val="0"/>
        <w:rPr>
          <w:rFonts w:ascii="宋体" w:hAnsi="宋体"/>
          <w:sz w:val="32"/>
          <w:szCs w:val="32"/>
        </w:rPr>
      </w:pPr>
      <w:bookmarkStart w:id="0" w:name="_Toc20753078"/>
      <w:bookmarkStart w:id="1" w:name="_Toc20753181"/>
      <w:r>
        <w:rPr>
          <w:rFonts w:hint="eastAsia" w:ascii="宋体" w:hAnsi="宋体"/>
          <w:sz w:val="32"/>
          <w:szCs w:val="32"/>
        </w:rPr>
        <w:t>第一章  谈判邀请公告</w:t>
      </w:r>
      <w:bookmarkEnd w:id="0"/>
      <w:bookmarkEnd w:id="1"/>
    </w:p>
    <w:p>
      <w:pPr>
        <w:pStyle w:val="25"/>
        <w:adjustRightInd w:val="0"/>
        <w:snapToGrid w:val="0"/>
        <w:spacing w:line="360" w:lineRule="auto"/>
        <w:rPr>
          <w:rFonts w:hAnsi="宋体"/>
          <w:iCs/>
          <w:u w:val="single"/>
        </w:rPr>
      </w:pPr>
    </w:p>
    <w:p>
      <w:pPr>
        <w:pStyle w:val="25"/>
        <w:adjustRightInd w:val="0"/>
        <w:snapToGrid w:val="0"/>
        <w:spacing w:line="360" w:lineRule="auto"/>
        <w:ind w:firstLine="420" w:firstLineChars="200"/>
        <w:rPr>
          <w:rFonts w:hAnsi="宋体"/>
          <w:iCs/>
          <w:u w:val="single"/>
        </w:rPr>
      </w:pPr>
      <w:r>
        <w:rPr>
          <w:rFonts w:hint="eastAsia" w:hAnsi="宋体"/>
          <w:iCs/>
          <w:u w:val="single"/>
        </w:rPr>
        <w:t>五矿国际招标有限责任公司</w:t>
      </w:r>
      <w:r>
        <w:rPr>
          <w:rFonts w:hint="eastAsia" w:hAnsi="宋体" w:cs="宋体"/>
        </w:rPr>
        <w:t>受</w:t>
      </w:r>
      <w:r>
        <w:rPr>
          <w:rFonts w:hint="eastAsia" w:hAnsi="宋体"/>
          <w:iCs/>
          <w:u w:val="single"/>
        </w:rPr>
        <w:t>长沙市轨道交通运营有限公司、长沙市轨道交通一号线建设发展有限公司、长沙市轨道交通三号线建设发展有限公司、长沙市轨道交通四号线建设发展有限公司</w:t>
      </w:r>
      <w:r>
        <w:rPr>
          <w:rFonts w:hint="eastAsia" w:hAnsi="宋体" w:cs="宋体"/>
        </w:rPr>
        <w:t>的委托</w:t>
      </w:r>
      <w:r>
        <w:rPr>
          <w:rFonts w:hint="eastAsia" w:hAnsi="宋体"/>
          <w:iCs/>
        </w:rPr>
        <w:t>对</w:t>
      </w:r>
      <w:r>
        <w:rPr>
          <w:rFonts w:hint="eastAsia" w:hAnsi="宋体"/>
          <w:bCs/>
          <w:u w:val="single"/>
        </w:rPr>
        <w:t>长沙市轨道交通1、2、3、4号线一期工程运营期公务用车维修定点服务项目（2020年度）</w:t>
      </w:r>
      <w:r>
        <w:rPr>
          <w:rFonts w:hint="eastAsia" w:hAnsi="宋体"/>
          <w:iCs/>
        </w:rPr>
        <w:t>进行自主竞争性谈判采购，现发布公告，邀请符合条件的单位参与谈判采购活动。</w:t>
      </w:r>
    </w:p>
    <w:p>
      <w:pPr>
        <w:pStyle w:val="25"/>
        <w:adjustRightInd w:val="0"/>
        <w:snapToGrid w:val="0"/>
        <w:spacing w:line="360" w:lineRule="auto"/>
        <w:ind w:firstLine="422" w:firstLineChars="200"/>
        <w:rPr>
          <w:rFonts w:hAnsi="宋体"/>
          <w:b/>
          <w:iCs/>
        </w:rPr>
      </w:pPr>
      <w:r>
        <w:rPr>
          <w:rFonts w:hint="eastAsia" w:hAnsi="宋体"/>
          <w:b/>
          <w:iCs/>
        </w:rPr>
        <w:t>一、项目概况</w:t>
      </w:r>
    </w:p>
    <w:p>
      <w:pPr>
        <w:pStyle w:val="25"/>
        <w:adjustRightInd w:val="0"/>
        <w:snapToGrid w:val="0"/>
        <w:spacing w:line="360" w:lineRule="auto"/>
        <w:ind w:firstLine="420" w:firstLineChars="200"/>
        <w:rPr>
          <w:rFonts w:hAnsi="宋体" w:cs="宋体"/>
          <w:b/>
          <w:iCs/>
        </w:rPr>
      </w:pPr>
      <w:r>
        <w:rPr>
          <w:rFonts w:hint="eastAsia" w:hAnsi="宋体" w:cs="宋体"/>
          <w:iCs/>
        </w:rPr>
        <w:t>1.项目名称：长沙市轨道交通1、2、3、4号线一期工程运营期公务用车维修定点服务项目（2020年度）</w:t>
      </w:r>
    </w:p>
    <w:p>
      <w:pPr>
        <w:pStyle w:val="25"/>
        <w:adjustRightInd w:val="0"/>
        <w:snapToGrid w:val="0"/>
        <w:spacing w:line="360" w:lineRule="auto"/>
        <w:ind w:firstLine="420" w:firstLineChars="200"/>
        <w:jc w:val="left"/>
        <w:rPr>
          <w:rFonts w:hAnsi="宋体" w:cs="宋体"/>
          <w:iCs/>
        </w:rPr>
      </w:pPr>
      <w:r>
        <w:rPr>
          <w:rFonts w:hint="eastAsia" w:hAnsi="宋体" w:cs="宋体"/>
          <w:iCs/>
        </w:rPr>
        <w:t>2.项目预算：</w:t>
      </w:r>
      <w:r>
        <w:rPr>
          <w:rFonts w:hint="eastAsia" w:hAnsi="宋体"/>
          <w:iCs/>
        </w:rPr>
        <w:t>468000.00元</w:t>
      </w:r>
    </w:p>
    <w:p>
      <w:pPr>
        <w:snapToGrid w:val="0"/>
        <w:spacing w:line="360" w:lineRule="auto"/>
        <w:ind w:firstLine="420" w:firstLineChars="200"/>
        <w:rPr>
          <w:rFonts w:ascii="宋体" w:hAnsi="宋体" w:cs="Courier New"/>
          <w:bCs/>
          <w:szCs w:val="21"/>
          <w:u w:val="single"/>
        </w:rPr>
      </w:pPr>
      <w:r>
        <w:rPr>
          <w:rFonts w:hint="eastAsia" w:ascii="宋体" w:hAnsi="宋体" w:cs="宋体"/>
          <w:iCs/>
          <w:szCs w:val="21"/>
        </w:rPr>
        <w:t>3.谈判内容：</w:t>
      </w:r>
      <w:r>
        <w:rPr>
          <w:rFonts w:hint="eastAsia" w:ascii="宋体" w:hAnsi="宋体"/>
          <w:iCs/>
        </w:rPr>
        <w:t>本项目主要为</w:t>
      </w:r>
      <w:r>
        <w:rPr>
          <w:rFonts w:hint="eastAsia" w:hAnsi="宋体"/>
          <w:bCs/>
        </w:rPr>
        <w:t>长沙市轨道交通1、2、3、4号线公务车的车辆维修</w:t>
      </w:r>
      <w:r>
        <w:rPr>
          <w:rFonts w:hint="eastAsia" w:ascii="宋体" w:hAnsi="宋体"/>
          <w:iCs/>
        </w:rPr>
        <w:t>（具体详见用户需求书）</w:t>
      </w:r>
      <w:r>
        <w:rPr>
          <w:rFonts w:hint="eastAsia" w:hAnsi="宋体"/>
          <w:bCs/>
        </w:rPr>
        <w:t>。</w:t>
      </w:r>
    </w:p>
    <w:p>
      <w:pPr>
        <w:snapToGrid w:val="0"/>
        <w:spacing w:line="360" w:lineRule="auto"/>
        <w:ind w:firstLine="420" w:firstLineChars="200"/>
        <w:rPr>
          <w:rFonts w:hAnsi="宋体"/>
        </w:rPr>
      </w:pPr>
      <w:r>
        <w:rPr>
          <w:rFonts w:hint="eastAsia" w:ascii="宋体" w:hAnsi="宋体" w:cs="Courier New"/>
          <w:bCs/>
          <w:szCs w:val="21"/>
        </w:rPr>
        <w:t>4.标段划分：共划分1</w:t>
      </w:r>
      <w:r>
        <w:rPr>
          <w:rFonts w:hint="eastAsia" w:hAnsi="宋体"/>
        </w:rPr>
        <w:t>个标段。</w:t>
      </w:r>
    </w:p>
    <w:p>
      <w:pPr>
        <w:adjustRightInd w:val="0"/>
        <w:snapToGrid w:val="0"/>
        <w:spacing w:before="50" w:line="360" w:lineRule="auto"/>
        <w:ind w:firstLine="420" w:firstLineChars="200"/>
        <w:rPr>
          <w:rFonts w:hAnsi="宋体"/>
          <w:bCs/>
        </w:rPr>
      </w:pPr>
      <w:r>
        <w:rPr>
          <w:rFonts w:hint="eastAsia" w:hAnsi="宋体"/>
          <w:bCs/>
        </w:rPr>
        <w:t>5.质保期：</w:t>
      </w:r>
    </w:p>
    <w:p>
      <w:pPr>
        <w:adjustRightInd w:val="0"/>
        <w:snapToGrid w:val="0"/>
        <w:spacing w:before="50" w:line="360" w:lineRule="auto"/>
        <w:ind w:firstLine="420" w:firstLineChars="200"/>
        <w:rPr>
          <w:rFonts w:ascii="宋体" w:hAnsi="宋体"/>
          <w:szCs w:val="21"/>
        </w:rPr>
      </w:pPr>
      <w:r>
        <w:rPr>
          <w:rFonts w:hint="eastAsia" w:ascii="宋体" w:hAnsi="宋体"/>
          <w:szCs w:val="21"/>
        </w:rPr>
        <w:t>（一）投标</w:t>
      </w:r>
      <w:r>
        <w:rPr>
          <w:rFonts w:hint="eastAsia" w:ascii="宋体" w:hAnsi="宋体"/>
          <w:color w:val="000000"/>
          <w:szCs w:val="21"/>
        </w:rPr>
        <w:t>人</w:t>
      </w:r>
      <w:r>
        <w:rPr>
          <w:rFonts w:hint="eastAsia" w:ascii="宋体" w:hAnsi="宋体"/>
          <w:szCs w:val="21"/>
        </w:rPr>
        <w:t>购买和更换的所有配件材料必须是符合国家标准的合格产品，严禁使用假冒伪劣产品。</w:t>
      </w:r>
    </w:p>
    <w:p>
      <w:pPr>
        <w:pStyle w:val="25"/>
        <w:adjustRightInd w:val="0"/>
        <w:snapToGrid w:val="0"/>
        <w:spacing w:line="360" w:lineRule="auto"/>
        <w:ind w:firstLine="420" w:firstLineChars="200"/>
        <w:rPr>
          <w:rFonts w:hAnsi="宋体"/>
          <w:bCs/>
        </w:rPr>
      </w:pPr>
      <w:r>
        <w:rPr>
          <w:rFonts w:hint="eastAsia" w:hAnsi="宋体"/>
        </w:rPr>
        <w:t>（二）严格遵守国家交通部第7号令《机动车维修管理规定》、《湖南省机动车维修工时定额及收费标准》等国家法律法规的规定保证维修质量。</w:t>
      </w:r>
    </w:p>
    <w:p>
      <w:pPr>
        <w:pStyle w:val="25"/>
        <w:adjustRightInd w:val="0"/>
        <w:snapToGrid w:val="0"/>
        <w:spacing w:line="360" w:lineRule="auto"/>
        <w:ind w:firstLine="420" w:firstLineChars="200"/>
        <w:rPr>
          <w:rFonts w:hAnsi="宋体" w:cs="宋体"/>
          <w:iCs/>
        </w:rPr>
      </w:pPr>
      <w:r>
        <w:rPr>
          <w:rFonts w:hint="eastAsia" w:hAnsi="宋体" w:cs="宋体"/>
          <w:iCs/>
        </w:rPr>
        <w:t>6.服务</w:t>
      </w:r>
      <w:r>
        <w:rPr>
          <w:rFonts w:hint="eastAsia" w:hAnsi="宋体" w:cs="宋体"/>
          <w:iCs/>
          <w:color w:val="000000" w:themeColor="text1"/>
        </w:rPr>
        <w:t>期限</w:t>
      </w:r>
      <w:r>
        <w:rPr>
          <w:rFonts w:hint="eastAsia" w:hAnsi="宋体" w:cs="宋体"/>
          <w:iCs/>
        </w:rPr>
        <w:t>：实际服务时间以供应商接到招标人发出的</w:t>
      </w:r>
      <w:r>
        <w:rPr>
          <w:rFonts w:hint="eastAsia" w:hAnsi="宋体"/>
          <w:iCs/>
        </w:rPr>
        <w:t>开工令起算</w:t>
      </w:r>
      <w:r>
        <w:rPr>
          <w:rFonts w:hint="eastAsia" w:hAnsi="宋体" w:cs="宋体"/>
          <w:iCs/>
        </w:rPr>
        <w:t>，总计12个月（具体详见用户需求书）。</w:t>
      </w:r>
    </w:p>
    <w:p>
      <w:pPr>
        <w:pStyle w:val="25"/>
        <w:adjustRightInd w:val="0"/>
        <w:snapToGrid w:val="0"/>
        <w:spacing w:line="360" w:lineRule="auto"/>
        <w:ind w:firstLine="420" w:firstLineChars="200"/>
        <w:rPr>
          <w:rFonts w:hAnsi="宋体"/>
          <w:bCs/>
          <w:u w:val="single"/>
        </w:rPr>
      </w:pPr>
      <w:r>
        <w:rPr>
          <w:rFonts w:hint="eastAsia" w:hAnsi="宋体" w:cs="宋体"/>
          <w:iCs/>
        </w:rPr>
        <w:t>7.</w:t>
      </w:r>
      <w:r>
        <w:rPr>
          <w:rFonts w:hint="eastAsia" w:hAnsi="宋体"/>
          <w:bCs/>
        </w:rPr>
        <w:t>采购范围：本项目主要为长沙市轨道交通1、2、3、4号线公务车的车辆维修（包括但不限于）：车辆日常维护、一级维护、二级维护、车辆大修、总成修理、车辆小修和车辆专项修理、二十四小时拖车、代办车辆年审和其他有关的车辆维修服务项目，以及合同期内新增车辆的维修及相关业务</w:t>
      </w:r>
      <w:r>
        <w:rPr>
          <w:rFonts w:hint="eastAsia" w:hAnsi="宋体"/>
          <w:iCs/>
        </w:rPr>
        <w:t>（具体详见用户需求书）</w:t>
      </w:r>
      <w:r>
        <w:rPr>
          <w:rFonts w:hint="eastAsia" w:hAnsi="宋体"/>
          <w:bCs/>
        </w:rPr>
        <w:t>。</w:t>
      </w:r>
    </w:p>
    <w:p>
      <w:pPr>
        <w:pStyle w:val="25"/>
        <w:adjustRightInd w:val="0"/>
        <w:snapToGrid w:val="0"/>
        <w:spacing w:line="360" w:lineRule="auto"/>
        <w:ind w:firstLine="422" w:firstLineChars="200"/>
        <w:rPr>
          <w:rFonts w:hAnsi="宋体"/>
          <w:b/>
          <w:iCs/>
        </w:rPr>
      </w:pPr>
      <w:r>
        <w:rPr>
          <w:rFonts w:hint="eastAsia" w:hAnsi="宋体"/>
          <w:b/>
          <w:iCs/>
        </w:rPr>
        <w:t>二、资格要求</w:t>
      </w:r>
    </w:p>
    <w:p>
      <w:pPr>
        <w:widowControl/>
        <w:spacing w:line="360" w:lineRule="auto"/>
        <w:ind w:firstLine="420" w:firstLineChars="200"/>
        <w:rPr>
          <w:rFonts w:ascii="宋体" w:hAnsi="宋体"/>
          <w:szCs w:val="21"/>
        </w:rPr>
      </w:pPr>
      <w:r>
        <w:rPr>
          <w:rFonts w:hint="eastAsia" w:ascii="宋体" w:hAnsi="宋体"/>
          <w:szCs w:val="21"/>
        </w:rPr>
        <w:t>1.</w:t>
      </w:r>
      <w:r>
        <w:rPr>
          <w:rFonts w:hint="eastAsia" w:hAnsi="宋体"/>
          <w:iCs/>
        </w:rPr>
        <w:t>谈判单位须为具有独立法人资格、自主经营、独立核算的公司。</w:t>
      </w:r>
    </w:p>
    <w:p>
      <w:pPr>
        <w:widowControl/>
        <w:spacing w:line="360" w:lineRule="auto"/>
        <w:ind w:firstLine="420" w:firstLineChars="200"/>
        <w:rPr>
          <w:rFonts w:ascii="宋体" w:hAnsi="宋体"/>
          <w:szCs w:val="21"/>
        </w:rPr>
      </w:pPr>
      <w:r>
        <w:rPr>
          <w:rFonts w:hint="eastAsia" w:ascii="宋体" w:hAnsi="宋体"/>
          <w:szCs w:val="21"/>
        </w:rPr>
        <w:t>2.</w:t>
      </w:r>
      <w:r>
        <w:rPr>
          <w:rFonts w:hint="eastAsia" w:hAnsi="宋体"/>
          <w:iCs/>
        </w:rPr>
        <w:t>谈判单位的</w:t>
      </w:r>
      <w:r>
        <w:t>维修场地在长沙市雨花区和天心区范围内，并入围2019-2022年长沙市行政事业单位公务车维修保养服务定点单位。</w:t>
      </w:r>
    </w:p>
    <w:p>
      <w:pPr>
        <w:spacing w:line="360" w:lineRule="auto"/>
        <w:ind w:firstLine="420" w:firstLineChars="200"/>
        <w:rPr>
          <w:rFonts w:ascii="宋体" w:hAnsi="宋体"/>
          <w:szCs w:val="21"/>
        </w:rPr>
      </w:pPr>
      <w:r>
        <w:rPr>
          <w:rFonts w:hint="eastAsia" w:ascii="宋体" w:hAnsi="宋体"/>
          <w:szCs w:val="21"/>
        </w:rPr>
        <w:t>3.本次谈判不接受联合体形式参与谈判。</w:t>
      </w:r>
    </w:p>
    <w:p>
      <w:pPr>
        <w:spacing w:line="360" w:lineRule="auto"/>
        <w:ind w:firstLine="420" w:firstLineChars="200"/>
        <w:rPr>
          <w:rFonts w:ascii="宋体" w:hAnsi="宋体" w:cs="Courier New"/>
          <w:iCs/>
          <w:szCs w:val="21"/>
        </w:rPr>
      </w:pPr>
      <w:r>
        <w:rPr>
          <w:rFonts w:hint="eastAsia" w:ascii="宋体" w:hAnsi="宋体"/>
          <w:szCs w:val="21"/>
        </w:rPr>
        <w:t>4.</w:t>
      </w:r>
      <w:r>
        <w:rPr>
          <w:rFonts w:hint="eastAsia" w:ascii="宋体" w:hAnsi="宋体" w:cs="Courier New"/>
          <w:iCs/>
          <w:szCs w:val="21"/>
        </w:rPr>
        <w:t>被长沙市轨道交通集团函告禁止在一定期限内参与轨道公司项目投标或谈判的单位按函告内容执行。</w:t>
      </w:r>
    </w:p>
    <w:p>
      <w:pPr>
        <w:spacing w:line="360" w:lineRule="auto"/>
        <w:ind w:firstLine="422" w:firstLineChars="200"/>
        <w:rPr>
          <w:rFonts w:hAnsi="宋体"/>
          <w:b/>
          <w:bCs/>
          <w:iCs/>
        </w:rPr>
      </w:pPr>
      <w:r>
        <w:rPr>
          <w:rFonts w:hint="eastAsia" w:ascii="宋体" w:hAnsi="宋体"/>
          <w:b/>
          <w:bCs/>
          <w:szCs w:val="21"/>
        </w:rPr>
        <w:t>三、</w:t>
      </w:r>
      <w:r>
        <w:rPr>
          <w:rFonts w:hint="eastAsia" w:hAnsi="宋体"/>
          <w:b/>
          <w:bCs/>
          <w:iCs/>
        </w:rPr>
        <w:t>评审办法</w:t>
      </w:r>
    </w:p>
    <w:p>
      <w:pPr>
        <w:spacing w:line="360" w:lineRule="auto"/>
        <w:ind w:firstLine="420" w:firstLineChars="200"/>
        <w:jc w:val="left"/>
        <w:rPr>
          <w:rFonts w:ascii="宋体" w:hAnsi="宋体" w:cs="Courier New"/>
          <w:iCs/>
          <w:szCs w:val="21"/>
        </w:rPr>
      </w:pPr>
      <w:r>
        <w:rPr>
          <w:rFonts w:hint="eastAsia" w:ascii="宋体" w:hAnsi="宋体" w:cs="Courier New"/>
          <w:iCs/>
          <w:szCs w:val="21"/>
        </w:rPr>
        <w:t>本项目评审办法采用经符合性审查合格后的最低价法。</w:t>
      </w:r>
    </w:p>
    <w:p>
      <w:pPr>
        <w:spacing w:line="360" w:lineRule="auto"/>
        <w:ind w:firstLine="422" w:firstLineChars="200"/>
        <w:rPr>
          <w:rFonts w:ascii="宋体" w:hAnsi="宋体"/>
          <w:b/>
          <w:bCs/>
          <w:szCs w:val="21"/>
        </w:rPr>
      </w:pPr>
      <w:r>
        <w:rPr>
          <w:rFonts w:hint="eastAsia" w:ascii="宋体" w:hAnsi="宋体"/>
          <w:b/>
          <w:bCs/>
          <w:szCs w:val="21"/>
        </w:rPr>
        <w:t>四、中标原则</w:t>
      </w:r>
    </w:p>
    <w:p>
      <w:pPr>
        <w:spacing w:line="360" w:lineRule="auto"/>
        <w:ind w:firstLine="420" w:firstLineChars="200"/>
        <w:rPr>
          <w:rFonts w:ascii="宋体" w:hAnsi="宋体"/>
          <w:szCs w:val="21"/>
        </w:rPr>
      </w:pPr>
      <w:r>
        <w:rPr>
          <w:rFonts w:hint="eastAsia" w:ascii="宋体" w:hAnsi="宋体"/>
          <w:szCs w:val="21"/>
        </w:rPr>
        <w:t>1.车辆维修工时单价报价按不得超过</w:t>
      </w:r>
      <w:r>
        <w:rPr>
          <w:rFonts w:hint="eastAsia" w:ascii="宋体" w:hAnsi="宋体"/>
          <w:color w:val="000000" w:themeColor="text1"/>
          <w:szCs w:val="21"/>
        </w:rPr>
        <w:t>15元/小时</w:t>
      </w:r>
      <w:r>
        <w:rPr>
          <w:rFonts w:hint="eastAsia" w:ascii="宋体" w:hAnsi="宋体"/>
          <w:szCs w:val="21"/>
        </w:rPr>
        <w:t>为入围资格，维修材料管理费最低者为中选单位。若出现维修材料管理费报价相同的情形，按车辆维修工时单价报价最低者为中选单位，若存在维修工时单价跟维修材料管理费一致的情况，采取随机抽取的方式确定中选单位。</w:t>
      </w:r>
    </w:p>
    <w:p>
      <w:pPr>
        <w:spacing w:line="360" w:lineRule="auto"/>
        <w:ind w:firstLine="420" w:firstLineChars="200"/>
        <w:rPr>
          <w:rFonts w:ascii="宋体" w:hAnsi="宋体"/>
          <w:szCs w:val="21"/>
        </w:rPr>
      </w:pPr>
      <w:r>
        <w:rPr>
          <w:rFonts w:hint="eastAsia" w:ascii="宋体" w:hAnsi="宋体"/>
          <w:szCs w:val="21"/>
        </w:rPr>
        <w:t>2.中选人放弃中选、因不可抗力不能履行合同，或者被查实存在影响中选结果的违法行为等情形，不符合中选条件的，招标人将重新采购。</w:t>
      </w:r>
    </w:p>
    <w:p>
      <w:pPr>
        <w:widowControl/>
        <w:spacing w:line="360" w:lineRule="auto"/>
        <w:ind w:firstLine="422" w:firstLineChars="200"/>
        <w:rPr>
          <w:rFonts w:ascii="宋体" w:hAnsi="宋体"/>
          <w:b/>
          <w:bCs/>
          <w:szCs w:val="21"/>
        </w:rPr>
      </w:pPr>
      <w:r>
        <w:rPr>
          <w:rFonts w:hint="eastAsia" w:ascii="宋体" w:hAnsi="宋体"/>
          <w:b/>
          <w:bCs/>
          <w:color w:val="000000"/>
          <w:szCs w:val="21"/>
        </w:rPr>
        <w:t>五、自主竞争性谈判文件的获取</w:t>
      </w:r>
    </w:p>
    <w:p>
      <w:pPr>
        <w:spacing w:line="360" w:lineRule="auto"/>
        <w:ind w:firstLine="420" w:firstLineChars="200"/>
        <w:rPr>
          <w:rFonts w:ascii="宋体" w:hAnsi="宋体"/>
          <w:szCs w:val="21"/>
        </w:rPr>
      </w:pPr>
      <w:r>
        <w:rPr>
          <w:rFonts w:hint="eastAsia" w:ascii="宋体" w:hAnsi="宋体"/>
          <w:szCs w:val="21"/>
        </w:rPr>
        <w:t>凡有意参加谈判的单位，请于</w:t>
      </w:r>
      <w:r>
        <w:rPr>
          <w:rFonts w:hint="eastAsia" w:ascii="宋体" w:hAnsi="宋体"/>
          <w:szCs w:val="21"/>
          <w:u w:val="single"/>
        </w:rPr>
        <w:t>2019</w:t>
      </w:r>
      <w:r>
        <w:rPr>
          <w:rFonts w:hint="eastAsia" w:ascii="宋体" w:hAnsi="宋体"/>
          <w:szCs w:val="21"/>
        </w:rPr>
        <w:t>年</w:t>
      </w:r>
      <w:r>
        <w:rPr>
          <w:rFonts w:hint="eastAsia" w:ascii="宋体" w:hAnsi="宋体"/>
          <w:szCs w:val="21"/>
          <w:u w:val="single"/>
        </w:rPr>
        <w:t>10</w:t>
      </w:r>
      <w:r>
        <w:rPr>
          <w:rFonts w:hint="eastAsia" w:ascii="宋体" w:hAnsi="宋体"/>
          <w:szCs w:val="21"/>
        </w:rPr>
        <w:t>月</w:t>
      </w:r>
      <w:r>
        <w:rPr>
          <w:rFonts w:hint="eastAsia" w:ascii="宋体" w:hAnsi="宋体"/>
          <w:szCs w:val="21"/>
          <w:u w:val="single"/>
        </w:rPr>
        <w:t>9</w:t>
      </w:r>
      <w:r>
        <w:rPr>
          <w:rFonts w:hint="eastAsia" w:ascii="宋体" w:hAnsi="宋体"/>
          <w:szCs w:val="21"/>
        </w:rPr>
        <w:t>日至</w:t>
      </w:r>
      <w:r>
        <w:rPr>
          <w:rFonts w:hint="eastAsia" w:ascii="宋体" w:hAnsi="宋体"/>
          <w:szCs w:val="21"/>
          <w:u w:val="single"/>
        </w:rPr>
        <w:t>2019</w:t>
      </w:r>
      <w:r>
        <w:rPr>
          <w:rFonts w:hint="eastAsia" w:ascii="宋体" w:hAnsi="宋体"/>
          <w:szCs w:val="21"/>
        </w:rPr>
        <w:t>年</w:t>
      </w:r>
      <w:r>
        <w:rPr>
          <w:rFonts w:hint="eastAsia" w:ascii="宋体" w:hAnsi="宋体"/>
          <w:szCs w:val="21"/>
          <w:u w:val="single"/>
        </w:rPr>
        <w:t>10</w:t>
      </w:r>
      <w:r>
        <w:rPr>
          <w:rFonts w:hint="eastAsia" w:ascii="宋体" w:hAnsi="宋体"/>
          <w:szCs w:val="21"/>
        </w:rPr>
        <w:t>月</w:t>
      </w:r>
      <w:r>
        <w:rPr>
          <w:rFonts w:hint="eastAsia" w:ascii="宋体" w:hAnsi="宋体"/>
          <w:szCs w:val="21"/>
          <w:u w:val="single"/>
        </w:rPr>
        <w:t>15</w:t>
      </w:r>
      <w:r>
        <w:rPr>
          <w:rFonts w:hint="eastAsia" w:ascii="宋体" w:hAnsi="宋体"/>
          <w:szCs w:val="21"/>
        </w:rPr>
        <w:t>日登录长沙市轨道交通集团有限公司官方网站（www.hncsmtr.com/）获取自主竞争性谈判文件。</w:t>
      </w:r>
    </w:p>
    <w:p>
      <w:pPr>
        <w:spacing w:line="360" w:lineRule="auto"/>
        <w:ind w:firstLine="422" w:firstLineChars="200"/>
        <w:rPr>
          <w:rFonts w:ascii="宋体" w:hAnsi="宋体"/>
          <w:b/>
          <w:bCs/>
          <w:szCs w:val="21"/>
        </w:rPr>
      </w:pPr>
      <w:r>
        <w:rPr>
          <w:rFonts w:hint="eastAsia" w:ascii="宋体" w:hAnsi="宋体"/>
          <w:b/>
          <w:bCs/>
          <w:szCs w:val="21"/>
        </w:rPr>
        <w:t>六、</w:t>
      </w:r>
      <w:r>
        <w:rPr>
          <w:rFonts w:hint="eastAsia" w:hAnsi="宋体"/>
          <w:b/>
          <w:bCs/>
          <w:iCs/>
        </w:rPr>
        <w:t>谈判文件的</w:t>
      </w:r>
      <w:r>
        <w:rPr>
          <w:rFonts w:hint="eastAsia" w:ascii="宋体" w:hAnsi="宋体"/>
          <w:b/>
          <w:bCs/>
          <w:szCs w:val="21"/>
        </w:rPr>
        <w:t>澄清与答疑</w:t>
      </w:r>
    </w:p>
    <w:p>
      <w:pPr>
        <w:spacing w:line="360" w:lineRule="auto"/>
        <w:ind w:firstLine="420" w:firstLineChars="200"/>
        <w:rPr>
          <w:rFonts w:ascii="宋体" w:hAnsi="宋体" w:cs="Courier New"/>
          <w:iCs/>
          <w:szCs w:val="21"/>
        </w:rPr>
      </w:pPr>
      <w:r>
        <w:rPr>
          <w:rFonts w:hint="eastAsia" w:ascii="宋体" w:hAnsi="宋体"/>
          <w:szCs w:val="21"/>
        </w:rPr>
        <w:t>1.</w:t>
      </w:r>
      <w:r>
        <w:rPr>
          <w:rFonts w:hint="eastAsia" w:ascii="宋体" w:hAnsi="宋体" w:cs="Courier New"/>
          <w:iCs/>
          <w:szCs w:val="21"/>
        </w:rPr>
        <w:t>本项目不组织答疑会和现场踏勘。</w:t>
      </w:r>
    </w:p>
    <w:p>
      <w:pPr>
        <w:spacing w:line="360" w:lineRule="auto"/>
        <w:ind w:firstLine="420" w:firstLineChars="200"/>
        <w:rPr>
          <w:rFonts w:ascii="宋体" w:hAnsi="宋体" w:cs="Courier New"/>
          <w:iCs/>
          <w:szCs w:val="21"/>
        </w:rPr>
      </w:pPr>
      <w:r>
        <w:rPr>
          <w:rFonts w:hint="eastAsia" w:ascii="宋体" w:hAnsi="宋体" w:cs="Courier New"/>
          <w:iCs/>
          <w:szCs w:val="21"/>
        </w:rPr>
        <w:t>2.谈判单位若对谈判文件有任何疑问，</w:t>
      </w:r>
      <w:r>
        <w:rPr>
          <w:rFonts w:hint="eastAsia" w:ascii="宋体" w:hAnsi="宋体"/>
          <w:szCs w:val="21"/>
        </w:rPr>
        <w:t>应于</w:t>
      </w:r>
      <w:r>
        <w:rPr>
          <w:rFonts w:hint="eastAsia" w:ascii="宋体" w:hAnsi="宋体"/>
          <w:szCs w:val="21"/>
          <w:u w:val="single"/>
        </w:rPr>
        <w:t>2019</w:t>
      </w:r>
      <w:r>
        <w:rPr>
          <w:rFonts w:hint="eastAsia" w:ascii="宋体" w:hAnsi="宋体"/>
          <w:szCs w:val="21"/>
        </w:rPr>
        <w:t>年</w:t>
      </w:r>
      <w:r>
        <w:rPr>
          <w:rFonts w:hint="eastAsia" w:ascii="宋体" w:hAnsi="宋体"/>
          <w:szCs w:val="21"/>
          <w:u w:val="single"/>
        </w:rPr>
        <w:t>10</w:t>
      </w:r>
      <w:r>
        <w:rPr>
          <w:rFonts w:hint="eastAsia" w:ascii="宋体" w:hAnsi="宋体"/>
          <w:szCs w:val="21"/>
        </w:rPr>
        <w:t>月</w:t>
      </w:r>
      <w:r>
        <w:rPr>
          <w:rFonts w:hint="eastAsia" w:ascii="宋体" w:hAnsi="宋体"/>
          <w:szCs w:val="21"/>
          <w:u w:val="single"/>
        </w:rPr>
        <w:t>16</w:t>
      </w:r>
      <w:r>
        <w:rPr>
          <w:rFonts w:hint="eastAsia" w:ascii="宋体" w:hAnsi="宋体"/>
          <w:szCs w:val="21"/>
        </w:rPr>
        <w:t>日</w:t>
      </w:r>
      <w:r>
        <w:rPr>
          <w:rFonts w:hint="eastAsia" w:ascii="宋体" w:hAnsi="宋体" w:cs="Courier New"/>
          <w:iCs/>
          <w:szCs w:val="21"/>
        </w:rPr>
        <w:t>17：00时（含）前（节假日除外）以书面形式（经法定代表人签字或盖章，并加盖单位公章）递交至采购代理机构。</w:t>
      </w:r>
    </w:p>
    <w:p>
      <w:pPr>
        <w:spacing w:line="360" w:lineRule="auto"/>
        <w:ind w:firstLine="420" w:firstLineChars="200"/>
        <w:rPr>
          <w:rFonts w:ascii="宋体" w:hAnsi="宋体" w:cs="Courier New"/>
          <w:iCs/>
          <w:szCs w:val="21"/>
        </w:rPr>
      </w:pPr>
      <w:r>
        <w:rPr>
          <w:rFonts w:hint="eastAsia" w:ascii="宋体" w:hAnsi="宋体" w:cs="Courier New"/>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Courier New"/>
          <w:iCs/>
          <w:szCs w:val="21"/>
        </w:rPr>
        <w:t>4.</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hAnsi="宋体" w:cs="宋体"/>
          <w:kern w:val="0"/>
        </w:rPr>
        <w:t>在长沙市轨道交通集团有限公司官网</w:t>
      </w:r>
      <w:r>
        <w:rPr>
          <w:rFonts w:hint="eastAsia" w:ascii="宋体" w:hAnsi="宋体" w:cs="宋体"/>
          <w:kern w:val="0"/>
        </w:rPr>
        <w:t>（http://www.hncsmtr.com/）</w:t>
      </w:r>
      <w:r>
        <w:rPr>
          <w:rFonts w:hint="eastAsia" w:hAnsi="宋体" w:cs="宋体"/>
          <w:kern w:val="0"/>
        </w:rPr>
        <w:t>发布澄清或答疑文件及顺延谈判时间，敬请获得谈判文件的所有谈判单位关注，恕不另行通知，如有遗漏采购单位或代理机构不负任何责任。</w:t>
      </w:r>
    </w:p>
    <w:p>
      <w:pPr>
        <w:spacing w:line="360" w:lineRule="auto"/>
        <w:ind w:firstLine="422" w:firstLineChars="200"/>
        <w:rPr>
          <w:rFonts w:hAnsi="宋体"/>
          <w:b/>
          <w:iCs/>
        </w:rPr>
      </w:pPr>
      <w:r>
        <w:rPr>
          <w:rFonts w:hint="eastAsia" w:hAnsi="宋体"/>
          <w:b/>
          <w:iCs/>
        </w:rPr>
        <w:t>七、响应文件的递交</w:t>
      </w:r>
    </w:p>
    <w:p>
      <w:pPr>
        <w:spacing w:line="360" w:lineRule="auto"/>
        <w:ind w:firstLine="420" w:firstLineChars="200"/>
        <w:rPr>
          <w:rFonts w:ascii="宋体" w:hAnsi="宋体"/>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u w:val="single"/>
        </w:rPr>
        <w:t>2019</w:t>
      </w:r>
      <w:r>
        <w:rPr>
          <w:rFonts w:ascii="宋体" w:hAnsi="宋体"/>
          <w:bCs/>
          <w:szCs w:val="21"/>
        </w:rPr>
        <w:t>年</w:t>
      </w:r>
      <w:r>
        <w:rPr>
          <w:rFonts w:hint="eastAsia" w:ascii="宋体" w:hAnsi="宋体"/>
          <w:bCs/>
          <w:szCs w:val="21"/>
          <w:u w:val="single"/>
        </w:rPr>
        <w:t>10</w:t>
      </w:r>
      <w:r>
        <w:rPr>
          <w:rFonts w:hint="eastAsia" w:ascii="宋体" w:hAnsi="宋体"/>
          <w:szCs w:val="21"/>
        </w:rPr>
        <w:t>月</w:t>
      </w:r>
      <w:r>
        <w:rPr>
          <w:rFonts w:hint="eastAsia" w:ascii="宋体" w:hAnsi="宋体"/>
          <w:szCs w:val="21"/>
          <w:u w:val="single"/>
        </w:rPr>
        <w:t>22</w:t>
      </w:r>
      <w:r>
        <w:rPr>
          <w:rFonts w:hint="eastAsia" w:ascii="宋体" w:hAnsi="宋体"/>
          <w:szCs w:val="21"/>
        </w:rPr>
        <w:t>日</w:t>
      </w:r>
      <w:r>
        <w:rPr>
          <w:rFonts w:hint="eastAsia" w:ascii="宋体" w:hAnsi="宋体"/>
          <w:szCs w:val="21"/>
          <w:u w:val="single"/>
          <w:lang w:val="en-US" w:eastAsia="zh-CN"/>
        </w:rPr>
        <w:t>14</w:t>
      </w:r>
      <w:r>
        <w:rPr>
          <w:rFonts w:ascii="宋体" w:hAnsi="宋体"/>
          <w:bCs/>
          <w:szCs w:val="21"/>
        </w:rPr>
        <w:t>时</w:t>
      </w:r>
      <w:r>
        <w:rPr>
          <w:rFonts w:hint="eastAsia" w:ascii="宋体" w:hAnsi="宋体"/>
          <w:bCs/>
          <w:szCs w:val="21"/>
          <w:u w:val="single"/>
          <w:lang w:val="en-US" w:eastAsia="zh-CN"/>
        </w:rPr>
        <w:t>30</w:t>
      </w:r>
      <w:r>
        <w:rPr>
          <w:rFonts w:ascii="宋体" w:hAnsi="宋体"/>
          <w:bCs/>
          <w:szCs w:val="21"/>
        </w:rPr>
        <w:t>分，地点为</w:t>
      </w:r>
      <w:r>
        <w:rPr>
          <w:rFonts w:hint="eastAsia" w:ascii="宋体" w:hAnsi="宋体" w:cs="宋体"/>
          <w:szCs w:val="21"/>
        </w:rPr>
        <w:t>长沙市劳动东路二段48号长沙市轨道交通运营有限公司综合楼910室</w:t>
      </w:r>
      <w:r>
        <w:rPr>
          <w:rFonts w:hint="eastAsia" w:ascii="宋体" w:hAnsi="宋体" w:cs="Courier New"/>
          <w:iCs/>
          <w:szCs w:val="21"/>
        </w:rPr>
        <w:t>。</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逾期送达的</w:t>
      </w:r>
      <w:r>
        <w:rPr>
          <w:rFonts w:hint="eastAsia" w:ascii="宋体" w:hAnsi="宋体"/>
          <w:szCs w:val="21"/>
        </w:rPr>
        <w:t>或者</w:t>
      </w:r>
      <w:r>
        <w:rPr>
          <w:rFonts w:ascii="宋体" w:hAnsi="宋体"/>
          <w:szCs w:val="21"/>
        </w:rPr>
        <w:t>未送达指定地点的或者</w:t>
      </w:r>
      <w:r>
        <w:rPr>
          <w:rFonts w:hint="eastAsia" w:ascii="宋体" w:hAnsi="宋体"/>
          <w:szCs w:val="21"/>
        </w:rPr>
        <w:t>未</w:t>
      </w:r>
      <w:r>
        <w:rPr>
          <w:rFonts w:ascii="宋体" w:hAnsi="宋体"/>
          <w:szCs w:val="21"/>
        </w:rPr>
        <w:t>密封的</w:t>
      </w:r>
      <w:r>
        <w:rPr>
          <w:rFonts w:hint="eastAsia" w:ascii="宋体" w:hAnsi="宋体"/>
          <w:szCs w:val="21"/>
        </w:rPr>
        <w:t>响应</w:t>
      </w:r>
      <w:r>
        <w:rPr>
          <w:rFonts w:ascii="宋体" w:hAnsi="宋体"/>
          <w:szCs w:val="21"/>
        </w:rPr>
        <w:t>文件，</w:t>
      </w:r>
      <w:r>
        <w:rPr>
          <w:rFonts w:hint="eastAsia" w:ascii="宋体" w:hAnsi="宋体"/>
          <w:szCs w:val="21"/>
        </w:rPr>
        <w:t>采购单位或采购代理机构</w:t>
      </w:r>
      <w:r>
        <w:rPr>
          <w:rFonts w:ascii="宋体" w:hAnsi="宋体"/>
          <w:szCs w:val="21"/>
        </w:rPr>
        <w:t>将予以拒收。</w:t>
      </w:r>
    </w:p>
    <w:p>
      <w:pPr>
        <w:spacing w:line="360" w:lineRule="auto"/>
        <w:ind w:firstLine="422" w:firstLineChars="200"/>
        <w:rPr>
          <w:rFonts w:ascii="黑体" w:hAnsi="黑体" w:eastAsia="黑体" w:cs="黑体"/>
          <w:b/>
          <w:sz w:val="24"/>
        </w:rPr>
      </w:pPr>
      <w:r>
        <w:rPr>
          <w:rFonts w:hint="eastAsia" w:ascii="宋体" w:hAnsi="宋体" w:cs="Courier New"/>
          <w:b/>
          <w:iCs/>
          <w:szCs w:val="21"/>
        </w:rPr>
        <w:t>八、采购单位及其委托的采购代理机构的名称、地址和联系方法</w:t>
      </w:r>
    </w:p>
    <w:p>
      <w:pPr>
        <w:adjustRightInd w:val="0"/>
        <w:snapToGrid w:val="0"/>
        <w:spacing w:line="300" w:lineRule="auto"/>
        <w:ind w:firstLine="413" w:firstLineChars="196"/>
        <w:rPr>
          <w:rFonts w:hAnsi="宋体" w:cs="Courier New"/>
          <w:iCs/>
        </w:rPr>
      </w:pPr>
      <w:r>
        <w:rPr>
          <w:rFonts w:hint="eastAsia" w:ascii="宋体" w:hAnsi="宋体"/>
          <w:b/>
          <w:bCs/>
          <w:szCs w:val="21"/>
        </w:rPr>
        <w:t>采购单位：</w:t>
      </w:r>
      <w:r>
        <w:rPr>
          <w:rFonts w:hint="eastAsia" w:hAnsi="宋体" w:cs="Courier New"/>
          <w:iCs/>
        </w:rPr>
        <w:t>长沙市轨道交通一号线建设发展有限公司、长沙市轨道交通运营有限公司、</w:t>
      </w:r>
    </w:p>
    <w:p>
      <w:pPr>
        <w:adjustRightInd w:val="0"/>
        <w:snapToGrid w:val="0"/>
        <w:spacing w:line="300" w:lineRule="auto"/>
        <w:ind w:firstLine="420" w:firstLineChars="200"/>
        <w:rPr>
          <w:rFonts w:ascii="宋体" w:hAnsi="宋体"/>
          <w:szCs w:val="21"/>
        </w:rPr>
      </w:pPr>
      <w:r>
        <w:rPr>
          <w:rFonts w:hint="eastAsia" w:hAnsi="宋体" w:cs="Courier New"/>
          <w:iCs/>
        </w:rPr>
        <w:t>长沙市轨道交通三号线建设发展有限公司、长沙市轨道交通四号线建设发展有限公司</w:t>
      </w:r>
    </w:p>
    <w:p>
      <w:pPr>
        <w:spacing w:line="300" w:lineRule="auto"/>
        <w:ind w:firstLine="420" w:firstLineChars="200"/>
        <w:rPr>
          <w:rFonts w:ascii="宋体" w:hAnsi="宋体" w:cs="黑体"/>
          <w:b/>
          <w:szCs w:val="21"/>
        </w:rPr>
      </w:pPr>
      <w:r>
        <w:rPr>
          <w:rFonts w:hint="eastAsia" w:ascii="宋体" w:hAnsi="宋体"/>
          <w:szCs w:val="21"/>
        </w:rPr>
        <w:t>地  址：</w:t>
      </w: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kern w:val="0"/>
          <w:szCs w:val="21"/>
          <w:shd w:val="clear" w:color="auto" w:fill="FFFFFF"/>
        </w:rPr>
        <w:t>综合楼9</w:t>
      </w:r>
      <w:r>
        <w:rPr>
          <w:rFonts w:hint="eastAsia" w:ascii="宋体" w:hAnsi="宋体" w:cs="宋体"/>
          <w:szCs w:val="21"/>
        </w:rPr>
        <w:t>楼910室</w:t>
      </w:r>
    </w:p>
    <w:p>
      <w:pPr>
        <w:spacing w:line="300" w:lineRule="auto"/>
        <w:ind w:firstLine="420" w:firstLineChars="200"/>
        <w:rPr>
          <w:rFonts w:ascii="宋体" w:hAnsi="宋体" w:cs="黑体"/>
          <w:b/>
          <w:szCs w:val="21"/>
        </w:rPr>
      </w:pPr>
      <w:r>
        <w:rPr>
          <w:rFonts w:hint="eastAsia" w:ascii="宋体" w:hAnsi="宋体"/>
          <w:bCs/>
          <w:szCs w:val="21"/>
        </w:rPr>
        <w:t>联系人：</w:t>
      </w:r>
      <w:r>
        <w:rPr>
          <w:rFonts w:hint="eastAsia" w:ascii="宋体" w:hAnsi="宋体"/>
          <w:szCs w:val="21"/>
        </w:rPr>
        <w:t>奉工</w:t>
      </w:r>
    </w:p>
    <w:p>
      <w:pPr>
        <w:spacing w:line="300" w:lineRule="auto"/>
        <w:ind w:firstLine="420" w:firstLineChars="200"/>
        <w:rPr>
          <w:rFonts w:ascii="宋体" w:hAnsi="宋体" w:cs="黑体"/>
          <w:b/>
          <w:szCs w:val="21"/>
        </w:rPr>
      </w:pPr>
      <w:r>
        <w:rPr>
          <w:rFonts w:hint="eastAsia" w:ascii="宋体" w:hAnsi="宋体"/>
          <w:bCs/>
          <w:szCs w:val="21"/>
        </w:rPr>
        <w:t>电  话：</w:t>
      </w:r>
      <w:r>
        <w:rPr>
          <w:rFonts w:hint="eastAsia" w:ascii="宋体" w:hAnsi="宋体"/>
          <w:szCs w:val="21"/>
        </w:rPr>
        <w:t>0731-86852373</w:t>
      </w:r>
    </w:p>
    <w:p>
      <w:pPr>
        <w:adjustRightInd w:val="0"/>
        <w:snapToGrid w:val="0"/>
        <w:spacing w:line="300" w:lineRule="auto"/>
        <w:ind w:firstLine="420" w:firstLineChars="200"/>
        <w:rPr>
          <w:rFonts w:ascii="宋体" w:hAnsi="宋体"/>
          <w:szCs w:val="21"/>
        </w:rPr>
      </w:pPr>
      <w:r>
        <w:rPr>
          <w:rFonts w:hint="eastAsia" w:ascii="宋体" w:hAnsi="宋体"/>
          <w:bCs/>
          <w:szCs w:val="21"/>
        </w:rPr>
        <w:t>监督举报电话：</w:t>
      </w:r>
      <w:r>
        <w:rPr>
          <w:rFonts w:hint="eastAsia" w:ascii="宋体" w:hAnsi="宋体"/>
          <w:szCs w:val="21"/>
        </w:rPr>
        <w:t>0731-86852248</w:t>
      </w:r>
    </w:p>
    <w:p>
      <w:pPr>
        <w:adjustRightInd w:val="0"/>
        <w:snapToGrid w:val="0"/>
        <w:spacing w:line="300" w:lineRule="auto"/>
        <w:ind w:firstLine="420" w:firstLineChars="200"/>
        <w:rPr>
          <w:rFonts w:ascii="宋体" w:hAnsi="宋体"/>
          <w:szCs w:val="21"/>
        </w:rPr>
      </w:pPr>
      <w:r>
        <w:rPr>
          <w:rFonts w:hint="eastAsia" w:ascii="宋体" w:hAnsi="宋体"/>
          <w:szCs w:val="21"/>
        </w:rPr>
        <w:t>联系人：文工</w:t>
      </w:r>
    </w:p>
    <w:p>
      <w:pPr>
        <w:adjustRightInd w:val="0"/>
        <w:snapToGrid w:val="0"/>
        <w:spacing w:line="300" w:lineRule="auto"/>
        <w:ind w:firstLine="413" w:firstLineChars="196"/>
        <w:rPr>
          <w:rFonts w:ascii="宋体" w:hAnsi="宋体"/>
          <w:szCs w:val="21"/>
        </w:rPr>
      </w:pPr>
      <w:r>
        <w:rPr>
          <w:rFonts w:hint="eastAsia" w:ascii="宋体" w:hAnsi="宋体"/>
          <w:b/>
          <w:bCs/>
          <w:szCs w:val="21"/>
        </w:rPr>
        <w:t>采购代理机构：五矿国际招标有限责任公司</w:t>
      </w:r>
    </w:p>
    <w:p>
      <w:pPr>
        <w:adjustRightInd w:val="0"/>
        <w:snapToGrid w:val="0"/>
        <w:spacing w:line="300" w:lineRule="auto"/>
        <w:ind w:firstLine="420" w:firstLineChars="200"/>
        <w:rPr>
          <w:rFonts w:ascii="宋体" w:hAnsi="宋体"/>
          <w:szCs w:val="21"/>
        </w:rPr>
      </w:pPr>
      <w:r>
        <w:rPr>
          <w:rFonts w:hint="eastAsia" w:ascii="宋体" w:hAnsi="宋体"/>
          <w:szCs w:val="21"/>
        </w:rPr>
        <w:t>地  址：长沙市天心区劳动西路290号湖南有色B栋4楼</w:t>
      </w:r>
    </w:p>
    <w:p>
      <w:pPr>
        <w:adjustRightInd w:val="0"/>
        <w:snapToGrid w:val="0"/>
        <w:spacing w:line="300" w:lineRule="auto"/>
        <w:ind w:firstLine="420" w:firstLineChars="200"/>
        <w:rPr>
          <w:rFonts w:ascii="宋体" w:hAnsi="宋体"/>
          <w:szCs w:val="21"/>
        </w:rPr>
      </w:pPr>
      <w:r>
        <w:rPr>
          <w:rFonts w:hint="eastAsia" w:ascii="宋体" w:hAnsi="宋体"/>
          <w:szCs w:val="21"/>
        </w:rPr>
        <w:t>联系人：熊女士</w:t>
      </w:r>
    </w:p>
    <w:p>
      <w:pPr>
        <w:spacing w:line="300" w:lineRule="auto"/>
        <w:ind w:firstLine="420" w:firstLineChars="200"/>
        <w:rPr>
          <w:rFonts w:ascii="宋体" w:hAnsi="宋体"/>
          <w:szCs w:val="21"/>
        </w:rPr>
      </w:pPr>
      <w:r>
        <w:rPr>
          <w:rFonts w:hint="eastAsia" w:ascii="宋体" w:hAnsi="宋体"/>
          <w:szCs w:val="21"/>
        </w:rPr>
        <w:t>电  话：0731-85685602</w:t>
      </w:r>
    </w:p>
    <w:p>
      <w:pPr>
        <w:spacing w:line="360" w:lineRule="auto"/>
        <w:ind w:firstLine="420" w:firstLineChars="200"/>
        <w:jc w:val="right"/>
        <w:rPr>
          <w:rFonts w:ascii="宋体" w:hAnsi="宋体"/>
          <w:szCs w:val="21"/>
        </w:rPr>
      </w:pPr>
      <w:r>
        <w:rPr>
          <w:rFonts w:hint="eastAsia" w:ascii="宋体" w:hAnsi="宋体"/>
          <w:szCs w:val="21"/>
        </w:rPr>
        <w:t>2019年10月9日</w:t>
      </w:r>
    </w:p>
    <w:p>
      <w:pPr>
        <w:pStyle w:val="3"/>
        <w:keepNext w:val="0"/>
        <w:spacing w:after="240"/>
        <w:rPr>
          <w:rFonts w:ascii="宋体" w:hAnsi="宋体"/>
          <w:bCs w:val="0"/>
          <w:sz w:val="32"/>
          <w:szCs w:val="32"/>
        </w:rPr>
      </w:pPr>
      <w:r>
        <w:rPr>
          <w:rFonts w:ascii="黑体" w:hAnsi="黑体" w:eastAsia="黑体"/>
          <w:b w:val="0"/>
          <w:bCs w:val="0"/>
          <w:sz w:val="32"/>
          <w:szCs w:val="32"/>
        </w:rPr>
        <w:br w:type="page"/>
      </w:r>
      <w:bookmarkStart w:id="2" w:name="_Toc20753182"/>
      <w:bookmarkStart w:id="3" w:name="_Toc20753079"/>
      <w:r>
        <w:rPr>
          <w:rFonts w:hint="eastAsia" w:ascii="宋体" w:hAnsi="宋体"/>
          <w:bCs w:val="0"/>
          <w:sz w:val="32"/>
          <w:szCs w:val="32"/>
        </w:rPr>
        <w:t>第二章 谈判须知</w:t>
      </w:r>
      <w:bookmarkEnd w:id="2"/>
      <w:bookmarkEnd w:id="3"/>
    </w:p>
    <w:p>
      <w:pPr>
        <w:pStyle w:val="4"/>
        <w:keepNext w:val="0"/>
        <w:keepLines w:val="0"/>
        <w:jc w:val="center"/>
        <w:rPr>
          <w:rFonts w:ascii="宋体" w:hAnsi="宋体"/>
        </w:rPr>
      </w:pPr>
      <w:bookmarkStart w:id="4" w:name="_Toc20753183"/>
      <w:bookmarkStart w:id="5" w:name="_Toc20753080"/>
      <w:r>
        <w:rPr>
          <w:rFonts w:hint="eastAsia" w:ascii="宋体" w:hAnsi="宋体"/>
        </w:rPr>
        <w:t>谈判须知前附表</w:t>
      </w:r>
      <w:bookmarkEnd w:id="4"/>
      <w:bookmarkEnd w:id="5"/>
    </w:p>
    <w:tbl>
      <w:tblPr>
        <w:tblStyle w:val="46"/>
        <w:tblW w:w="917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3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jc w:val="center"/>
              <w:rPr>
                <w:rFonts w:ascii="宋体" w:hAnsi="宋体"/>
                <w:b/>
                <w:szCs w:val="21"/>
              </w:rPr>
            </w:pPr>
            <w:r>
              <w:rPr>
                <w:rFonts w:hint="eastAsia" w:ascii="宋体" w:hAnsi="宋体"/>
                <w:b/>
                <w:szCs w:val="21"/>
              </w:rPr>
              <w:t>名  称</w:t>
            </w:r>
          </w:p>
        </w:tc>
        <w:tc>
          <w:tcPr>
            <w:tcW w:w="7310" w:type="dxa"/>
            <w:vAlign w:val="center"/>
          </w:tcPr>
          <w:p>
            <w:pPr>
              <w:adjustRightInd w:val="0"/>
              <w:snapToGrid w:val="0"/>
              <w:jc w:val="center"/>
              <w:rPr>
                <w:rFonts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jc w:val="center"/>
              <w:rPr>
                <w:rFonts w:ascii="宋体" w:hAnsi="宋体"/>
                <w:b/>
                <w:szCs w:val="21"/>
              </w:rPr>
            </w:pPr>
            <w:r>
              <w:rPr>
                <w:rFonts w:hint="eastAsia" w:ascii="宋体" w:hAnsi="宋体"/>
                <w:b/>
                <w:szCs w:val="21"/>
              </w:rPr>
              <w:t>采购项目</w:t>
            </w:r>
          </w:p>
        </w:tc>
        <w:tc>
          <w:tcPr>
            <w:tcW w:w="7310" w:type="dxa"/>
            <w:vAlign w:val="center"/>
          </w:tcPr>
          <w:p>
            <w:pPr>
              <w:adjustRightInd w:val="0"/>
              <w:snapToGrid w:val="0"/>
              <w:spacing w:line="360" w:lineRule="auto"/>
              <w:jc w:val="left"/>
              <w:rPr>
                <w:rFonts w:ascii="宋体" w:hAnsi="宋体"/>
                <w:szCs w:val="21"/>
              </w:rPr>
            </w:pPr>
            <w:r>
              <w:rPr>
                <w:rFonts w:hint="eastAsia" w:ascii="宋体" w:hAnsi="宋体"/>
                <w:szCs w:val="21"/>
              </w:rPr>
              <w:t>长沙市轨道交通1、2、3、4号线一期工程运营期公务用车维修定点服务项目</w:t>
            </w:r>
          </w:p>
          <w:p>
            <w:pPr>
              <w:adjustRightInd w:val="0"/>
              <w:snapToGrid w:val="0"/>
              <w:spacing w:line="360" w:lineRule="auto"/>
              <w:jc w:val="left"/>
              <w:rPr>
                <w:rFonts w:ascii="宋体" w:hAnsi="宋体"/>
                <w:szCs w:val="21"/>
              </w:rPr>
            </w:pPr>
            <w:r>
              <w:rPr>
                <w:rFonts w:hint="eastAsia" w:ascii="宋体" w:hAnsi="宋体"/>
                <w:szCs w:val="21"/>
              </w:rPr>
              <w:t>（2020年度）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采购单位</w:t>
            </w:r>
          </w:p>
        </w:tc>
        <w:tc>
          <w:tcPr>
            <w:tcW w:w="7310" w:type="dxa"/>
            <w:vAlign w:val="center"/>
          </w:tcPr>
          <w:p>
            <w:pPr>
              <w:adjustRightInd w:val="0"/>
              <w:snapToGrid w:val="0"/>
              <w:spacing w:line="360" w:lineRule="auto"/>
              <w:rPr>
                <w:rFonts w:hAnsi="宋体" w:cs="Courier New"/>
                <w:iCs/>
              </w:rPr>
            </w:pPr>
            <w:r>
              <w:rPr>
                <w:rFonts w:hint="eastAsia" w:hAnsi="宋体" w:cs="Courier New"/>
                <w:iCs/>
              </w:rPr>
              <w:t>长沙市轨道交通一号线建设发展有限公司</w:t>
            </w:r>
          </w:p>
          <w:p>
            <w:pPr>
              <w:adjustRightInd w:val="0"/>
              <w:snapToGrid w:val="0"/>
              <w:spacing w:line="360" w:lineRule="auto"/>
              <w:rPr>
                <w:rFonts w:hAnsi="宋体" w:cs="Courier New"/>
                <w:iCs/>
              </w:rPr>
            </w:pPr>
            <w:r>
              <w:rPr>
                <w:rFonts w:hint="eastAsia" w:hAnsi="宋体" w:cs="Courier New"/>
                <w:iCs/>
              </w:rPr>
              <w:t>长沙市轨道交通运营有限公司</w:t>
            </w:r>
          </w:p>
          <w:p>
            <w:pPr>
              <w:adjustRightInd w:val="0"/>
              <w:snapToGrid w:val="0"/>
              <w:spacing w:line="360" w:lineRule="auto"/>
              <w:rPr>
                <w:rFonts w:hAnsi="宋体" w:cs="Courier New"/>
                <w:iCs/>
              </w:rPr>
            </w:pPr>
            <w:r>
              <w:rPr>
                <w:rFonts w:hint="eastAsia" w:hAnsi="宋体" w:cs="Courier New"/>
                <w:iCs/>
              </w:rPr>
              <w:t>长沙市轨道交通三号线建设发展有限公司</w:t>
            </w:r>
          </w:p>
          <w:p>
            <w:pPr>
              <w:adjustRightInd w:val="0"/>
              <w:snapToGrid w:val="0"/>
              <w:spacing w:line="360" w:lineRule="auto"/>
              <w:rPr>
                <w:rFonts w:hAnsi="宋体"/>
                <w:iCs/>
                <w:szCs w:val="21"/>
              </w:rPr>
            </w:pPr>
            <w:r>
              <w:rPr>
                <w:rFonts w:hint="eastAsia" w:hAnsi="宋体" w:cs="Courier New"/>
                <w:iCs/>
              </w:rPr>
              <w:t>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采购代理机构</w:t>
            </w:r>
          </w:p>
        </w:tc>
        <w:tc>
          <w:tcPr>
            <w:tcW w:w="7310" w:type="dxa"/>
            <w:vAlign w:val="center"/>
          </w:tcPr>
          <w:p>
            <w:pPr>
              <w:adjustRightInd w:val="0"/>
              <w:snapToGrid w:val="0"/>
              <w:spacing w:line="360" w:lineRule="auto"/>
              <w:rPr>
                <w:rFonts w:hAnsi="宋体"/>
                <w:iCs/>
                <w:szCs w:val="21"/>
              </w:rPr>
            </w:pPr>
            <w:r>
              <w:rPr>
                <w:rFonts w:hAnsi="宋体"/>
                <w:iCs/>
                <w:szCs w:val="21"/>
              </w:rPr>
              <w:t>五矿国际招标有限责任</w:t>
            </w:r>
            <w:r>
              <w:rPr>
                <w:rFonts w:hint="eastAsia" w:hAnsi="宋体"/>
                <w:iCs/>
                <w:szCs w:val="21"/>
              </w:rPr>
              <w:t>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谈判预算</w:t>
            </w:r>
          </w:p>
        </w:tc>
        <w:tc>
          <w:tcPr>
            <w:tcW w:w="7310" w:type="dxa"/>
            <w:vAlign w:val="center"/>
          </w:tcPr>
          <w:p>
            <w:pPr>
              <w:adjustRightInd w:val="0"/>
              <w:snapToGrid w:val="0"/>
              <w:spacing w:line="360" w:lineRule="auto"/>
              <w:rPr>
                <w:rFonts w:hAnsi="宋体"/>
                <w:iCs/>
                <w:szCs w:val="21"/>
              </w:rPr>
            </w:pPr>
            <w:r>
              <w:rPr>
                <w:rFonts w:hint="eastAsia" w:hAnsi="宋体"/>
                <w:iCs/>
                <w:szCs w:val="21"/>
              </w:rPr>
              <w:t>468000.00元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评审办法</w:t>
            </w:r>
          </w:p>
        </w:tc>
        <w:tc>
          <w:tcPr>
            <w:tcW w:w="7310" w:type="dxa"/>
            <w:vAlign w:val="center"/>
          </w:tcPr>
          <w:p>
            <w:pPr>
              <w:spacing w:line="360" w:lineRule="auto"/>
              <w:jc w:val="left"/>
              <w:rPr>
                <w:rFonts w:hAnsi="宋体"/>
                <w:iCs/>
                <w:color w:val="FF0000"/>
                <w:szCs w:val="21"/>
                <w:u w:val="single"/>
              </w:rPr>
            </w:pPr>
            <w:r>
              <w:rPr>
                <w:rFonts w:hint="eastAsia" w:ascii="宋体" w:hAnsi="宋体" w:cs="Courier New"/>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75" w:hRule="atLeast"/>
          <w:jc w:val="center"/>
        </w:trPr>
        <w:tc>
          <w:tcPr>
            <w:tcW w:w="1864" w:type="dxa"/>
            <w:vAlign w:val="center"/>
          </w:tcPr>
          <w:p>
            <w:pPr>
              <w:adjustRightInd w:val="0"/>
              <w:snapToGrid w:val="0"/>
              <w:spacing w:line="360" w:lineRule="auto"/>
              <w:jc w:val="center"/>
              <w:rPr>
                <w:rFonts w:ascii="宋体" w:hAnsi="宋体"/>
                <w:b/>
                <w:szCs w:val="21"/>
                <w:highlight w:val="yellow"/>
              </w:rPr>
            </w:pPr>
            <w:r>
              <w:rPr>
                <w:rFonts w:hint="eastAsia" w:ascii="宋体" w:hAnsi="宋体"/>
                <w:b/>
                <w:szCs w:val="21"/>
              </w:rPr>
              <w:t>资格要求</w:t>
            </w:r>
          </w:p>
        </w:tc>
        <w:tc>
          <w:tcPr>
            <w:tcW w:w="7310" w:type="dxa"/>
            <w:vAlign w:val="center"/>
          </w:tcPr>
          <w:p>
            <w:pPr>
              <w:widowControl/>
              <w:spacing w:line="360" w:lineRule="auto"/>
              <w:jc w:val="left"/>
              <w:rPr>
                <w:rFonts w:ascii="宋体" w:hAnsi="宋体"/>
                <w:szCs w:val="21"/>
              </w:rPr>
            </w:pPr>
            <w:r>
              <w:rPr>
                <w:rFonts w:hint="eastAsia" w:ascii="宋体" w:hAnsi="宋体"/>
                <w:szCs w:val="21"/>
              </w:rPr>
              <w:t>1.</w:t>
            </w:r>
            <w:r>
              <w:rPr>
                <w:rFonts w:hint="eastAsia" w:hAnsi="宋体"/>
                <w:iCs/>
              </w:rPr>
              <w:t>谈判单位须为具有独立法人资格、自主经营、独立核算的公司。</w:t>
            </w:r>
          </w:p>
          <w:p>
            <w:pPr>
              <w:widowControl/>
              <w:spacing w:line="360" w:lineRule="auto"/>
              <w:rPr>
                <w:rFonts w:ascii="宋体" w:hAnsi="宋体"/>
                <w:szCs w:val="21"/>
              </w:rPr>
            </w:pPr>
            <w:r>
              <w:rPr>
                <w:rFonts w:hint="eastAsia" w:ascii="宋体" w:hAnsi="宋体"/>
                <w:szCs w:val="21"/>
              </w:rPr>
              <w:t>2.</w:t>
            </w:r>
            <w:r>
              <w:rPr>
                <w:rFonts w:hint="eastAsia" w:hAnsi="宋体"/>
                <w:iCs/>
              </w:rPr>
              <w:t>谈判单位的</w:t>
            </w:r>
            <w:r>
              <w:t>维修场地在长沙市雨花区和天心区范围内，并入围2019-2022年长沙市行政事业单位公务车维修保养服务定点单位。</w:t>
            </w:r>
          </w:p>
          <w:p>
            <w:pPr>
              <w:spacing w:line="360" w:lineRule="auto"/>
              <w:jc w:val="left"/>
              <w:rPr>
                <w:rFonts w:ascii="宋体" w:hAnsi="宋体"/>
                <w:szCs w:val="21"/>
              </w:rPr>
            </w:pPr>
            <w:r>
              <w:rPr>
                <w:rFonts w:hint="eastAsia" w:ascii="宋体" w:hAnsi="宋体"/>
                <w:szCs w:val="21"/>
              </w:rPr>
              <w:t>3.本次谈判不接受联合体形式参与谈判。</w:t>
            </w:r>
          </w:p>
          <w:p>
            <w:pPr>
              <w:spacing w:line="360" w:lineRule="auto"/>
              <w:jc w:val="left"/>
              <w:rPr>
                <w:rFonts w:ascii="宋体" w:hAnsi="宋体" w:cs="Courier New"/>
                <w:iCs/>
                <w:szCs w:val="21"/>
              </w:rPr>
            </w:pPr>
            <w:r>
              <w:rPr>
                <w:rFonts w:hint="eastAsia" w:ascii="宋体" w:hAnsi="宋体"/>
                <w:szCs w:val="21"/>
              </w:rPr>
              <w:t>4.</w:t>
            </w:r>
            <w:r>
              <w:rPr>
                <w:rFonts w:hint="eastAsia" w:ascii="宋体" w:hAnsi="宋体" w:cs="Courier New"/>
                <w:iCs/>
                <w:szCs w:val="21"/>
              </w:rPr>
              <w:t>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beforeLines="50" w:line="300" w:lineRule="auto"/>
              <w:jc w:val="center"/>
              <w:rPr>
                <w:rFonts w:ascii="宋体" w:hAnsi="宋体"/>
                <w:b/>
                <w:szCs w:val="21"/>
              </w:rPr>
            </w:pPr>
            <w:r>
              <w:rPr>
                <w:rFonts w:hint="eastAsia" w:ascii="宋体" w:hAnsi="宋体"/>
                <w:b/>
                <w:szCs w:val="21"/>
              </w:rPr>
              <w:t>谈判答疑文件递交截止时间</w:t>
            </w:r>
          </w:p>
        </w:tc>
        <w:tc>
          <w:tcPr>
            <w:tcW w:w="7310" w:type="dxa"/>
            <w:vAlign w:val="center"/>
          </w:tcPr>
          <w:p>
            <w:pPr>
              <w:pStyle w:val="25"/>
              <w:adjustRightInd w:val="0"/>
              <w:snapToGrid w:val="0"/>
              <w:spacing w:line="360" w:lineRule="auto"/>
              <w:rPr>
                <w:rFonts w:hAnsi="宋体" w:cs="Times New Roman"/>
                <w:color w:val="000000"/>
              </w:rPr>
            </w:pPr>
            <w:r>
              <w:rPr>
                <w:rFonts w:hint="eastAsia" w:hAnsi="宋体"/>
                <w:u w:val="single"/>
              </w:rPr>
              <w:t>201</w:t>
            </w:r>
            <w:r>
              <w:rPr>
                <w:rFonts w:hAnsi="宋体"/>
                <w:u w:val="single"/>
              </w:rPr>
              <w:t>9</w:t>
            </w:r>
            <w:r>
              <w:rPr>
                <w:rFonts w:hint="eastAsia" w:hAnsi="宋体"/>
              </w:rPr>
              <w:t>年</w:t>
            </w:r>
            <w:r>
              <w:rPr>
                <w:rFonts w:hint="eastAsia" w:hAnsi="宋体"/>
                <w:u w:val="single"/>
              </w:rPr>
              <w:t>10</w:t>
            </w:r>
            <w:r>
              <w:rPr>
                <w:rFonts w:hint="eastAsia" w:hAnsi="宋体"/>
              </w:rPr>
              <w:t>月</w:t>
            </w:r>
            <w:r>
              <w:rPr>
                <w:rFonts w:hint="eastAsia" w:hAnsi="宋体"/>
                <w:u w:val="single"/>
              </w:rPr>
              <w:t>22</w:t>
            </w:r>
            <w:r>
              <w:rPr>
                <w:rFonts w:hint="eastAsia" w:hAnsi="宋体"/>
              </w:rPr>
              <w:t>日</w:t>
            </w:r>
            <w:r>
              <w:rPr>
                <w:rFonts w:hint="eastAsia" w:ascii="宋体" w:hAnsi="宋体"/>
                <w:szCs w:val="21"/>
                <w:u w:val="single"/>
                <w:lang w:val="en-US" w:eastAsia="zh-CN"/>
              </w:rPr>
              <w:t>14</w:t>
            </w:r>
            <w:r>
              <w:rPr>
                <w:rFonts w:ascii="宋体" w:hAnsi="宋体"/>
                <w:bCs/>
                <w:szCs w:val="21"/>
              </w:rPr>
              <w:t>时</w:t>
            </w:r>
            <w:r>
              <w:rPr>
                <w:rFonts w:hint="eastAsia" w:ascii="宋体" w:hAnsi="宋体"/>
                <w:bCs/>
                <w:szCs w:val="21"/>
                <w:u w:val="single"/>
                <w:lang w:val="en-US" w:eastAsia="zh-CN"/>
              </w:rPr>
              <w:t>30</w:t>
            </w:r>
            <w:r>
              <w:rPr>
                <w:rFonts w:ascii="宋体" w:hAnsi="宋体"/>
                <w:bCs/>
                <w:szCs w:val="21"/>
              </w:rPr>
              <w:t>分</w:t>
            </w:r>
            <w:r>
              <w:rPr>
                <w:rFonts w:hint="eastAsia" w:hAnsi="宋体"/>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00" w:lineRule="auto"/>
              <w:jc w:val="center"/>
              <w:rPr>
                <w:rFonts w:ascii="宋体" w:hAnsi="宋体"/>
                <w:b/>
                <w:szCs w:val="21"/>
              </w:rPr>
            </w:pPr>
            <w:r>
              <w:rPr>
                <w:rFonts w:hint="eastAsia" w:ascii="宋体" w:hAnsi="宋体"/>
                <w:b/>
                <w:szCs w:val="21"/>
              </w:rPr>
              <w:t>谈判答疑文件递交方式及地点</w:t>
            </w:r>
          </w:p>
        </w:tc>
        <w:tc>
          <w:tcPr>
            <w:tcW w:w="7310" w:type="dxa"/>
            <w:vAlign w:val="center"/>
          </w:tcPr>
          <w:p>
            <w:pPr>
              <w:pStyle w:val="25"/>
              <w:adjustRightInd w:val="0"/>
              <w:snapToGrid w:val="0"/>
              <w:spacing w:line="360" w:lineRule="auto"/>
              <w:rPr>
                <w:rFonts w:hAnsi="宋体"/>
                <w:iCs/>
                <w:color w:val="FF0000"/>
              </w:rPr>
            </w:pPr>
            <w:r>
              <w:rPr>
                <w:rFonts w:hint="eastAsia" w:hAnsi="宋体"/>
              </w:rPr>
              <w:t>谈判答疑文件应以书面形式递交至长沙市天心区劳动西路290号湖南有色B栋402室五矿国际招标有限责任公司。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00" w:lineRule="auto"/>
              <w:jc w:val="center"/>
              <w:rPr>
                <w:rFonts w:ascii="宋体" w:hAnsi="宋体"/>
                <w:b/>
                <w:szCs w:val="21"/>
              </w:rPr>
            </w:pPr>
            <w:r>
              <w:rPr>
                <w:rFonts w:hint="eastAsia" w:ascii="宋体" w:hAnsi="宋体"/>
                <w:b/>
                <w:szCs w:val="21"/>
              </w:rPr>
              <w:t>响应文件的递交截止及谈判时间</w:t>
            </w:r>
          </w:p>
        </w:tc>
        <w:tc>
          <w:tcPr>
            <w:tcW w:w="7310" w:type="dxa"/>
            <w:vAlign w:val="center"/>
          </w:tcPr>
          <w:p>
            <w:pPr>
              <w:adjustRightInd w:val="0"/>
              <w:snapToGrid w:val="0"/>
              <w:spacing w:line="360" w:lineRule="auto"/>
              <w:jc w:val="left"/>
              <w:rPr>
                <w:rFonts w:ascii="宋体" w:hAnsi="宋体"/>
                <w:szCs w:val="21"/>
              </w:rPr>
            </w:pPr>
            <w:r>
              <w:rPr>
                <w:rFonts w:hint="eastAsia" w:hAnsi="宋体"/>
                <w:u w:val="single"/>
              </w:rPr>
              <w:t>201</w:t>
            </w:r>
            <w:r>
              <w:rPr>
                <w:rFonts w:hAnsi="宋体"/>
                <w:u w:val="single"/>
              </w:rPr>
              <w:t>9</w:t>
            </w:r>
            <w:r>
              <w:rPr>
                <w:rFonts w:hint="eastAsia" w:hAnsi="宋体"/>
              </w:rPr>
              <w:t>年</w:t>
            </w:r>
            <w:r>
              <w:rPr>
                <w:rFonts w:hint="eastAsia" w:hAnsi="宋体"/>
                <w:u w:val="single"/>
              </w:rPr>
              <w:t>10</w:t>
            </w:r>
            <w:r>
              <w:rPr>
                <w:rFonts w:hint="eastAsia" w:hAnsi="宋体"/>
              </w:rPr>
              <w:t>月</w:t>
            </w:r>
            <w:r>
              <w:rPr>
                <w:rFonts w:hint="eastAsia" w:hAnsi="宋体"/>
                <w:u w:val="single"/>
              </w:rPr>
              <w:t>22</w:t>
            </w:r>
            <w:r>
              <w:rPr>
                <w:rFonts w:hint="eastAsia" w:hAnsi="宋体"/>
              </w:rPr>
              <w:t>日</w:t>
            </w:r>
            <w:r>
              <w:rPr>
                <w:rFonts w:hint="eastAsia" w:ascii="宋体" w:hAnsi="宋体"/>
                <w:szCs w:val="21"/>
                <w:u w:val="single"/>
                <w:lang w:val="en-US" w:eastAsia="zh-CN"/>
              </w:rPr>
              <w:t>14</w:t>
            </w:r>
            <w:r>
              <w:rPr>
                <w:rFonts w:ascii="宋体" w:hAnsi="宋体"/>
                <w:bCs/>
                <w:szCs w:val="21"/>
              </w:rPr>
              <w:t>时</w:t>
            </w:r>
            <w:r>
              <w:rPr>
                <w:rFonts w:hint="eastAsia" w:ascii="宋体" w:hAnsi="宋体"/>
                <w:bCs/>
                <w:szCs w:val="21"/>
                <w:u w:val="single"/>
                <w:lang w:val="en-US" w:eastAsia="zh-CN"/>
              </w:rPr>
              <w:t>30</w:t>
            </w:r>
            <w:r>
              <w:rPr>
                <w:rFonts w:ascii="宋体" w:hAnsi="宋体"/>
                <w:bCs/>
                <w:szCs w:val="21"/>
              </w:rPr>
              <w:t>分</w:t>
            </w:r>
            <w:r>
              <w:rPr>
                <w:rFonts w:hint="eastAsia" w:hAnsi="宋体"/>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00" w:lineRule="auto"/>
              <w:jc w:val="center"/>
              <w:rPr>
                <w:rFonts w:ascii="宋体" w:hAnsi="宋体"/>
                <w:b/>
                <w:szCs w:val="21"/>
              </w:rPr>
            </w:pPr>
            <w:r>
              <w:rPr>
                <w:rFonts w:hint="eastAsia" w:ascii="宋体" w:hAnsi="宋体"/>
                <w:b/>
                <w:szCs w:val="21"/>
              </w:rPr>
              <w:t>响应文件的递交及谈判地点</w:t>
            </w:r>
          </w:p>
        </w:tc>
        <w:tc>
          <w:tcPr>
            <w:tcW w:w="7310" w:type="dxa"/>
            <w:vAlign w:val="center"/>
          </w:tcPr>
          <w:p>
            <w:pPr>
              <w:adjustRightInd w:val="0"/>
              <w:snapToGrid w:val="0"/>
              <w:spacing w:line="360" w:lineRule="auto"/>
              <w:jc w:val="left"/>
              <w:rPr>
                <w:rFonts w:ascii="宋体" w:hAnsi="宋体"/>
                <w:szCs w:val="21"/>
              </w:rPr>
            </w:pP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iCs/>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谈判现场验证须提交的资料</w:t>
            </w:r>
          </w:p>
        </w:tc>
        <w:tc>
          <w:tcPr>
            <w:tcW w:w="7310" w:type="dxa"/>
            <w:vAlign w:val="center"/>
          </w:tcPr>
          <w:p>
            <w:pPr>
              <w:adjustRightInd w:val="0"/>
              <w:snapToGrid w:val="0"/>
              <w:spacing w:line="360" w:lineRule="auto"/>
              <w:jc w:val="left"/>
              <w:rPr>
                <w:rFonts w:ascii="宋体" w:hAnsi="宋体"/>
                <w:color w:val="FF0000"/>
                <w:szCs w:val="21"/>
              </w:rPr>
            </w:pPr>
            <w:r>
              <w:rPr>
                <w:rFonts w:hint="eastAsia" w:ascii="宋体" w:hAnsi="宋体" w:cs="Courier New"/>
                <w:iCs/>
                <w:szCs w:val="21"/>
              </w:rPr>
              <w:t>1.谈判单位代表是谈判单位法定代表人参加的，法定代表人须提供法定代表人身份证明书原件</w:t>
            </w:r>
            <w:r>
              <w:rPr>
                <w:rFonts w:hint="eastAsia" w:ascii="宋体" w:hAnsi="宋体" w:cs="Courier New"/>
                <w:b/>
                <w:iCs/>
                <w:szCs w:val="21"/>
                <w:u w:val="single"/>
              </w:rPr>
              <w:t>（格式详见本文件第六章）</w:t>
            </w:r>
            <w:r>
              <w:rPr>
                <w:rFonts w:hint="eastAsia" w:ascii="宋体" w:hAnsi="宋体"/>
                <w:szCs w:val="21"/>
              </w:rPr>
              <w:t>及本人身份证原件。</w:t>
            </w:r>
          </w:p>
          <w:p>
            <w:pPr>
              <w:adjustRightInd w:val="0"/>
              <w:snapToGrid w:val="0"/>
              <w:spacing w:line="360" w:lineRule="auto"/>
              <w:jc w:val="left"/>
              <w:rPr>
                <w:rFonts w:ascii="宋体" w:hAnsi="宋体" w:cs="Courier New"/>
                <w:iCs/>
                <w:szCs w:val="21"/>
              </w:rPr>
            </w:pPr>
            <w:r>
              <w:rPr>
                <w:rFonts w:hint="eastAsia" w:ascii="宋体" w:hAnsi="宋体"/>
                <w:szCs w:val="21"/>
              </w:rPr>
              <w:t>2.谈判单位代表是由谈判单位法定代表人授权的委托代理人参加的，其授权委托代理人须提供授权委托书原件</w:t>
            </w:r>
            <w:r>
              <w:rPr>
                <w:rFonts w:hint="eastAsia" w:ascii="宋体" w:hAnsi="宋体"/>
                <w:b/>
                <w:bCs/>
                <w:szCs w:val="21"/>
                <w:u w:val="single"/>
              </w:rPr>
              <w:t>（格式详见本文件第六章）</w:t>
            </w:r>
            <w:r>
              <w:rPr>
                <w:rFonts w:hint="eastAsia" w:ascii="宋体" w:hAnsi="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响应文件有效期</w:t>
            </w:r>
          </w:p>
        </w:tc>
        <w:tc>
          <w:tcPr>
            <w:tcW w:w="7310" w:type="dxa"/>
            <w:vAlign w:val="center"/>
          </w:tcPr>
          <w:p>
            <w:pPr>
              <w:adjustRightInd w:val="0"/>
              <w:snapToGrid w:val="0"/>
              <w:spacing w:line="360" w:lineRule="auto"/>
              <w:jc w:val="left"/>
              <w:rPr>
                <w:rFonts w:ascii="宋体" w:hAnsi="宋体"/>
                <w:szCs w:val="21"/>
              </w:rPr>
            </w:pPr>
            <w:r>
              <w:rPr>
                <w:rFonts w:hint="eastAsia" w:ascii="宋体" w:hAnsi="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响应文件份数</w:t>
            </w:r>
          </w:p>
        </w:tc>
        <w:tc>
          <w:tcPr>
            <w:tcW w:w="7310" w:type="dxa"/>
            <w:vAlign w:val="center"/>
          </w:tcPr>
          <w:p>
            <w:pPr>
              <w:adjustRightInd w:val="0"/>
              <w:snapToGrid w:val="0"/>
              <w:spacing w:line="360" w:lineRule="auto"/>
              <w:rPr>
                <w:rFonts w:ascii="宋体" w:hAnsi="宋体"/>
                <w:szCs w:val="21"/>
                <w:u w:val="single"/>
              </w:rPr>
            </w:pPr>
            <w:r>
              <w:rPr>
                <w:rFonts w:hint="eastAsia" w:ascii="宋体" w:hAnsi="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仿宋_GB2312"/>
                <w:b/>
                <w:szCs w:val="21"/>
              </w:rPr>
            </w:pPr>
            <w:r>
              <w:rPr>
                <w:rFonts w:hint="eastAsia" w:ascii="宋体" w:hAnsi="宋体" w:cs="仿宋_GB2312"/>
                <w:b/>
                <w:szCs w:val="21"/>
              </w:rPr>
              <w:t>价格承包内容</w:t>
            </w:r>
          </w:p>
        </w:tc>
        <w:tc>
          <w:tcPr>
            <w:tcW w:w="7310" w:type="dxa"/>
            <w:vAlign w:val="center"/>
          </w:tcPr>
          <w:p>
            <w:pPr>
              <w:adjustRightInd w:val="0"/>
              <w:snapToGrid w:val="0"/>
              <w:spacing w:line="360" w:lineRule="auto"/>
              <w:rPr>
                <w:rFonts w:ascii="宋体" w:hAnsi="宋体" w:cs="仿宋_GB2312"/>
                <w:szCs w:val="21"/>
              </w:rPr>
            </w:pPr>
            <w:r>
              <w:rPr>
                <w:rFonts w:hint="eastAsia" w:ascii="宋体" w:hAnsi="宋体" w:cs="仿宋_GB2312"/>
                <w:szCs w:val="21"/>
              </w:rPr>
              <w:t>1.签约合同价为人民币46.8万元。</w:t>
            </w:r>
          </w:p>
          <w:p>
            <w:pPr>
              <w:adjustRightInd w:val="0"/>
              <w:snapToGrid w:val="0"/>
              <w:spacing w:line="360" w:lineRule="auto"/>
              <w:rPr>
                <w:rFonts w:ascii="宋体" w:hAnsi="宋体" w:cs="仿宋_GB2312"/>
                <w:szCs w:val="21"/>
              </w:rPr>
            </w:pPr>
            <w:r>
              <w:rPr>
                <w:rFonts w:hint="eastAsia" w:ascii="宋体" w:hAnsi="宋体" w:cs="仿宋_GB2312"/>
                <w:szCs w:val="21"/>
              </w:rPr>
              <w:t>2.本合同的维修费用据实结算，但最终的维修费用不得超过签约合同价，具体分项价格详见合同附件之签约合同价清单。</w:t>
            </w:r>
          </w:p>
          <w:p>
            <w:pPr>
              <w:adjustRightInd w:val="0"/>
              <w:snapToGrid w:val="0"/>
              <w:spacing w:line="360" w:lineRule="auto"/>
              <w:rPr>
                <w:rFonts w:ascii="宋体" w:hAnsi="宋体" w:cs="仿宋_GB2312"/>
                <w:szCs w:val="21"/>
              </w:rPr>
            </w:pPr>
            <w:r>
              <w:rPr>
                <w:rFonts w:hint="eastAsia" w:ascii="宋体" w:hAnsi="宋体" w:cs="仿宋_GB2312"/>
                <w:szCs w:val="21"/>
              </w:rPr>
              <w:t>3.维修费用包括工时费、维修材料费、维修材料管理费等履行合同标的全过程的所有成本和费用以及乙方应承担的一切税费。</w:t>
            </w:r>
          </w:p>
          <w:p>
            <w:pPr>
              <w:adjustRightInd w:val="0"/>
              <w:snapToGrid w:val="0"/>
              <w:spacing w:line="360" w:lineRule="auto"/>
              <w:rPr>
                <w:rFonts w:ascii="宋体" w:hAnsi="宋体" w:cs="仿宋_GB2312"/>
                <w:szCs w:val="21"/>
              </w:rPr>
            </w:pPr>
            <w:r>
              <w:rPr>
                <w:rFonts w:hint="eastAsia" w:ascii="宋体" w:hAnsi="宋体" w:cs="仿宋_GB2312"/>
                <w:szCs w:val="21"/>
              </w:rPr>
              <w:t>4.针对事故车辆，经交警部门认定后属于保险赔付范围的，由承保保险公司按相关赔付标准予以赔付/支付，不属于保险赔付范围或者超出保险赔付额度的部分按本项目规定价格计算办法进行最终结算。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项目支付方式</w:t>
            </w:r>
          </w:p>
        </w:tc>
        <w:tc>
          <w:tcPr>
            <w:tcW w:w="7310" w:type="dxa"/>
            <w:vAlign w:val="center"/>
          </w:tcPr>
          <w:p>
            <w:pPr>
              <w:pStyle w:val="45"/>
              <w:adjustRightInd w:val="0"/>
              <w:snapToGrid w:val="0"/>
              <w:spacing w:after="0" w:line="360" w:lineRule="auto"/>
              <w:ind w:firstLine="0" w:firstLineChars="0"/>
              <w:rPr>
                <w:rFonts w:ascii="宋体" w:hAnsi="宋体" w:cs="仿宋_GB2312"/>
                <w:szCs w:val="21"/>
              </w:rPr>
            </w:pPr>
            <w:r>
              <w:rPr>
                <w:rFonts w:hint="eastAsia" w:ascii="宋体" w:hAnsi="宋体" w:cs="仿宋_GB2312"/>
                <w:szCs w:val="21"/>
              </w:rPr>
              <w:t>1.付款周期：按季度支付一次，乙方每个付款周期按合同规定完成履约，且收到乙方提交经甲方审批同意的支付申请及增值税专用税务发票、有效期内的履约担保复印件等相关资料后28个工作日内，由甲方向乙方支付。</w:t>
            </w:r>
          </w:p>
          <w:p>
            <w:pPr>
              <w:pStyle w:val="45"/>
              <w:adjustRightInd w:val="0"/>
              <w:snapToGrid w:val="0"/>
              <w:spacing w:after="0" w:line="360" w:lineRule="auto"/>
              <w:ind w:firstLine="0" w:firstLineChars="0"/>
              <w:rPr>
                <w:rFonts w:ascii="宋体" w:hAnsi="宋体" w:cs="仿宋_GB2312"/>
                <w:szCs w:val="21"/>
              </w:rPr>
            </w:pPr>
            <w:r>
              <w:rPr>
                <w:rFonts w:hint="eastAsia" w:ascii="宋体" w:hAnsi="宋体" w:cs="仿宋_GB2312"/>
                <w:szCs w:val="21"/>
              </w:rPr>
              <w:t>2.每次支付金额为当期计量金额综合当期检查考评结果后的金额。最后一个付款周期的款项需在履约验收完成后支付。</w:t>
            </w:r>
          </w:p>
          <w:p>
            <w:pPr>
              <w:pStyle w:val="45"/>
              <w:adjustRightInd w:val="0"/>
              <w:snapToGrid w:val="0"/>
              <w:spacing w:after="0" w:line="360" w:lineRule="auto"/>
              <w:ind w:firstLine="0" w:firstLineChars="0"/>
              <w:rPr>
                <w:rFonts w:ascii="宋体" w:hAnsi="宋体" w:cs="仿宋_GB2312"/>
                <w:szCs w:val="21"/>
              </w:rPr>
            </w:pPr>
            <w:r>
              <w:rPr>
                <w:rFonts w:hint="eastAsia" w:ascii="宋体" w:hAnsi="宋体" w:cs="仿宋_GB2312"/>
                <w:szCs w:val="21"/>
              </w:rPr>
              <w:t>3.履约验收完成付款：乙方按合同规定完成履约，且收到乙方提交经甲方审批同意的支付申请及增值税专用税务发票、有效期内的履约担保复印件等相关资料后28个工作日内，支付至维修费用的100%。项目履约验收按相关规定执行。</w:t>
            </w:r>
          </w:p>
          <w:p>
            <w:pPr>
              <w:pStyle w:val="45"/>
              <w:adjustRightInd w:val="0"/>
              <w:snapToGrid w:val="0"/>
              <w:spacing w:after="0" w:line="360" w:lineRule="auto"/>
              <w:ind w:firstLine="0" w:firstLineChars="0"/>
              <w:rPr>
                <w:rFonts w:ascii="宋体" w:hAnsi="宋体"/>
                <w:bCs/>
                <w:szCs w:val="21"/>
              </w:rPr>
            </w:pPr>
            <w:r>
              <w:rPr>
                <w:rFonts w:hint="eastAsia" w:ascii="宋体" w:hAnsi="宋体" w:cs="仿宋_GB2312"/>
                <w:szCs w:val="21"/>
              </w:rPr>
              <w:t>4.甲方（包括长沙市轨道交通运营有限公司、一号线建设发展有限公司、三号线建设发展有限公司、四号线建设发展有限公司）根据实际清单各自承担支付及开具发票。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cs="宋体"/>
                <w:b/>
                <w:color w:val="000000"/>
                <w:szCs w:val="21"/>
              </w:rPr>
              <w:t>违约条款</w:t>
            </w:r>
          </w:p>
        </w:tc>
        <w:tc>
          <w:tcPr>
            <w:tcW w:w="7310" w:type="dxa"/>
            <w:vAlign w:val="center"/>
          </w:tcPr>
          <w:p>
            <w:pPr>
              <w:adjustRightInd w:val="0"/>
              <w:snapToGrid w:val="0"/>
              <w:spacing w:line="300" w:lineRule="auto"/>
            </w:pPr>
            <w:r>
              <w:rPr>
                <w:rFonts w:hint="eastAsia"/>
                <w:szCs w:val="21"/>
              </w:rPr>
              <w:t>1.乙方应按《车辆维修保养申请单》规定的期限完成维修工作，逾期未能完成维修工作的，乙方应以逾期交付车辆应支付车辆维修费的5%/日向甲方支付违约金。逾期超过15天，甲方有权解除合同。</w:t>
            </w:r>
          </w:p>
          <w:p>
            <w:pPr>
              <w:adjustRightInd w:val="0"/>
              <w:snapToGrid w:val="0"/>
              <w:spacing w:line="300" w:lineRule="auto"/>
            </w:pPr>
            <w:r>
              <w:rPr>
                <w:rFonts w:hint="eastAsia"/>
                <w:szCs w:val="21"/>
              </w:rPr>
              <w:t>2.如送修车辆在乙方维修期间出现丢失或损毁的，乙方应承担全部偿责任。</w:t>
            </w:r>
          </w:p>
          <w:p>
            <w:pPr>
              <w:adjustRightInd w:val="0"/>
              <w:snapToGrid w:val="0"/>
              <w:spacing w:line="300" w:lineRule="auto"/>
            </w:pPr>
            <w:r>
              <w:rPr>
                <w:rFonts w:hint="eastAsia"/>
                <w:szCs w:val="21"/>
              </w:rPr>
              <w:t>3.如因乙方维修车辆质量造成甲方或第三方人身、财产损失的，乙方应承担全部赔偿责任。</w:t>
            </w:r>
          </w:p>
          <w:p>
            <w:pPr>
              <w:adjustRightInd w:val="0"/>
              <w:snapToGrid w:val="0"/>
              <w:spacing w:line="300" w:lineRule="auto"/>
            </w:pPr>
            <w:r>
              <w:rPr>
                <w:rFonts w:hint="eastAsia"/>
                <w:szCs w:val="21"/>
              </w:rPr>
              <w:t>4.如有下列任何一种情况出现，甲方有权扣除乙方的履约保证全(扣除后乙方还应补足履约保证金，否则甲方有权单方解除合同)，如履约保证金不足以弥补甲方损失的，甲方有权追偿。情节严重的将取消定点维修资格，若给甲方造成损失的将向乙方追究经济赔偿。</w:t>
            </w:r>
          </w:p>
          <w:p>
            <w:pPr>
              <w:adjustRightInd w:val="0"/>
              <w:snapToGrid w:val="0"/>
              <w:spacing w:line="300" w:lineRule="auto"/>
            </w:pPr>
            <w:r>
              <w:rPr>
                <w:rFonts w:hint="eastAsia"/>
                <w:szCs w:val="21"/>
              </w:rPr>
              <w:t>（1）没有按照价格优惠要求，擅自抬高收费价格，经查实的；</w:t>
            </w:r>
          </w:p>
          <w:p>
            <w:pPr>
              <w:adjustRightInd w:val="0"/>
              <w:snapToGrid w:val="0"/>
              <w:spacing w:line="300" w:lineRule="auto"/>
            </w:pPr>
            <w:r>
              <w:rPr>
                <w:rFonts w:hint="eastAsia"/>
                <w:szCs w:val="21"/>
              </w:rPr>
              <w:t>（2）因质量、服务问题被投诉3次以上，经查实的；</w:t>
            </w:r>
          </w:p>
          <w:p>
            <w:pPr>
              <w:adjustRightInd w:val="0"/>
              <w:snapToGrid w:val="0"/>
              <w:spacing w:line="300" w:lineRule="auto"/>
            </w:pPr>
            <w:r>
              <w:rPr>
                <w:rFonts w:hint="eastAsia"/>
                <w:szCs w:val="21"/>
              </w:rPr>
              <w:t>（3）未经甲方同意，乙方将送修车辆交由他厂维修；</w:t>
            </w:r>
          </w:p>
          <w:p>
            <w:pPr>
              <w:adjustRightInd w:val="0"/>
              <w:snapToGrid w:val="0"/>
              <w:spacing w:line="300" w:lineRule="auto"/>
            </w:pPr>
            <w:r>
              <w:rPr>
                <w:rFonts w:hint="eastAsia"/>
                <w:szCs w:val="21"/>
              </w:rPr>
              <w:t>（4）通过向相关人员给回扣或变相回扣的方式招揽业务，经查实的；</w:t>
            </w:r>
          </w:p>
          <w:p>
            <w:pPr>
              <w:adjustRightInd w:val="0"/>
              <w:snapToGrid w:val="0"/>
              <w:spacing w:line="300" w:lineRule="auto"/>
            </w:pPr>
            <w:r>
              <w:rPr>
                <w:rFonts w:hint="eastAsia"/>
                <w:szCs w:val="21"/>
              </w:rPr>
              <w:t>（5）因乙方维修质量问题，导致甲方车辆出现事故造成损失的；</w:t>
            </w:r>
          </w:p>
          <w:p>
            <w:pPr>
              <w:adjustRightInd w:val="0"/>
              <w:snapToGrid w:val="0"/>
              <w:spacing w:line="300" w:lineRule="auto"/>
            </w:pPr>
            <w:r>
              <w:rPr>
                <w:rFonts w:hint="eastAsia"/>
                <w:szCs w:val="21"/>
              </w:rPr>
              <w:t>（6）未经甲方书面同意，维修逾期超过15天，有权扣除乙方的履约保证全。</w:t>
            </w:r>
          </w:p>
          <w:p>
            <w:pPr>
              <w:adjustRightInd w:val="0"/>
              <w:snapToGrid w:val="0"/>
              <w:spacing w:line="300" w:lineRule="auto"/>
            </w:pPr>
            <w:r>
              <w:rPr>
                <w:rFonts w:hint="eastAsia"/>
                <w:szCs w:val="21"/>
              </w:rPr>
              <w:t>（7）本项目合同约定的其他情况。</w:t>
            </w:r>
          </w:p>
          <w:p>
            <w:pPr>
              <w:adjustRightInd w:val="0"/>
              <w:snapToGrid w:val="0"/>
              <w:spacing w:line="300" w:lineRule="auto"/>
            </w:pPr>
            <w:r>
              <w:rPr>
                <w:rFonts w:hint="eastAsia"/>
                <w:szCs w:val="21"/>
              </w:rPr>
              <w:t>5.乙方有下列情况之一的，甲方有权将其缴纳的履约保证金扣除，并有权单方面解除合同：</w:t>
            </w:r>
          </w:p>
          <w:p>
            <w:pPr>
              <w:adjustRightInd w:val="0"/>
              <w:snapToGrid w:val="0"/>
              <w:spacing w:line="300" w:lineRule="auto"/>
            </w:pPr>
            <w:r>
              <w:rPr>
                <w:rFonts w:hint="eastAsia"/>
                <w:szCs w:val="21"/>
              </w:rPr>
              <w:t>（1）实际的维修厂房设备、停车场、客户接待区及相关设施与合同要求严重不符的；</w:t>
            </w:r>
          </w:p>
          <w:p>
            <w:pPr>
              <w:adjustRightInd w:val="0"/>
              <w:snapToGrid w:val="0"/>
              <w:spacing w:line="300" w:lineRule="auto"/>
            </w:pPr>
            <w:r>
              <w:rPr>
                <w:rFonts w:hint="eastAsia"/>
                <w:szCs w:val="21"/>
              </w:rPr>
              <w:t>（2）不按合同要求提供应承担的维保服务的；</w:t>
            </w:r>
          </w:p>
          <w:p>
            <w:pPr>
              <w:adjustRightInd w:val="0"/>
              <w:snapToGrid w:val="0"/>
              <w:spacing w:line="300" w:lineRule="auto"/>
            </w:pPr>
            <w:r>
              <w:rPr>
                <w:rFonts w:hint="eastAsia"/>
                <w:szCs w:val="21"/>
              </w:rPr>
              <w:t>（3）所用维修材料不符合国家质量标准的；</w:t>
            </w:r>
          </w:p>
          <w:p>
            <w:pPr>
              <w:adjustRightInd w:val="0"/>
              <w:snapToGrid w:val="0"/>
              <w:spacing w:line="300" w:lineRule="auto"/>
            </w:pPr>
            <w:r>
              <w:rPr>
                <w:rFonts w:hint="eastAsia"/>
                <w:szCs w:val="21"/>
              </w:rPr>
              <w:t>（4）不按照合同约定计费的；</w:t>
            </w:r>
          </w:p>
          <w:p>
            <w:pPr>
              <w:adjustRightInd w:val="0"/>
              <w:snapToGrid w:val="0"/>
              <w:spacing w:line="300" w:lineRule="auto"/>
            </w:pPr>
            <w:r>
              <w:rPr>
                <w:rFonts w:hint="eastAsia"/>
                <w:szCs w:val="21"/>
              </w:rPr>
              <w:t>（5）车辆维修结算时给子司机或单位回扣、赠送礼品及报销其它费用的；</w:t>
            </w:r>
          </w:p>
          <w:p>
            <w:pPr>
              <w:adjustRightInd w:val="0"/>
              <w:snapToGrid w:val="0"/>
              <w:spacing w:line="300" w:lineRule="auto"/>
            </w:pPr>
            <w:r>
              <w:rPr>
                <w:rFonts w:hint="eastAsia"/>
                <w:szCs w:val="21"/>
              </w:rPr>
              <w:t>（6）拒绝接受检查，不如实反映情况或提供虚假材料的；</w:t>
            </w:r>
          </w:p>
          <w:p>
            <w:pPr>
              <w:adjustRightInd w:val="0"/>
              <w:snapToGrid w:val="0"/>
              <w:spacing w:line="300" w:lineRule="auto"/>
            </w:pPr>
            <w:r>
              <w:rPr>
                <w:rFonts w:hint="eastAsia"/>
                <w:szCs w:val="21"/>
              </w:rPr>
              <w:t>（7）无正当理由拒修的；</w:t>
            </w:r>
          </w:p>
          <w:p>
            <w:pPr>
              <w:adjustRightInd w:val="0"/>
              <w:snapToGrid w:val="0"/>
              <w:spacing w:line="300" w:lineRule="auto"/>
            </w:pPr>
            <w:r>
              <w:rPr>
                <w:rFonts w:hint="eastAsia"/>
                <w:szCs w:val="21"/>
              </w:rPr>
              <w:t>（8）保修期内确因维修质量问题拒绝免费返修的；</w:t>
            </w:r>
          </w:p>
          <w:p>
            <w:pPr>
              <w:adjustRightInd w:val="0"/>
              <w:snapToGrid w:val="0"/>
              <w:spacing w:line="300" w:lineRule="auto"/>
            </w:pPr>
            <w:r>
              <w:rPr>
                <w:rFonts w:hint="eastAsia"/>
                <w:szCs w:val="21"/>
              </w:rPr>
              <w:t>（9）弄虚作假、虚报维修项目和维修费用的；</w:t>
            </w:r>
          </w:p>
          <w:p>
            <w:pPr>
              <w:adjustRightInd w:val="0"/>
              <w:snapToGrid w:val="0"/>
              <w:spacing w:line="300" w:lineRule="auto"/>
            </w:pPr>
            <w:r>
              <w:rPr>
                <w:rFonts w:hint="eastAsia"/>
                <w:szCs w:val="21"/>
              </w:rPr>
              <w:t>（10）采用不正当手段竞争的。</w:t>
            </w:r>
          </w:p>
          <w:p>
            <w:pPr>
              <w:adjustRightInd w:val="0"/>
              <w:snapToGrid w:val="0"/>
              <w:spacing w:line="300" w:lineRule="auto"/>
            </w:pPr>
            <w:r>
              <w:rPr>
                <w:rFonts w:hint="eastAsia"/>
                <w:szCs w:val="21"/>
              </w:rPr>
              <w:t>6.乙方未在本合同签订后15个工作日内提供履约担保的，每延迟一天乙方应按签约合同价的5‰向甲方缴纳违约金，违约金最高不超过签约合同价的10%。</w:t>
            </w:r>
          </w:p>
          <w:p>
            <w:pPr>
              <w:pStyle w:val="45"/>
              <w:adjustRightInd w:val="0"/>
              <w:snapToGrid w:val="0"/>
              <w:spacing w:after="0" w:line="300" w:lineRule="auto"/>
              <w:ind w:firstLine="0" w:firstLineChars="0"/>
              <w:rPr>
                <w:rFonts w:ascii="宋体" w:hAnsi="宋体" w:cs="仿宋_GB2312"/>
                <w:szCs w:val="21"/>
              </w:rPr>
            </w:pPr>
            <w:r>
              <w:rPr>
                <w:rFonts w:hint="eastAsia"/>
                <w:szCs w:val="21"/>
              </w:rPr>
              <w:t>7.</w:t>
            </w:r>
            <w:r>
              <w:rPr>
                <w:szCs w:val="21"/>
              </w:rPr>
              <w:t>违约金以现金或转账方式缴纳或从合同应付款项中扣除。甲方开具收款收据、不提供发票，乙方不得因此冲减增值税专用发票金额</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00" w:lineRule="auto"/>
              <w:jc w:val="center"/>
              <w:rPr>
                <w:rFonts w:ascii="宋体" w:hAnsi="宋体"/>
                <w:b/>
                <w:szCs w:val="21"/>
              </w:rPr>
            </w:pPr>
            <w:r>
              <w:rPr>
                <w:rFonts w:hint="eastAsia" w:ascii="宋体" w:hAnsi="宋体"/>
                <w:b/>
                <w:szCs w:val="21"/>
              </w:rPr>
              <w:t>信息发布</w:t>
            </w:r>
          </w:p>
          <w:p>
            <w:pPr>
              <w:adjustRightInd w:val="0"/>
              <w:snapToGrid w:val="0"/>
              <w:spacing w:line="300" w:lineRule="auto"/>
              <w:jc w:val="center"/>
              <w:rPr>
                <w:rFonts w:ascii="宋体" w:hAnsi="宋体"/>
                <w:b/>
                <w:szCs w:val="21"/>
              </w:rPr>
            </w:pPr>
            <w:r>
              <w:rPr>
                <w:rFonts w:hint="eastAsia" w:ascii="宋体" w:hAnsi="宋体"/>
                <w:b/>
                <w:szCs w:val="21"/>
              </w:rPr>
              <w:t>指定媒体</w:t>
            </w:r>
          </w:p>
        </w:tc>
        <w:tc>
          <w:tcPr>
            <w:tcW w:w="7310" w:type="dxa"/>
            <w:vAlign w:val="center"/>
          </w:tcPr>
          <w:p>
            <w:pPr>
              <w:adjustRightInd w:val="0"/>
              <w:snapToGrid w:val="0"/>
              <w:spacing w:line="360" w:lineRule="auto"/>
              <w:rPr>
                <w:rFonts w:ascii="宋体" w:hAnsi="宋体"/>
                <w:szCs w:val="21"/>
              </w:rPr>
            </w:pPr>
            <w:r>
              <w:rPr>
                <w:rFonts w:hint="eastAsia" w:ascii="宋体" w:hAnsi="宋体"/>
                <w:szCs w:val="21"/>
              </w:rPr>
              <w:t>长沙市轨道交通集团有限公司</w:t>
            </w:r>
            <w:r>
              <w:fldChar w:fldCharType="begin"/>
            </w:r>
            <w:r>
              <w:instrText xml:space="preserve"> HYPERLINK "http://www.hncsmtr.com/" </w:instrText>
            </w:r>
            <w:r>
              <w:fldChar w:fldCharType="separate"/>
            </w:r>
            <w:r>
              <w:rPr>
                <w:rStyle w:val="55"/>
                <w:rFonts w:ascii="宋体" w:hAnsi="宋体"/>
                <w:szCs w:val="21"/>
              </w:rPr>
              <w:t>http://www.hncsmtr.com/</w:t>
            </w:r>
            <w:r>
              <w:rPr>
                <w:rStyle w:val="55"/>
                <w:rFonts w:ascii="宋体" w:hAnsi="宋体"/>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00" w:lineRule="auto"/>
              <w:jc w:val="center"/>
              <w:rPr>
                <w:rFonts w:ascii="宋体" w:hAnsi="宋体"/>
                <w:b/>
                <w:szCs w:val="21"/>
              </w:rPr>
            </w:pPr>
            <w:r>
              <w:rPr>
                <w:rFonts w:hint="eastAsia" w:ascii="宋体" w:hAnsi="宋体"/>
                <w:b/>
                <w:szCs w:val="21"/>
              </w:rPr>
              <w:t>采购代理</w:t>
            </w:r>
            <w:r>
              <w:rPr>
                <w:rFonts w:ascii="宋体" w:hAnsi="宋体"/>
                <w:b/>
                <w:szCs w:val="21"/>
              </w:rPr>
              <w:t>服务费</w:t>
            </w:r>
          </w:p>
        </w:tc>
        <w:tc>
          <w:tcPr>
            <w:tcW w:w="7310" w:type="dxa"/>
            <w:vAlign w:val="center"/>
          </w:tcPr>
          <w:p>
            <w:pPr>
              <w:adjustRightInd w:val="0"/>
              <w:snapToGrid w:val="0"/>
              <w:spacing w:line="360" w:lineRule="auto"/>
              <w:rPr>
                <w:rFonts w:ascii="宋体" w:hAnsi="宋体"/>
                <w:szCs w:val="21"/>
              </w:rPr>
            </w:pPr>
            <w:r>
              <w:rPr>
                <w:rFonts w:hint="eastAsia" w:ascii="宋体" w:hAnsi="宋体"/>
                <w:szCs w:val="21"/>
              </w:rPr>
              <w:t>本项目采购代理服务费以</w:t>
            </w:r>
            <w:r>
              <w:rPr>
                <w:rFonts w:ascii="宋体" w:hAnsi="宋体"/>
                <w:szCs w:val="21"/>
              </w:rPr>
              <w:t>中选价为基数</w:t>
            </w:r>
            <w:r>
              <w:rPr>
                <w:rFonts w:hint="eastAsia" w:ascii="宋体" w:hAnsi="宋体"/>
                <w:szCs w:val="21"/>
              </w:rPr>
              <w:t>，</w:t>
            </w:r>
            <w:r>
              <w:rPr>
                <w:rFonts w:ascii="宋体" w:hAnsi="宋体"/>
                <w:szCs w:val="21"/>
              </w:rPr>
              <w:t>按《</w:t>
            </w:r>
            <w:r>
              <w:rPr>
                <w:rFonts w:hint="eastAsia" w:ascii="宋体" w:hAnsi="宋体"/>
                <w:szCs w:val="21"/>
              </w:rPr>
              <w:t>招标</w:t>
            </w:r>
            <w:r>
              <w:rPr>
                <w:rFonts w:ascii="宋体" w:hAnsi="宋体"/>
                <w:szCs w:val="21"/>
              </w:rPr>
              <w:t>代理</w:t>
            </w:r>
            <w:r>
              <w:rPr>
                <w:rFonts w:hint="eastAsia" w:ascii="宋体" w:hAnsi="宋体"/>
                <w:szCs w:val="21"/>
              </w:rPr>
              <w:t>服务收费汇率</w:t>
            </w:r>
            <w:r>
              <w:rPr>
                <w:rFonts w:ascii="宋体" w:hAnsi="宋体"/>
                <w:szCs w:val="21"/>
              </w:rPr>
              <w:t>表》</w:t>
            </w:r>
            <w:r>
              <w:rPr>
                <w:rFonts w:hint="eastAsia" w:ascii="宋体" w:hAnsi="宋体"/>
                <w:szCs w:val="21"/>
              </w:rPr>
              <w:t>(附件)计算，服务</w:t>
            </w:r>
            <w:r>
              <w:rPr>
                <w:rFonts w:ascii="宋体" w:hAnsi="宋体"/>
                <w:szCs w:val="21"/>
              </w:rPr>
              <w:t>费</w:t>
            </w:r>
            <w:r>
              <w:rPr>
                <w:rFonts w:hint="eastAsia" w:ascii="宋体" w:hAnsi="宋体"/>
                <w:szCs w:val="21"/>
              </w:rPr>
              <w:t>超过2万</w:t>
            </w:r>
            <w:r>
              <w:rPr>
                <w:rFonts w:ascii="宋体" w:hAnsi="宋体"/>
                <w:szCs w:val="21"/>
              </w:rPr>
              <w:t>元</w:t>
            </w:r>
            <w:r>
              <w:rPr>
                <w:rFonts w:hint="eastAsia" w:ascii="宋体" w:hAnsi="宋体"/>
                <w:szCs w:val="21"/>
              </w:rPr>
              <w:t>的</w:t>
            </w:r>
            <w:r>
              <w:rPr>
                <w:rFonts w:ascii="宋体" w:hAnsi="宋体"/>
                <w:szCs w:val="21"/>
              </w:rPr>
              <w:t>，按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w:t>
            </w:r>
            <w:r>
              <w:rPr>
                <w:rFonts w:hint="eastAsia" w:ascii="宋体" w:hAnsi="宋体"/>
                <w:szCs w:val="21"/>
              </w:rPr>
              <w:t>，</w:t>
            </w:r>
            <w:r>
              <w:rPr>
                <w:rFonts w:ascii="宋体" w:hAnsi="宋体"/>
                <w:szCs w:val="21"/>
              </w:rPr>
              <w:t>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r>
              <w:rPr>
                <w:rFonts w:hint="eastAsia" w:ascii="宋体" w:hAnsi="宋体"/>
                <w:szCs w:val="21"/>
              </w:rPr>
              <w:t>由中选</w:t>
            </w:r>
            <w:r>
              <w:rPr>
                <w:rFonts w:ascii="宋体" w:hAnsi="宋体"/>
                <w:szCs w:val="21"/>
              </w:rPr>
              <w:t>单位</w:t>
            </w:r>
            <w:r>
              <w:rPr>
                <w:rFonts w:hint="eastAsia" w:ascii="宋体" w:hAnsi="宋体"/>
                <w:szCs w:val="21"/>
              </w:rPr>
              <w:t>全额支付，中选</w:t>
            </w:r>
            <w:r>
              <w:rPr>
                <w:rFonts w:ascii="宋体" w:hAnsi="宋体"/>
                <w:szCs w:val="21"/>
              </w:rPr>
              <w:t>单位</w:t>
            </w:r>
            <w:r>
              <w:rPr>
                <w:rFonts w:hint="eastAsia" w:ascii="宋体" w:hAnsi="宋体"/>
                <w:szCs w:val="21"/>
              </w:rPr>
              <w:t>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jc w:val="center"/>
        </w:trPr>
        <w:tc>
          <w:tcPr>
            <w:tcW w:w="1864" w:type="dxa"/>
            <w:vAlign w:val="center"/>
          </w:tcPr>
          <w:p>
            <w:pPr>
              <w:spacing w:line="300" w:lineRule="auto"/>
              <w:jc w:val="center"/>
              <w:rPr>
                <w:rFonts w:ascii="宋体" w:hAnsi="宋体" w:cs="宋体"/>
                <w:b/>
                <w:color w:val="000000"/>
              </w:rPr>
            </w:pPr>
            <w:r>
              <w:rPr>
                <w:rFonts w:hint="eastAsia" w:ascii="宋体" w:hAnsi="宋体" w:cs="宋体"/>
                <w:b/>
                <w:color w:val="000000"/>
                <w:szCs w:val="21"/>
              </w:rPr>
              <w:t>履约担保</w:t>
            </w:r>
          </w:p>
        </w:tc>
        <w:tc>
          <w:tcPr>
            <w:tcW w:w="7310" w:type="dxa"/>
            <w:vAlign w:val="center"/>
          </w:tcPr>
          <w:p>
            <w:pPr>
              <w:adjustRightInd w:val="0"/>
              <w:snapToGrid w:val="0"/>
              <w:spacing w:line="360" w:lineRule="auto"/>
              <w:rPr>
                <w:rFonts w:ascii="宋体" w:hAnsi="宋体" w:cs="宋体"/>
                <w:color w:val="000000"/>
              </w:rPr>
            </w:pPr>
            <w:r>
              <w:rPr>
                <w:rFonts w:hint="eastAsia" w:ascii="宋体" w:hAnsi="宋体"/>
                <w:color w:val="000000"/>
                <w:szCs w:val="21"/>
              </w:rPr>
              <w:t>贰万元整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00" w:lineRule="auto"/>
              <w:jc w:val="center"/>
              <w:rPr>
                <w:rFonts w:ascii="宋体" w:hAnsi="宋体"/>
                <w:b/>
                <w:szCs w:val="21"/>
              </w:rPr>
            </w:pPr>
            <w:r>
              <w:rPr>
                <w:rFonts w:hint="eastAsia" w:ascii="宋体" w:hAnsi="宋体"/>
                <w:b/>
                <w:szCs w:val="21"/>
              </w:rPr>
              <w:t>其他规定</w:t>
            </w:r>
          </w:p>
        </w:tc>
        <w:tc>
          <w:tcPr>
            <w:tcW w:w="7310" w:type="dxa"/>
            <w:vAlign w:val="center"/>
          </w:tcPr>
          <w:p>
            <w:pPr>
              <w:adjustRightInd w:val="0"/>
              <w:snapToGrid w:val="0"/>
              <w:spacing w:line="360" w:lineRule="auto"/>
              <w:rPr>
                <w:rFonts w:ascii="宋体" w:hAnsi="宋体"/>
                <w:szCs w:val="21"/>
              </w:rPr>
            </w:pPr>
            <w:r>
              <w:rPr>
                <w:rFonts w:hint="eastAsia" w:ascii="宋体" w:hAnsi="宋体"/>
                <w:szCs w:val="21"/>
              </w:rPr>
              <w:t>（如有）</w:t>
            </w:r>
          </w:p>
        </w:tc>
      </w:tr>
    </w:tbl>
    <w:p>
      <w:pPr>
        <w:pStyle w:val="4"/>
        <w:keepNext w:val="0"/>
        <w:keepLines w:val="0"/>
        <w:jc w:val="center"/>
        <w:rPr>
          <w:rFonts w:ascii="黑体" w:hAnsi="黑体" w:eastAsia="黑体"/>
          <w:sz w:val="30"/>
          <w:szCs w:val="30"/>
        </w:rPr>
        <w:sectPr>
          <w:footerReference r:id="rId4" w:type="default"/>
          <w:pgSz w:w="11906" w:h="16838"/>
          <w:pgMar w:top="1440" w:right="1797" w:bottom="1440" w:left="1797" w:header="851" w:footer="851" w:gutter="0"/>
          <w:cols w:space="720" w:num="1"/>
          <w:docGrid w:linePitch="312" w:charSpace="0"/>
        </w:sectPr>
      </w:pPr>
    </w:p>
    <w:p>
      <w:pPr>
        <w:pStyle w:val="4"/>
        <w:keepNext w:val="0"/>
        <w:keepLines w:val="0"/>
        <w:jc w:val="center"/>
        <w:rPr>
          <w:rFonts w:ascii="宋体" w:hAnsi="宋体"/>
          <w:sz w:val="30"/>
          <w:szCs w:val="30"/>
        </w:rPr>
      </w:pPr>
      <w:bookmarkStart w:id="6" w:name="_Toc20753081"/>
      <w:bookmarkStart w:id="7" w:name="_Toc20753184"/>
      <w:r>
        <w:rPr>
          <w:rFonts w:hint="eastAsia" w:ascii="宋体" w:hAnsi="宋体"/>
          <w:sz w:val="30"/>
          <w:szCs w:val="30"/>
        </w:rPr>
        <w:t>谈判须知正文</w:t>
      </w:r>
      <w:bookmarkEnd w:id="6"/>
      <w:bookmarkEnd w:id="7"/>
    </w:p>
    <w:p>
      <w:pPr>
        <w:pStyle w:val="5"/>
        <w:keepNext w:val="0"/>
        <w:keepLines w:val="0"/>
        <w:spacing w:before="0" w:after="0" w:line="360" w:lineRule="auto"/>
        <w:rPr>
          <w:rFonts w:ascii="宋体" w:hAnsi="宋体"/>
          <w:sz w:val="21"/>
          <w:szCs w:val="21"/>
        </w:rPr>
      </w:pPr>
      <w:bookmarkStart w:id="8" w:name="_Toc20753082"/>
      <w:bookmarkStart w:id="9" w:name="_Toc20753185"/>
      <w:r>
        <w:rPr>
          <w:rFonts w:hint="eastAsia" w:ascii="宋体" w:hAnsi="宋体"/>
          <w:sz w:val="21"/>
          <w:szCs w:val="21"/>
        </w:rPr>
        <w:t>一、说明</w:t>
      </w:r>
      <w:bookmarkEnd w:id="8"/>
      <w:bookmarkEnd w:id="9"/>
    </w:p>
    <w:p>
      <w:pPr>
        <w:adjustRightInd w:val="0"/>
        <w:snapToGrid w:val="0"/>
        <w:spacing w:line="360" w:lineRule="auto"/>
        <w:ind w:firstLine="422" w:firstLineChars="200"/>
        <w:rPr>
          <w:rFonts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b/>
          <w:szCs w:val="21"/>
        </w:rPr>
      </w:pPr>
      <w:r>
        <w:rPr>
          <w:rFonts w:hint="eastAsia" w:ascii="宋体" w:hAnsi="宋体"/>
          <w:b/>
          <w:szCs w:val="21"/>
        </w:rPr>
        <w:t>2.本谈判文件的解释权属于长沙市轨道交通运营有限公司。</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3.定义</w:t>
      </w:r>
    </w:p>
    <w:p>
      <w:pPr>
        <w:adjustRightInd w:val="0"/>
        <w:snapToGrid w:val="0"/>
        <w:spacing w:line="360" w:lineRule="auto"/>
        <w:ind w:firstLine="420" w:firstLineChars="200"/>
        <w:rPr>
          <w:rFonts w:ascii="宋体" w:hAnsi="宋体"/>
          <w:b/>
          <w:szCs w:val="21"/>
        </w:rPr>
      </w:pPr>
      <w:r>
        <w:rPr>
          <w:rFonts w:hint="eastAsia" w:ascii="宋体" w:hAnsi="宋体"/>
          <w:szCs w:val="21"/>
        </w:rPr>
        <w:t>3.1“采购单位”是指依法进行采购的法人组织。本项目的采购单位名称见</w:t>
      </w:r>
      <w:r>
        <w:rPr>
          <w:rFonts w:hint="eastAsia" w:ascii="宋体" w:hAnsi="宋体"/>
          <w:b/>
          <w:szCs w:val="21"/>
        </w:rPr>
        <w:t>前附表</w:t>
      </w:r>
      <w:r>
        <w:rPr>
          <w:rFonts w:hint="eastAsia" w:ascii="宋体" w:hAnsi="宋体"/>
          <w:szCs w:val="21"/>
        </w:rPr>
        <w:t>。</w:t>
      </w:r>
    </w:p>
    <w:p>
      <w:pPr>
        <w:adjustRightInd w:val="0"/>
        <w:snapToGrid w:val="0"/>
        <w:spacing w:line="360" w:lineRule="auto"/>
        <w:ind w:firstLine="420" w:firstLineChars="200"/>
        <w:rPr>
          <w:rFonts w:hAnsi="宋体"/>
        </w:rPr>
      </w:pPr>
      <w:r>
        <w:rPr>
          <w:rFonts w:hint="eastAsia" w:ascii="宋体" w:hAnsi="宋体"/>
          <w:szCs w:val="21"/>
        </w:rPr>
        <w:t>3.2“谈判单位”是指响应本谈判文件要求、参加谈判的法人组织。</w:t>
      </w:r>
    </w:p>
    <w:p>
      <w:pPr>
        <w:adjustRightInd w:val="0"/>
        <w:snapToGrid w:val="0"/>
        <w:spacing w:line="360" w:lineRule="auto"/>
        <w:ind w:firstLine="420" w:firstLineChars="200"/>
        <w:rPr>
          <w:rFonts w:ascii="宋体" w:hAnsi="宋体"/>
          <w:szCs w:val="21"/>
        </w:rPr>
      </w:pPr>
      <w:r>
        <w:rPr>
          <w:rFonts w:hint="eastAsia" w:ascii="宋体" w:hAnsi="宋体"/>
          <w:szCs w:val="21"/>
        </w:rPr>
        <w:t>3.3“采购代理机构”是指接受采购人委托，代理采购项目的机构。本采购项目的采购代理机构名称见</w:t>
      </w:r>
      <w:r>
        <w:rPr>
          <w:rFonts w:hint="eastAsia" w:ascii="宋体" w:hAnsi="宋体"/>
          <w:b/>
          <w:bCs/>
          <w:szCs w:val="21"/>
        </w:rPr>
        <w:t>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3.4“谈判</w:t>
      </w:r>
      <w:r>
        <w:rPr>
          <w:rFonts w:hint="eastAsia" w:ascii="宋体" w:hAnsi="宋体"/>
          <w:b/>
          <w:bCs/>
          <w:szCs w:val="21"/>
        </w:rPr>
        <w:t>评审</w:t>
      </w:r>
      <w:r>
        <w:rPr>
          <w:rFonts w:hint="eastAsia" w:ascii="宋体" w:hAnsi="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4.谈判单位资格要求</w:t>
      </w:r>
    </w:p>
    <w:p>
      <w:pPr>
        <w:adjustRightInd w:val="0"/>
        <w:snapToGrid w:val="0"/>
        <w:spacing w:line="360" w:lineRule="auto"/>
        <w:ind w:firstLine="420" w:firstLineChars="200"/>
        <w:rPr>
          <w:rFonts w:ascii="宋体" w:hAnsi="宋体"/>
          <w:szCs w:val="21"/>
        </w:rPr>
      </w:pPr>
      <w:r>
        <w:rPr>
          <w:rFonts w:hint="eastAsia" w:ascii="宋体" w:hAnsi="宋体"/>
          <w:szCs w:val="21"/>
        </w:rPr>
        <w:t>4.1参与谈判的单位应当符合</w:t>
      </w:r>
      <w:r>
        <w:rPr>
          <w:rFonts w:hint="eastAsia" w:ascii="宋体" w:hAnsi="宋体"/>
          <w:b/>
          <w:szCs w:val="21"/>
        </w:rPr>
        <w:t>前附表</w:t>
      </w:r>
      <w:r>
        <w:rPr>
          <w:rFonts w:hint="eastAsia" w:ascii="宋体" w:hAnsi="宋体"/>
          <w:szCs w:val="21"/>
        </w:rPr>
        <w:t>中规定的资格要求；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4.2</w:t>
      </w:r>
      <w:r>
        <w:rPr>
          <w:rFonts w:hint="eastAsia" w:hAnsi="宋体"/>
          <w:szCs w:val="21"/>
        </w:rPr>
        <w:t>参与谈判的单位</w:t>
      </w:r>
      <w:r>
        <w:rPr>
          <w:rFonts w:hAnsi="宋体"/>
          <w:szCs w:val="21"/>
        </w:rPr>
        <w:t>存在下列情形之一</w:t>
      </w:r>
      <w:r>
        <w:rPr>
          <w:rFonts w:hint="eastAsia" w:hAnsi="宋体"/>
          <w:szCs w:val="21"/>
        </w:rPr>
        <w:t>的，其</w:t>
      </w:r>
      <w:r>
        <w:rPr>
          <w:rFonts w:hint="eastAsia" w:hAnsi="宋体"/>
          <w:bCs/>
          <w:szCs w:val="21"/>
        </w:rPr>
        <w:t>谈判</w:t>
      </w:r>
      <w:r>
        <w:rPr>
          <w:rFonts w:hAnsi="宋体"/>
          <w:szCs w:val="21"/>
        </w:rPr>
        <w:t>将被</w:t>
      </w:r>
      <w:r>
        <w:rPr>
          <w:rFonts w:hAnsi="宋体"/>
          <w:b/>
          <w:bCs/>
          <w:szCs w:val="21"/>
        </w:rPr>
        <w:t>否决</w:t>
      </w:r>
      <w:r>
        <w:rPr>
          <w:rFonts w:hAnsi="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5.参与谈判的费用</w:t>
      </w:r>
    </w:p>
    <w:p>
      <w:pPr>
        <w:adjustRightInd w:val="0"/>
        <w:snapToGrid w:val="0"/>
        <w:spacing w:line="360" w:lineRule="auto"/>
        <w:ind w:firstLine="420" w:firstLineChars="200"/>
        <w:rPr>
          <w:rFonts w:ascii="宋体" w:hAnsi="宋体"/>
          <w:szCs w:val="21"/>
        </w:rPr>
      </w:pPr>
      <w:r>
        <w:rPr>
          <w:rFonts w:hint="eastAsia" w:ascii="宋体" w:hAnsi="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5.2</w:t>
      </w:r>
      <w:r>
        <w:rPr>
          <w:rFonts w:hint="eastAsia" w:ascii="宋体" w:hAnsi="宋体" w:cs="宋体"/>
          <w:szCs w:val="21"/>
        </w:rPr>
        <w:t>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b/>
          <w:bCs/>
        </w:rPr>
      </w:pPr>
      <w:r>
        <w:rPr>
          <w:rFonts w:hint="eastAsia" w:hAnsi="宋体"/>
          <w:b/>
        </w:rPr>
        <w:t>6．</w:t>
      </w:r>
      <w:r>
        <w:rPr>
          <w:rFonts w:hint="eastAsia" w:hAnsi="宋体"/>
          <w:b/>
          <w:bCs/>
        </w:rPr>
        <w:t>谈判单位代表</w:t>
      </w:r>
    </w:p>
    <w:p>
      <w:pPr>
        <w:pStyle w:val="25"/>
        <w:adjustRightInd w:val="0"/>
        <w:snapToGrid w:val="0"/>
        <w:spacing w:line="360" w:lineRule="auto"/>
        <w:ind w:firstLine="420" w:firstLineChars="200"/>
        <w:rPr>
          <w:rFonts w:hAnsi="宋体"/>
        </w:rPr>
      </w:pPr>
      <w:r>
        <w:rPr>
          <w:rFonts w:hint="eastAsia" w:hAnsi="宋体"/>
        </w:rPr>
        <w:t>6.1谈判单位代表为谈判单位法定代表人的：应提供法定代表人身份证明书</w:t>
      </w:r>
      <w:r>
        <w:rPr>
          <w:rFonts w:hint="eastAsia" w:hAnsi="宋体"/>
          <w:b/>
          <w:bCs/>
        </w:rPr>
        <w:t>（见第六章响应文件格式）</w:t>
      </w:r>
      <w:r>
        <w:rPr>
          <w:rFonts w:hint="eastAsia" w:hAnsi="宋体"/>
        </w:rPr>
        <w:t>原件及本人身份证原件。</w:t>
      </w:r>
    </w:p>
    <w:p>
      <w:pPr>
        <w:pStyle w:val="25"/>
        <w:adjustRightInd w:val="0"/>
        <w:snapToGrid w:val="0"/>
        <w:spacing w:line="360" w:lineRule="auto"/>
        <w:ind w:firstLine="420" w:firstLineChars="200"/>
        <w:rPr>
          <w:rFonts w:ascii="黑体" w:hAnsi="宋体" w:eastAsia="黑体"/>
          <w:b/>
          <w:strike/>
          <w:sz w:val="24"/>
        </w:rPr>
      </w:pPr>
      <w:r>
        <w:rPr>
          <w:rFonts w:hint="eastAsia" w:hAnsi="宋体"/>
        </w:rPr>
        <w:t>6.2谈判单位代表不是谈判单位法定代表人的：应提供授权委托书</w:t>
      </w:r>
      <w:r>
        <w:rPr>
          <w:rFonts w:hint="eastAsia" w:hAnsi="宋体"/>
          <w:b/>
          <w:bCs/>
        </w:rPr>
        <w:t>（见第六章响应文件格式）</w:t>
      </w:r>
      <w:r>
        <w:rPr>
          <w:rFonts w:hint="eastAsia" w:hAnsi="宋体"/>
        </w:rPr>
        <w:t>原件及本人身份证原件。</w:t>
      </w:r>
    </w:p>
    <w:p>
      <w:pPr>
        <w:pStyle w:val="5"/>
        <w:keepNext w:val="0"/>
        <w:keepLines w:val="0"/>
        <w:spacing w:before="0" w:after="0" w:line="360" w:lineRule="auto"/>
        <w:rPr>
          <w:rFonts w:ascii="宋体" w:hAnsi="宋体"/>
          <w:sz w:val="21"/>
          <w:szCs w:val="21"/>
        </w:rPr>
      </w:pPr>
      <w:bookmarkStart w:id="10" w:name="_Toc20753083"/>
      <w:bookmarkStart w:id="11" w:name="_Toc20753186"/>
      <w:r>
        <w:rPr>
          <w:rFonts w:hint="eastAsia" w:ascii="宋体" w:hAnsi="宋体"/>
          <w:sz w:val="21"/>
          <w:szCs w:val="21"/>
        </w:rPr>
        <w:t>二、谈判文件</w:t>
      </w:r>
      <w:bookmarkEnd w:id="10"/>
      <w:bookmarkEnd w:id="11"/>
    </w:p>
    <w:p>
      <w:pPr>
        <w:adjustRightInd w:val="0"/>
        <w:snapToGrid w:val="0"/>
        <w:spacing w:line="360" w:lineRule="auto"/>
        <w:ind w:firstLine="422" w:firstLineChars="200"/>
        <w:rPr>
          <w:rFonts w:ascii="宋体" w:hAnsi="宋体"/>
          <w:b/>
          <w:bCs/>
          <w:szCs w:val="21"/>
        </w:rPr>
      </w:pPr>
      <w:r>
        <w:rPr>
          <w:rFonts w:hint="eastAsia" w:ascii="宋体" w:hAnsi="宋体"/>
          <w:b/>
          <w:bCs/>
          <w:szCs w:val="21"/>
        </w:rPr>
        <w:t>7．谈判文件的组成</w:t>
      </w:r>
    </w:p>
    <w:p>
      <w:pPr>
        <w:pStyle w:val="25"/>
        <w:adjustRightInd w:val="0"/>
        <w:snapToGrid w:val="0"/>
        <w:spacing w:line="360" w:lineRule="auto"/>
        <w:ind w:firstLine="420" w:firstLineChars="200"/>
        <w:rPr>
          <w:rFonts w:hAnsi="宋体"/>
        </w:rPr>
      </w:pPr>
      <w:r>
        <w:rPr>
          <w:rFonts w:hint="eastAsia" w:hAnsi="宋体"/>
        </w:rPr>
        <w:t>7.1谈判文件由下列文件组成：</w:t>
      </w:r>
    </w:p>
    <w:p>
      <w:pPr>
        <w:pStyle w:val="25"/>
        <w:adjustRightInd w:val="0"/>
        <w:snapToGrid w:val="0"/>
        <w:spacing w:line="360" w:lineRule="auto"/>
        <w:ind w:firstLine="420" w:firstLineChars="200"/>
        <w:rPr>
          <w:rFonts w:hAnsi="宋体"/>
        </w:rPr>
      </w:pPr>
      <w:r>
        <w:rPr>
          <w:rFonts w:hint="eastAsia" w:hAnsi="宋体"/>
        </w:rPr>
        <w:t>第一章 谈判邀请公告</w:t>
      </w:r>
    </w:p>
    <w:p>
      <w:pPr>
        <w:pStyle w:val="25"/>
        <w:adjustRightInd w:val="0"/>
        <w:snapToGrid w:val="0"/>
        <w:spacing w:line="360" w:lineRule="auto"/>
        <w:ind w:firstLine="420" w:firstLineChars="200"/>
        <w:rPr>
          <w:rFonts w:hAnsi="宋体"/>
        </w:rPr>
      </w:pPr>
      <w:r>
        <w:rPr>
          <w:rFonts w:hint="eastAsia" w:hAnsi="宋体"/>
        </w:rPr>
        <w:t>第二章 谈判须知</w:t>
      </w:r>
    </w:p>
    <w:p>
      <w:pPr>
        <w:pStyle w:val="25"/>
        <w:adjustRightInd w:val="0"/>
        <w:snapToGrid w:val="0"/>
        <w:spacing w:line="360" w:lineRule="auto"/>
        <w:ind w:firstLine="420" w:firstLineChars="200"/>
        <w:rPr>
          <w:rFonts w:hAnsi="宋体"/>
        </w:rPr>
      </w:pPr>
      <w:r>
        <w:rPr>
          <w:rFonts w:hint="eastAsia" w:hAnsi="宋体"/>
        </w:rPr>
        <w:t>第三章 评审办法及标准</w:t>
      </w:r>
    </w:p>
    <w:p>
      <w:pPr>
        <w:pStyle w:val="25"/>
        <w:adjustRightInd w:val="0"/>
        <w:snapToGrid w:val="0"/>
        <w:spacing w:line="360" w:lineRule="auto"/>
        <w:ind w:firstLine="420" w:firstLineChars="200"/>
        <w:rPr>
          <w:rFonts w:hAnsi="宋体"/>
        </w:rPr>
      </w:pPr>
      <w:r>
        <w:rPr>
          <w:rFonts w:hint="eastAsia" w:hAnsi="宋体"/>
        </w:rPr>
        <w:t>第四章 用户需求书</w:t>
      </w:r>
    </w:p>
    <w:p>
      <w:pPr>
        <w:pStyle w:val="25"/>
        <w:adjustRightInd w:val="0"/>
        <w:snapToGrid w:val="0"/>
        <w:spacing w:line="360" w:lineRule="auto"/>
        <w:ind w:firstLine="420" w:firstLineChars="200"/>
        <w:rPr>
          <w:rFonts w:hAnsi="宋体"/>
        </w:rPr>
      </w:pPr>
      <w:r>
        <w:rPr>
          <w:rFonts w:hint="eastAsia" w:hAnsi="宋体"/>
        </w:rPr>
        <w:t>第五章 合同格式条款</w:t>
      </w:r>
    </w:p>
    <w:p>
      <w:pPr>
        <w:pStyle w:val="25"/>
        <w:adjustRightInd w:val="0"/>
        <w:snapToGrid w:val="0"/>
        <w:spacing w:line="360" w:lineRule="auto"/>
        <w:ind w:firstLine="420" w:firstLineChars="200"/>
        <w:rPr>
          <w:rFonts w:hAnsi="宋体"/>
        </w:rPr>
      </w:pPr>
      <w:r>
        <w:rPr>
          <w:rFonts w:hint="eastAsia" w:hAnsi="宋体"/>
        </w:rPr>
        <w:t>第六章 响应文件组成</w:t>
      </w:r>
    </w:p>
    <w:p>
      <w:pPr>
        <w:pStyle w:val="25"/>
        <w:adjustRightInd w:val="0"/>
        <w:snapToGrid w:val="0"/>
        <w:spacing w:line="360" w:lineRule="auto"/>
        <w:ind w:firstLine="420" w:firstLineChars="200"/>
      </w:pPr>
      <w:r>
        <w:rPr>
          <w:rFonts w:hint="eastAsia"/>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szCs w:val="21"/>
        </w:rPr>
      </w:pPr>
      <w:r>
        <w:rPr>
          <w:rFonts w:hint="eastAsia" w:ascii="宋体" w:hAnsi="宋体"/>
        </w:rPr>
        <w:t>7.3</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adjustRightInd w:val="0"/>
        <w:snapToGrid w:val="0"/>
        <w:spacing w:line="360" w:lineRule="auto"/>
        <w:ind w:firstLine="422" w:firstLineChars="200"/>
        <w:rPr>
          <w:rFonts w:cs="宋体"/>
          <w:b/>
          <w:kern w:val="0"/>
        </w:rPr>
      </w:pPr>
      <w:r>
        <w:rPr>
          <w:rFonts w:hint="eastAsia" w:ascii="宋体" w:hAnsi="宋体"/>
          <w:b/>
          <w:bCs/>
          <w:szCs w:val="21"/>
        </w:rPr>
        <w:t>8.</w:t>
      </w:r>
      <w:r>
        <w:rPr>
          <w:rFonts w:hint="eastAsia" w:cs="宋体"/>
          <w:b/>
          <w:kern w:val="0"/>
        </w:rPr>
        <w:t>谈判文件的澄清及答疑</w:t>
      </w:r>
    </w:p>
    <w:p>
      <w:pPr>
        <w:spacing w:line="360" w:lineRule="auto"/>
        <w:ind w:firstLine="420" w:firstLineChars="200"/>
        <w:rPr>
          <w:rFonts w:ascii="宋体" w:hAnsi="宋体" w:cs="Courier New"/>
          <w:iCs/>
          <w:szCs w:val="21"/>
        </w:rPr>
      </w:pPr>
      <w:r>
        <w:rPr>
          <w:rFonts w:hint="eastAsia" w:ascii="宋体" w:hAnsi="宋体" w:cs="Courier New"/>
          <w:iCs/>
          <w:szCs w:val="21"/>
        </w:rPr>
        <w:t>8.1.谈判单位应仔细阅读和检查谈判文件的全部内容，如有疑问，</w:t>
      </w:r>
      <w:r>
        <w:rPr>
          <w:rFonts w:hint="eastAsia" w:ascii="宋体" w:hAnsi="宋体"/>
          <w:szCs w:val="21"/>
        </w:rPr>
        <w:t>应按</w:t>
      </w:r>
      <w:r>
        <w:rPr>
          <w:rFonts w:hint="eastAsia" w:ascii="宋体" w:hAnsi="宋体"/>
          <w:b/>
          <w:bCs/>
          <w:szCs w:val="21"/>
        </w:rPr>
        <w:t>前附表</w:t>
      </w:r>
      <w:r>
        <w:rPr>
          <w:rFonts w:hint="eastAsia" w:ascii="宋体" w:hAnsi="宋体"/>
          <w:szCs w:val="21"/>
        </w:rPr>
        <w:t>规定的时间、方式及地点</w:t>
      </w:r>
      <w:r>
        <w:rPr>
          <w:rFonts w:hint="eastAsia" w:ascii="宋体" w:hAnsi="宋体" w:cs="Courier New"/>
          <w:iCs/>
          <w:szCs w:val="21"/>
        </w:rPr>
        <w:t>向采购代理机构提出，</w:t>
      </w:r>
      <w:r>
        <w:rPr>
          <w:rFonts w:hint="eastAsia" w:ascii="宋体" w:hAnsi="宋体"/>
          <w:szCs w:val="21"/>
        </w:rPr>
        <w:t>否则，由此引起的损失由谈判单位自己承担。</w:t>
      </w:r>
    </w:p>
    <w:p>
      <w:pPr>
        <w:spacing w:line="360" w:lineRule="auto"/>
        <w:ind w:firstLine="420" w:firstLineChars="200"/>
        <w:rPr>
          <w:rFonts w:ascii="宋体" w:hAnsi="宋体" w:cs="Courier New"/>
          <w:iCs/>
          <w:szCs w:val="21"/>
        </w:rPr>
      </w:pPr>
      <w:r>
        <w:rPr>
          <w:rFonts w:hint="eastAsia" w:ascii="宋体" w:hAnsi="宋体" w:cs="Courier New"/>
          <w:iCs/>
          <w:szCs w:val="21"/>
        </w:rPr>
        <w:t>8.2.在谈判截止时间前，采购单位或采购代理机构可主动地或在解答谈判单位提出的问题时对谈判文件进行澄清或修改。</w:t>
      </w:r>
    </w:p>
    <w:p>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hAnsi="宋体" w:cs="宋体"/>
          <w:kern w:val="0"/>
        </w:rPr>
        <w:t>在长沙市轨道交通集团有限公司官网</w:t>
      </w:r>
      <w:r>
        <w:rPr>
          <w:rFonts w:hint="eastAsia" w:ascii="宋体" w:hAnsi="宋体" w:cs="宋体"/>
          <w:kern w:val="0"/>
        </w:rPr>
        <w:t>（http://www.hncsmtr.com/）</w:t>
      </w:r>
      <w:r>
        <w:rPr>
          <w:rFonts w:hint="eastAsia" w:hAnsi="宋体" w:cs="宋体"/>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b/>
        </w:rPr>
      </w:pPr>
      <w:r>
        <w:rPr>
          <w:rFonts w:hint="eastAsia" w:ascii="宋体" w:hAnsi="宋体"/>
          <w:b/>
          <w:bCs/>
          <w:szCs w:val="21"/>
        </w:rPr>
        <w:t>9.</w:t>
      </w:r>
      <w:r>
        <w:rPr>
          <w:rFonts w:hint="eastAsia" w:cs="宋体"/>
          <w:b/>
          <w:kern w:val="0"/>
        </w:rPr>
        <w:t>响应文件递交截止时间、谈判会议时间及地点</w:t>
      </w:r>
    </w:p>
    <w:p>
      <w:pPr>
        <w:pStyle w:val="25"/>
        <w:adjustRightInd w:val="0"/>
        <w:snapToGrid w:val="0"/>
        <w:spacing w:line="360" w:lineRule="auto"/>
        <w:ind w:firstLine="420" w:firstLineChars="200"/>
        <w:rPr>
          <w:rFonts w:hAnsi="宋体"/>
        </w:rPr>
      </w:pPr>
      <w:r>
        <w:rPr>
          <w:rFonts w:hint="eastAsia" w:hAnsi="宋体"/>
        </w:rPr>
        <w:t>9.1</w:t>
      </w:r>
      <w:r>
        <w:rPr>
          <w:rFonts w:hint="eastAsia" w:hAnsi="宋体" w:cs="宋体"/>
          <w:kern w:val="0"/>
        </w:rPr>
        <w:t>谈判单位递交响应文件截止时间、谈判会议</w:t>
      </w:r>
      <w:r>
        <w:rPr>
          <w:rFonts w:hint="eastAsia" w:hAnsi="宋体"/>
        </w:rPr>
        <w:t>时间及地点见</w:t>
      </w:r>
      <w:r>
        <w:rPr>
          <w:rFonts w:hint="eastAsia" w:hAnsi="宋体"/>
          <w:b/>
        </w:rPr>
        <w:t>前附表</w:t>
      </w:r>
      <w:r>
        <w:rPr>
          <w:rFonts w:hint="eastAsia" w:hAnsi="宋体"/>
        </w:rPr>
        <w:t>。</w:t>
      </w:r>
    </w:p>
    <w:p>
      <w:pPr>
        <w:pStyle w:val="5"/>
        <w:keepNext w:val="0"/>
        <w:keepLines w:val="0"/>
        <w:spacing w:before="0" w:after="0" w:line="360" w:lineRule="auto"/>
        <w:ind w:firstLine="422" w:firstLineChars="200"/>
        <w:rPr>
          <w:rFonts w:ascii="宋体" w:hAnsi="宋体"/>
          <w:sz w:val="21"/>
          <w:szCs w:val="21"/>
        </w:rPr>
      </w:pPr>
      <w:bookmarkStart w:id="12" w:name="_Toc20753084"/>
      <w:bookmarkStart w:id="13" w:name="_Toc20753187"/>
      <w:r>
        <w:rPr>
          <w:rFonts w:hint="eastAsia" w:ascii="宋体" w:hAnsi="宋体"/>
          <w:sz w:val="21"/>
          <w:szCs w:val="21"/>
        </w:rPr>
        <w:t>三、响应文件</w:t>
      </w:r>
      <w:bookmarkEnd w:id="12"/>
      <w:bookmarkEnd w:id="13"/>
    </w:p>
    <w:p>
      <w:pPr>
        <w:adjustRightInd w:val="0"/>
        <w:snapToGrid w:val="0"/>
        <w:spacing w:line="360" w:lineRule="auto"/>
        <w:ind w:firstLine="422" w:firstLineChars="200"/>
        <w:rPr>
          <w:rFonts w:ascii="宋体" w:hAnsi="宋体"/>
          <w:b/>
          <w:bCs/>
          <w:szCs w:val="21"/>
        </w:rPr>
      </w:pPr>
      <w:r>
        <w:rPr>
          <w:rFonts w:hint="eastAsia" w:ascii="宋体" w:hAnsi="宋体"/>
          <w:b/>
          <w:bCs/>
          <w:szCs w:val="21"/>
        </w:rPr>
        <w:t>10.一般要求</w:t>
      </w:r>
    </w:p>
    <w:p>
      <w:pPr>
        <w:adjustRightInd w:val="0"/>
        <w:snapToGrid w:val="0"/>
        <w:spacing w:line="360" w:lineRule="auto"/>
        <w:ind w:firstLine="420" w:firstLineChars="200"/>
        <w:rPr>
          <w:rFonts w:ascii="宋体" w:hAnsi="宋体"/>
          <w:bCs/>
          <w:szCs w:val="21"/>
        </w:rPr>
      </w:pPr>
      <w:r>
        <w:rPr>
          <w:rFonts w:hint="eastAsia" w:ascii="宋体" w:hAnsi="宋体"/>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宋体" w:hAnsi="宋体"/>
          <w:bCs/>
          <w:szCs w:val="21"/>
        </w:rPr>
      </w:pPr>
      <w:r>
        <w:rPr>
          <w:rFonts w:hint="eastAsia" w:ascii="宋体" w:hAnsi="宋体"/>
          <w:bCs/>
          <w:szCs w:val="21"/>
        </w:rPr>
        <w:t>10.2</w:t>
      </w:r>
      <w:r>
        <w:rPr>
          <w:rFonts w:hint="eastAsia" w:ascii="宋体" w:hAnsi="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rPr>
      </w:pPr>
      <w:r>
        <w:rPr>
          <w:rFonts w:hint="eastAsia" w:hAnsi="宋体"/>
          <w:bCs/>
        </w:rPr>
        <w:t>10.3</w:t>
      </w:r>
      <w:r>
        <w:rPr>
          <w:rFonts w:hint="eastAsia" w:hAnsi="宋体"/>
        </w:rPr>
        <w:t>计量单位应使用我国法定计量单位，未列明时应默认为我国法定计量单位。</w:t>
      </w:r>
    </w:p>
    <w:p>
      <w:pPr>
        <w:pStyle w:val="25"/>
        <w:adjustRightInd w:val="0"/>
        <w:snapToGrid w:val="0"/>
        <w:spacing w:line="360" w:lineRule="auto"/>
        <w:ind w:firstLine="420" w:firstLineChars="200"/>
        <w:rPr>
          <w:rFonts w:hAnsi="宋体"/>
        </w:rPr>
      </w:pPr>
      <w:r>
        <w:rPr>
          <w:rFonts w:hint="eastAsia" w:hAnsi="宋体"/>
        </w:rPr>
        <w:t>10.4响应文件应采用书面形式，电报、传真、电子邮件形式的响应文件概不接受。</w:t>
      </w:r>
    </w:p>
    <w:p>
      <w:pPr>
        <w:adjustRightInd w:val="0"/>
        <w:snapToGrid w:val="0"/>
        <w:spacing w:line="360" w:lineRule="auto"/>
        <w:ind w:firstLine="420" w:firstLineChars="200"/>
        <w:rPr>
          <w:rFonts w:ascii="宋体" w:hAnsi="宋体"/>
          <w:szCs w:val="21"/>
        </w:rPr>
      </w:pPr>
      <w:r>
        <w:rPr>
          <w:rFonts w:hint="eastAsia" w:ascii="宋体" w:hAnsi="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11.</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rPr>
          <w:rFonts w:ascii="宋体" w:hAnsi="宋体"/>
          <w:szCs w:val="21"/>
        </w:rPr>
      </w:pPr>
      <w:r>
        <w:rPr>
          <w:rFonts w:hint="eastAsia" w:ascii="宋体" w:hAnsi="宋体"/>
        </w:rPr>
        <w:t>11.1</w:t>
      </w:r>
      <w:r>
        <w:rPr>
          <w:rFonts w:hint="eastAsia" w:hAnsi="宋体"/>
        </w:rPr>
        <w:t>响应文件应包括下列内容：</w:t>
      </w:r>
    </w:p>
    <w:p>
      <w:pPr>
        <w:pStyle w:val="25"/>
        <w:adjustRightInd w:val="0"/>
        <w:snapToGrid w:val="0"/>
        <w:spacing w:line="360" w:lineRule="auto"/>
        <w:ind w:firstLine="420" w:firstLineChars="200"/>
        <w:rPr>
          <w:rFonts w:hAnsi="宋体"/>
        </w:rPr>
      </w:pPr>
      <w:r>
        <w:rPr>
          <w:rFonts w:hint="eastAsia" w:hAnsi="宋体"/>
        </w:rPr>
        <w:t>（1）谈判承诺书</w:t>
      </w:r>
    </w:p>
    <w:p>
      <w:pPr>
        <w:pStyle w:val="25"/>
        <w:adjustRightInd w:val="0"/>
        <w:snapToGrid w:val="0"/>
        <w:spacing w:line="360" w:lineRule="auto"/>
        <w:ind w:firstLine="420" w:firstLineChars="200"/>
        <w:rPr>
          <w:rFonts w:hAnsi="宋体"/>
        </w:rPr>
      </w:pPr>
      <w:r>
        <w:rPr>
          <w:rFonts w:hint="eastAsia" w:hAnsi="宋体"/>
        </w:rPr>
        <w:t>（2）法定代表人身份证明书</w:t>
      </w:r>
    </w:p>
    <w:p>
      <w:pPr>
        <w:pStyle w:val="25"/>
        <w:adjustRightInd w:val="0"/>
        <w:snapToGrid w:val="0"/>
        <w:spacing w:line="360" w:lineRule="auto"/>
        <w:ind w:firstLine="420" w:firstLineChars="200"/>
        <w:rPr>
          <w:rFonts w:hAnsi="宋体"/>
        </w:rPr>
      </w:pPr>
      <w:r>
        <w:rPr>
          <w:rFonts w:hint="eastAsia" w:hAnsi="宋体"/>
        </w:rPr>
        <w:t>（3）授权委托书</w:t>
      </w:r>
    </w:p>
    <w:p>
      <w:pPr>
        <w:pStyle w:val="25"/>
        <w:adjustRightInd w:val="0"/>
        <w:snapToGrid w:val="0"/>
        <w:spacing w:line="360" w:lineRule="auto"/>
        <w:ind w:firstLine="420" w:firstLineChars="200"/>
        <w:rPr>
          <w:rFonts w:hAnsi="宋体"/>
        </w:rPr>
      </w:pPr>
      <w:r>
        <w:rPr>
          <w:rFonts w:hint="eastAsia" w:hAnsi="宋体"/>
        </w:rPr>
        <w:t>（4）谈判单位资格证明文件</w:t>
      </w:r>
    </w:p>
    <w:p>
      <w:pPr>
        <w:pStyle w:val="25"/>
        <w:adjustRightInd w:val="0"/>
        <w:snapToGrid w:val="0"/>
        <w:spacing w:line="360" w:lineRule="auto"/>
        <w:ind w:firstLine="420" w:firstLineChars="200"/>
        <w:rPr>
          <w:rFonts w:hAnsi="宋体"/>
        </w:rPr>
      </w:pPr>
      <w:r>
        <w:rPr>
          <w:rFonts w:hint="eastAsia" w:hAnsi="宋体"/>
        </w:rPr>
        <w:t>（5）报价一览表</w:t>
      </w:r>
    </w:p>
    <w:p>
      <w:pPr>
        <w:pStyle w:val="25"/>
        <w:adjustRightInd w:val="0"/>
        <w:snapToGrid w:val="0"/>
        <w:spacing w:line="360" w:lineRule="auto"/>
        <w:ind w:firstLine="420" w:firstLineChars="200"/>
        <w:rPr>
          <w:rFonts w:hAnsi="宋体"/>
        </w:rPr>
      </w:pPr>
      <w:r>
        <w:rPr>
          <w:rFonts w:hint="eastAsia" w:hAnsi="宋体"/>
        </w:rPr>
        <w:t>（6）其他资料（如有）</w:t>
      </w:r>
    </w:p>
    <w:p>
      <w:pPr>
        <w:pStyle w:val="25"/>
        <w:adjustRightInd w:val="0"/>
        <w:snapToGrid w:val="0"/>
        <w:spacing w:line="360" w:lineRule="auto"/>
        <w:ind w:firstLine="420" w:firstLineChars="200"/>
        <w:rPr>
          <w:rFonts w:hAnsi="宋体"/>
        </w:rPr>
      </w:pPr>
      <w:r>
        <w:rPr>
          <w:rFonts w:hint="eastAsia" w:hAnsi="宋体"/>
        </w:rPr>
        <w:t>11.2在谈判过程中，谈判单位根据</w:t>
      </w:r>
      <w:r>
        <w:rPr>
          <w:rFonts w:hint="eastAsia" w:hAnsi="宋体" w:cs="宋体"/>
          <w:kern w:val="0"/>
        </w:rPr>
        <w:t>谈判评审小组</w:t>
      </w:r>
      <w:r>
        <w:rPr>
          <w:rFonts w:hint="eastAsia" w:hAnsi="宋体"/>
          <w:bCs/>
        </w:rPr>
        <w:t>要求</w:t>
      </w:r>
      <w:r>
        <w:rPr>
          <w:rFonts w:hint="eastAsia" w:hAnsi="宋体" w:cs="宋体"/>
          <w:kern w:val="0"/>
        </w:rPr>
        <w:t>提交的</w:t>
      </w:r>
      <w:r>
        <w:rPr>
          <w:rFonts w:hint="eastAsia" w:hAnsi="宋体"/>
        </w:rPr>
        <w:t>书面承诺或其他文件是响应文件的有效组成部分。</w:t>
      </w:r>
    </w:p>
    <w:p>
      <w:pPr>
        <w:adjustRightInd w:val="0"/>
        <w:snapToGrid w:val="0"/>
        <w:spacing w:line="360" w:lineRule="auto"/>
        <w:ind w:firstLine="420" w:firstLineChars="200"/>
        <w:rPr>
          <w:rFonts w:hAnsi="宋体"/>
        </w:rPr>
      </w:pPr>
      <w:r>
        <w:rPr>
          <w:rFonts w:hint="eastAsia" w:ascii="宋体" w:hAnsi="宋体"/>
        </w:rPr>
        <w:t>11.3</w:t>
      </w:r>
      <w:r>
        <w:rPr>
          <w:rFonts w:hint="eastAsia" w:ascii="宋体" w:hAnsi="宋体"/>
          <w:szCs w:val="21"/>
        </w:rPr>
        <w:t>谈判单位无论成交与否，其递交的响应文件均不予退还。</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12.报价要求</w:t>
      </w:r>
    </w:p>
    <w:p>
      <w:pPr>
        <w:adjustRightInd w:val="0"/>
        <w:snapToGrid w:val="0"/>
        <w:spacing w:line="360" w:lineRule="auto"/>
        <w:ind w:firstLine="420" w:firstLineChars="200"/>
        <w:rPr>
          <w:rFonts w:ascii="宋体" w:hAnsi="宋体"/>
        </w:rPr>
      </w:pPr>
      <w:r>
        <w:rPr>
          <w:rFonts w:hint="eastAsia" w:ascii="宋体" w:hAnsi="宋体"/>
        </w:rPr>
        <w:t>12.1谈判单位应按谈判文件的要求、责任范围和合同条件，以人民币报价，以元为单位，保留小数点后两位。</w:t>
      </w:r>
    </w:p>
    <w:p>
      <w:pPr>
        <w:adjustRightInd w:val="0"/>
        <w:snapToGrid w:val="0"/>
        <w:spacing w:line="360" w:lineRule="auto"/>
        <w:ind w:firstLine="420" w:firstLineChars="200"/>
        <w:rPr>
          <w:rFonts w:ascii="宋体" w:hAnsi="宋体" w:cs="宋体"/>
          <w:b/>
          <w:szCs w:val="21"/>
        </w:rPr>
      </w:pPr>
      <w:r>
        <w:rPr>
          <w:rFonts w:hint="eastAsia" w:ascii="宋体" w:hAnsi="宋体"/>
          <w:szCs w:val="21"/>
        </w:rPr>
        <w:t>12.2</w:t>
      </w:r>
      <w:r>
        <w:rPr>
          <w:rFonts w:hint="eastAsia" w:hAnsi="宋体"/>
          <w:szCs w:val="21"/>
        </w:rPr>
        <w:t>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仿宋_GB2312"/>
          <w:szCs w:val="21"/>
        </w:rPr>
      </w:pPr>
      <w:r>
        <w:rPr>
          <w:rFonts w:hint="eastAsia" w:ascii="宋体" w:hAnsi="宋体"/>
          <w:szCs w:val="21"/>
        </w:rPr>
        <w:t>12.</w:t>
      </w:r>
      <w:r>
        <w:rPr>
          <w:rFonts w:hint="eastAsia" w:ascii="宋体" w:hAnsi="宋体" w:cs="仿宋_GB2312"/>
          <w:szCs w:val="21"/>
        </w:rPr>
        <w:t>3</w:t>
      </w:r>
      <w:r>
        <w:rPr>
          <w:rFonts w:hint="eastAsia" w:hAnsi="宋体"/>
          <w:b/>
          <w:bCs/>
          <w:szCs w:val="21"/>
        </w:rPr>
        <w:t>本项目为资格入围定点项目，服务期限一年，维修费由招标方根据维修情况据实支付。因此在服务期内，当服务预算超支后，需立即终止合同。</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12.4维修费用包括工时费、维修材料费、维修材料管理费等履行合同标的全过程的所有成本和费用以及乙方应承担的一切税费。</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12.5针对事故车辆，经交警部门认定后属于保险赔付范围的，由承保保险公司按相关赔付标准予以赔付/支付，不属于保险赔付范围或者超出保险赔付额度的部分按本项目规定价格计算办法进行最终结算。</w:t>
      </w:r>
    </w:p>
    <w:p>
      <w:pPr>
        <w:adjustRightInd w:val="0"/>
        <w:snapToGrid w:val="0"/>
        <w:spacing w:line="360" w:lineRule="auto"/>
        <w:ind w:firstLine="420" w:firstLineChars="200"/>
        <w:rPr>
          <w:rFonts w:ascii="宋体" w:hAnsi="宋体"/>
          <w:szCs w:val="21"/>
        </w:rPr>
      </w:pPr>
      <w:r>
        <w:rPr>
          <w:rFonts w:hint="eastAsia" w:ascii="宋体" w:hAnsi="宋体"/>
          <w:szCs w:val="21"/>
        </w:rPr>
        <w:t>12.6本项目谈判</w:t>
      </w:r>
      <w:r>
        <w:rPr>
          <w:rFonts w:hint="eastAsia" w:ascii="宋体" w:hAnsi="宋体"/>
          <w:b/>
          <w:szCs w:val="21"/>
        </w:rPr>
        <w:t>预算</w:t>
      </w:r>
      <w:r>
        <w:rPr>
          <w:rFonts w:hint="eastAsia" w:hAnsi="宋体"/>
        </w:rPr>
        <w:t>见</w:t>
      </w:r>
      <w:r>
        <w:rPr>
          <w:rFonts w:hint="eastAsia" w:hAnsi="宋体"/>
          <w:b/>
        </w:rPr>
        <w:t>前附表</w:t>
      </w:r>
      <w:r>
        <w:rPr>
          <w:rFonts w:hint="eastAsia" w:hAnsi="宋体"/>
        </w:rPr>
        <w:t>。</w:t>
      </w:r>
    </w:p>
    <w:p>
      <w:pPr>
        <w:adjustRightInd w:val="0"/>
        <w:snapToGrid w:val="0"/>
        <w:spacing w:line="360" w:lineRule="auto"/>
        <w:ind w:firstLine="420" w:firstLineChars="200"/>
        <w:rPr>
          <w:rFonts w:ascii="宋体" w:hAnsi="宋体"/>
          <w:szCs w:val="21"/>
        </w:rPr>
      </w:pPr>
      <w:r>
        <w:rPr>
          <w:rFonts w:hint="eastAsia" w:ascii="宋体" w:hAnsi="宋体"/>
          <w:szCs w:val="21"/>
        </w:rPr>
        <w:t>12.7除合同另有约定外，谈判报价作为中选价及合同价在合同履行期间是固定不变的，不受政策、法规变化以及汇率浮动、物价指数浮动等因素的影响。中选人不得以任何理由予以变更。</w:t>
      </w:r>
      <w:r>
        <w:rPr>
          <w:rFonts w:hint="eastAsia" w:hAnsi="宋体"/>
        </w:rPr>
        <w:t>以可变动价格提交的报价将被认为是非实质响应而被拒绝。</w:t>
      </w:r>
    </w:p>
    <w:p>
      <w:pPr>
        <w:pStyle w:val="25"/>
        <w:adjustRightInd w:val="0"/>
        <w:snapToGrid w:val="0"/>
        <w:spacing w:line="360" w:lineRule="auto"/>
        <w:ind w:firstLine="420" w:firstLineChars="200"/>
        <w:rPr>
          <w:rFonts w:hAnsi="宋体"/>
        </w:rPr>
      </w:pPr>
      <w:r>
        <w:rPr>
          <w:rFonts w:hint="eastAsia" w:hAnsi="宋体"/>
        </w:rPr>
        <w:t>12.8谈判单位递交两份或多份内容不同的报价文件，或在一份报价文件中对同一项目报有两个或多个报价，且未声明哪一个有效的，将被认为是非实质响应而被拒绝。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olor w:val="FF0000"/>
          <w:szCs w:val="21"/>
        </w:rPr>
      </w:pPr>
      <w:r>
        <w:rPr>
          <w:rFonts w:hint="eastAsia" w:ascii="宋体" w:hAnsi="宋体"/>
          <w:bCs/>
          <w:szCs w:val="21"/>
        </w:rPr>
        <w:t>12.9最低报价不能作为中选的保证。</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13.</w:t>
      </w:r>
      <w:r>
        <w:rPr>
          <w:rFonts w:hint="eastAsia" w:hAnsi="宋体"/>
          <w:b/>
          <w:bCs/>
        </w:rPr>
        <w:t>响应文件</w:t>
      </w:r>
      <w:r>
        <w:rPr>
          <w:rFonts w:hint="eastAsia" w:ascii="宋体" w:hAnsi="宋体"/>
          <w:b/>
          <w:bCs/>
          <w:szCs w:val="21"/>
        </w:rPr>
        <w:t>有效期</w:t>
      </w:r>
    </w:p>
    <w:p>
      <w:pPr>
        <w:adjustRightInd w:val="0"/>
        <w:snapToGrid w:val="0"/>
        <w:spacing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14.响应文件的编制</w:t>
      </w:r>
    </w:p>
    <w:p>
      <w:pPr>
        <w:pStyle w:val="356"/>
        <w:ind w:firstLine="420" w:firstLineChars="200"/>
        <w:jc w:val="both"/>
        <w:rPr>
          <w:rFonts w:hAnsi="宋体"/>
          <w:sz w:val="21"/>
          <w:szCs w:val="21"/>
        </w:rPr>
      </w:pPr>
      <w:r>
        <w:rPr>
          <w:rFonts w:hint="eastAsia" w:hAnsi="宋体"/>
          <w:sz w:val="21"/>
          <w:szCs w:val="21"/>
        </w:rPr>
        <w:t>14</w:t>
      </w:r>
      <w:r>
        <w:rPr>
          <w:rFonts w:hAnsi="宋体"/>
          <w:sz w:val="21"/>
          <w:szCs w:val="21"/>
        </w:rPr>
        <w:t>.1</w:t>
      </w:r>
      <w:r>
        <w:rPr>
          <w:rFonts w:hint="eastAsia" w:hAnsi="宋体"/>
          <w:sz w:val="21"/>
          <w:szCs w:val="21"/>
        </w:rPr>
        <w:t>响应</w:t>
      </w:r>
      <w:r>
        <w:rPr>
          <w:rFonts w:hAnsi="宋体"/>
          <w:sz w:val="21"/>
          <w:szCs w:val="21"/>
        </w:rPr>
        <w:t>文件应按</w:t>
      </w:r>
      <w:r>
        <w:rPr>
          <w:rFonts w:hAnsi="宋体"/>
          <w:b/>
          <w:bCs/>
          <w:sz w:val="21"/>
          <w:szCs w:val="21"/>
        </w:rPr>
        <w:t>第六章</w:t>
      </w:r>
      <w:r>
        <w:rPr>
          <w:rFonts w:hAnsi="宋体"/>
          <w:sz w:val="21"/>
          <w:szCs w:val="21"/>
        </w:rPr>
        <w:t>“</w:t>
      </w:r>
      <w:r>
        <w:rPr>
          <w:rFonts w:hint="eastAsia" w:hAnsi="宋体"/>
          <w:sz w:val="21"/>
          <w:szCs w:val="21"/>
        </w:rPr>
        <w:t>响应</w:t>
      </w:r>
      <w:r>
        <w:rPr>
          <w:rFonts w:hAnsi="宋体"/>
          <w:sz w:val="21"/>
          <w:szCs w:val="21"/>
        </w:rPr>
        <w:t>文件格式”进行编写，如有必要，可以增加附页，作为</w:t>
      </w:r>
      <w:r>
        <w:rPr>
          <w:rFonts w:hint="eastAsia" w:hAnsi="宋体"/>
          <w:sz w:val="21"/>
          <w:szCs w:val="21"/>
        </w:rPr>
        <w:t>响应</w:t>
      </w:r>
      <w:r>
        <w:rPr>
          <w:rFonts w:hAnsi="宋体"/>
          <w:sz w:val="21"/>
          <w:szCs w:val="21"/>
        </w:rPr>
        <w:t>文件的组成部分。</w:t>
      </w:r>
    </w:p>
    <w:p>
      <w:pPr>
        <w:pStyle w:val="25"/>
        <w:adjustRightInd w:val="0"/>
        <w:snapToGrid w:val="0"/>
        <w:spacing w:line="360" w:lineRule="auto"/>
        <w:ind w:firstLine="420" w:firstLineChars="200"/>
        <w:rPr>
          <w:rFonts w:hAnsi="宋体"/>
        </w:rPr>
      </w:pPr>
      <w:r>
        <w:rPr>
          <w:rFonts w:hint="eastAsia" w:hAnsi="宋体"/>
        </w:rPr>
        <w:t>14.2响应</w:t>
      </w:r>
      <w:r>
        <w:rPr>
          <w:rFonts w:hAnsi="宋体"/>
        </w:rPr>
        <w:t>文件</w:t>
      </w:r>
      <w:r>
        <w:rPr>
          <w:rFonts w:hint="eastAsia" w:hAnsi="宋体"/>
        </w:rPr>
        <w:t>应用不褪色的材料书写或打印（建议</w:t>
      </w:r>
      <w:r>
        <w:rPr>
          <w:rFonts w:hAnsi="宋体"/>
        </w:rPr>
        <w:t>双面打印</w:t>
      </w:r>
      <w:r>
        <w:rPr>
          <w:rFonts w:hint="eastAsia" w:hAnsi="宋体"/>
        </w:rPr>
        <w:t>），并按</w:t>
      </w:r>
      <w:r>
        <w:rPr>
          <w:rFonts w:hint="eastAsia" w:hAnsi="宋体"/>
          <w:b/>
          <w:bCs/>
        </w:rPr>
        <w:t>第六章</w:t>
      </w:r>
      <w:r>
        <w:rPr>
          <w:rFonts w:hint="eastAsia" w:hAnsi="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b/>
          <w:bCs/>
        </w:rPr>
        <w:t>第六章</w:t>
      </w:r>
      <w:r>
        <w:rPr>
          <w:rFonts w:hAnsi="宋体"/>
        </w:rPr>
        <w:t>“</w:t>
      </w:r>
      <w:r>
        <w:rPr>
          <w:rFonts w:hint="eastAsia" w:hAnsi="宋体"/>
        </w:rPr>
        <w:t>响应文件格式</w:t>
      </w:r>
      <w:r>
        <w:rPr>
          <w:rFonts w:hAnsi="宋体"/>
        </w:rPr>
        <w:t>”</w:t>
      </w:r>
      <w:r>
        <w:rPr>
          <w:rFonts w:hint="eastAsia" w:hAnsi="宋体"/>
        </w:rPr>
        <w:t>的要求。</w:t>
      </w:r>
    </w:p>
    <w:p>
      <w:pPr>
        <w:pStyle w:val="25"/>
        <w:adjustRightInd w:val="0"/>
        <w:snapToGrid w:val="0"/>
        <w:spacing w:line="360" w:lineRule="auto"/>
        <w:ind w:firstLine="420" w:firstLineChars="200"/>
        <w:rPr>
          <w:rFonts w:hAnsi="宋体"/>
        </w:rPr>
      </w:pPr>
      <w:r>
        <w:rPr>
          <w:rFonts w:hint="eastAsia" w:hAnsi="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rPr>
      </w:pPr>
      <w:r>
        <w:rPr>
          <w:rFonts w:hint="eastAsia" w:hAnsi="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b/>
          <w:bCs/>
        </w:rPr>
        <w:t>正本</w:t>
      </w:r>
      <w:r>
        <w:rPr>
          <w:rFonts w:hint="eastAsia" w:hAnsi="宋体"/>
        </w:rPr>
        <w:t>”或“</w:t>
      </w:r>
      <w:r>
        <w:rPr>
          <w:rFonts w:hint="eastAsia" w:hAnsi="宋体"/>
          <w:b/>
          <w:bCs/>
        </w:rPr>
        <w:t>副本</w:t>
      </w:r>
      <w:r>
        <w:rPr>
          <w:rFonts w:hint="eastAsia" w:hAnsi="宋体"/>
        </w:rPr>
        <w:t>”的字样，</w:t>
      </w:r>
      <w:r>
        <w:rPr>
          <w:rFonts w:hAnsi="宋体"/>
        </w:rPr>
        <w:t>若</w:t>
      </w:r>
      <w:r>
        <w:rPr>
          <w:rFonts w:hint="eastAsia" w:hAnsi="宋体"/>
        </w:rPr>
        <w:t>响应</w:t>
      </w:r>
      <w:r>
        <w:rPr>
          <w:rFonts w:hAnsi="宋体"/>
        </w:rPr>
        <w:t>文件副本</w:t>
      </w:r>
      <w:r>
        <w:rPr>
          <w:rFonts w:hint="eastAsia" w:hAnsi="宋体"/>
        </w:rPr>
        <w:t>为</w:t>
      </w:r>
      <w:r>
        <w:rPr>
          <w:rFonts w:hAnsi="宋体"/>
        </w:rPr>
        <w:t>正本的复印件，</w:t>
      </w:r>
      <w:r>
        <w:rPr>
          <w:rFonts w:hint="eastAsia" w:hAnsi="宋体"/>
        </w:rPr>
        <w:t>还</w:t>
      </w:r>
      <w:r>
        <w:rPr>
          <w:rFonts w:hAnsi="宋体"/>
        </w:rPr>
        <w:t>需</w:t>
      </w:r>
      <w:r>
        <w:rPr>
          <w:rFonts w:hint="eastAsia" w:hAnsi="宋体"/>
        </w:rPr>
        <w:t>在谈判文件</w:t>
      </w:r>
      <w:r>
        <w:rPr>
          <w:rFonts w:hAnsi="宋体"/>
        </w:rPr>
        <w:t>要求盖章处加盖单位公章。</w:t>
      </w:r>
      <w:r>
        <w:rPr>
          <w:rFonts w:hint="eastAsia" w:hAnsi="宋体"/>
        </w:rPr>
        <w:t>当正本和副本有差异时，以正本为准。</w:t>
      </w:r>
    </w:p>
    <w:p>
      <w:pPr>
        <w:pStyle w:val="5"/>
        <w:keepNext w:val="0"/>
        <w:keepLines w:val="0"/>
        <w:spacing w:before="0" w:after="0" w:line="360" w:lineRule="auto"/>
        <w:ind w:firstLine="422" w:firstLineChars="200"/>
        <w:rPr>
          <w:rFonts w:ascii="宋体" w:hAnsi="宋体"/>
          <w:sz w:val="21"/>
          <w:szCs w:val="21"/>
        </w:rPr>
      </w:pPr>
      <w:bookmarkStart w:id="14" w:name="_Toc20753085"/>
      <w:bookmarkStart w:id="15" w:name="_Toc20753188"/>
      <w:r>
        <w:rPr>
          <w:rFonts w:hint="eastAsia" w:ascii="宋体" w:hAnsi="宋体"/>
          <w:sz w:val="21"/>
          <w:szCs w:val="21"/>
        </w:rPr>
        <w:t>四、响应文件的递交</w:t>
      </w:r>
      <w:bookmarkEnd w:id="14"/>
      <w:bookmarkEnd w:id="15"/>
    </w:p>
    <w:p>
      <w:pPr>
        <w:adjustRightInd w:val="0"/>
        <w:snapToGrid w:val="0"/>
        <w:spacing w:line="360" w:lineRule="auto"/>
        <w:ind w:firstLine="422" w:firstLineChars="200"/>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w:t>
      </w:r>
    </w:p>
    <w:p>
      <w:pPr>
        <w:adjustRightInd w:val="0"/>
        <w:snapToGrid w:val="0"/>
        <w:spacing w:line="360" w:lineRule="auto"/>
        <w:ind w:firstLine="420" w:firstLineChars="200"/>
        <w:jc w:val="left"/>
        <w:rPr>
          <w:rFonts w:ascii="宋体" w:hAnsi="宋体"/>
          <w:b/>
          <w:bCs/>
          <w:szCs w:val="21"/>
        </w:rPr>
      </w:pPr>
      <w:r>
        <w:rPr>
          <w:rFonts w:hint="eastAsia"/>
        </w:rPr>
        <w:t>15.1谈判单位须将响应文件一正两副与电子文件一起密封包装。</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16.响应文件的标记</w:t>
      </w:r>
    </w:p>
    <w:p>
      <w:pPr>
        <w:adjustRightInd w:val="0"/>
        <w:snapToGrid w:val="0"/>
        <w:spacing w:line="360" w:lineRule="auto"/>
        <w:ind w:firstLine="420" w:firstLineChars="200"/>
        <w:jc w:val="left"/>
        <w:rPr>
          <w:rFonts w:ascii="宋体" w:hAnsi="宋体"/>
          <w:b/>
          <w:bCs/>
          <w:szCs w:val="21"/>
        </w:rPr>
      </w:pPr>
      <w:r>
        <w:rPr>
          <w:rFonts w:hint="eastAsia" w:ascii="宋体" w:hAnsi="宋体"/>
          <w:szCs w:val="21"/>
        </w:rPr>
        <w:t>16.1</w:t>
      </w:r>
      <w:r>
        <w:rPr>
          <w:rFonts w:hint="eastAsia" w:ascii="宋体" w:hAnsi="宋体"/>
          <w:bCs/>
          <w:szCs w:val="21"/>
        </w:rPr>
        <w:t>响应文件的密封封套上须写明如下内容</w:t>
      </w:r>
      <w:r>
        <w:rPr>
          <w:rFonts w:hint="eastAsia" w:ascii="宋体" w:hAnsi="宋体"/>
          <w:b/>
          <w:bCs/>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7938" w:type="dxa"/>
          </w:tcPr>
          <w:p>
            <w:pPr>
              <w:spacing w:line="360" w:lineRule="auto"/>
              <w:rPr>
                <w:rFonts w:ascii="宋体" w:hAnsi="宋体"/>
                <w:szCs w:val="21"/>
                <w:u w:val="single"/>
              </w:rPr>
            </w:pPr>
            <w:r>
              <w:rPr>
                <w:rFonts w:hint="eastAsia" w:ascii="宋体" w:hAnsi="宋体"/>
                <w:szCs w:val="21"/>
              </w:rPr>
              <w:t>采购单位：</w:t>
            </w:r>
          </w:p>
          <w:p>
            <w:pPr>
              <w:spacing w:line="360" w:lineRule="auto"/>
              <w:rPr>
                <w:rFonts w:ascii="宋体" w:hAnsi="宋体"/>
                <w:szCs w:val="21"/>
                <w:u w:val="single"/>
              </w:rPr>
            </w:pPr>
            <w:r>
              <w:rPr>
                <w:rFonts w:hint="eastAsia" w:ascii="宋体" w:hAnsi="宋体"/>
                <w:szCs w:val="21"/>
              </w:rPr>
              <w:t xml:space="preserve">项目名称： </w:t>
            </w:r>
          </w:p>
          <w:p>
            <w:pPr>
              <w:spacing w:line="360" w:lineRule="auto"/>
              <w:rPr>
                <w:rFonts w:ascii="宋体" w:hAnsi="宋体"/>
                <w:szCs w:val="21"/>
                <w:u w:val="single"/>
              </w:rPr>
            </w:pPr>
            <w:r>
              <w:rPr>
                <w:rFonts w:hint="eastAsia" w:ascii="宋体" w:hAnsi="宋体"/>
                <w:szCs w:val="21"/>
              </w:rPr>
              <w:t>谈判单位：</w:t>
            </w:r>
            <w:r>
              <w:rPr>
                <w:rFonts w:hint="eastAsia" w:ascii="宋体" w:hAnsi="宋体"/>
                <w:szCs w:val="21"/>
                <w:u w:val="single"/>
              </w:rPr>
              <w:t xml:space="preserve">（填写单位名称并加盖单位公章）         </w:t>
            </w:r>
          </w:p>
          <w:p>
            <w:pPr>
              <w:spacing w:line="360" w:lineRule="auto"/>
              <w:ind w:firstLine="840" w:firstLineChars="400"/>
              <w:rPr>
                <w:rFonts w:ascii="宋体" w:hAnsi="宋体"/>
                <w:szCs w:val="21"/>
              </w:rPr>
            </w:pPr>
            <w:r>
              <w:rPr>
                <w:rFonts w:hint="eastAsia" w:ascii="宋体" w:hAnsi="宋体"/>
                <w:bCs/>
                <w:szCs w:val="21"/>
              </w:rPr>
              <w:t>年月日</w:t>
            </w:r>
          </w:p>
        </w:tc>
      </w:tr>
    </w:tbl>
    <w:p>
      <w:pPr>
        <w:adjustRightInd w:val="0"/>
        <w:snapToGrid w:val="0"/>
        <w:spacing w:line="360" w:lineRule="auto"/>
        <w:ind w:firstLine="413" w:firstLineChars="196"/>
        <w:rPr>
          <w:rFonts w:ascii="宋体" w:hAnsi="宋体"/>
          <w:b/>
          <w:bCs/>
          <w:color w:val="FF0000"/>
          <w:szCs w:val="21"/>
        </w:rPr>
      </w:pPr>
    </w:p>
    <w:p>
      <w:pPr>
        <w:adjustRightInd w:val="0"/>
        <w:snapToGrid w:val="0"/>
        <w:spacing w:line="360" w:lineRule="auto"/>
        <w:ind w:firstLine="413" w:firstLineChars="196"/>
        <w:rPr>
          <w:rFonts w:ascii="宋体" w:hAnsi="宋体"/>
          <w:b/>
          <w:bCs/>
          <w:szCs w:val="21"/>
        </w:rPr>
      </w:pPr>
      <w:r>
        <w:rPr>
          <w:rFonts w:hint="eastAsia" w:ascii="宋体" w:hAnsi="宋体"/>
          <w:b/>
          <w:bCs/>
          <w:szCs w:val="21"/>
        </w:rPr>
        <w:t>17.响应文件的递交</w:t>
      </w:r>
    </w:p>
    <w:p>
      <w:pPr>
        <w:adjustRightInd w:val="0"/>
        <w:snapToGrid w:val="0"/>
        <w:spacing w:line="360" w:lineRule="auto"/>
        <w:ind w:firstLine="411" w:firstLineChars="196"/>
        <w:rPr>
          <w:rFonts w:hAnsi="宋体" w:cs="宋体"/>
          <w:kern w:val="0"/>
        </w:rPr>
      </w:pPr>
      <w:r>
        <w:rPr>
          <w:rFonts w:hint="eastAsia" w:ascii="宋体" w:hAnsi="宋体"/>
          <w:szCs w:val="21"/>
        </w:rPr>
        <w:t>17.1谈判单位应按要求在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adjustRightInd w:val="0"/>
        <w:snapToGrid w:val="0"/>
        <w:spacing w:line="360" w:lineRule="auto"/>
        <w:ind w:firstLine="411" w:firstLineChars="196"/>
        <w:rPr>
          <w:rFonts w:ascii="黑体" w:hAnsi="宋体" w:eastAsia="黑体"/>
          <w:b/>
          <w:sz w:val="24"/>
        </w:rPr>
      </w:pPr>
      <w:r>
        <w:rPr>
          <w:rFonts w:hint="eastAsia" w:ascii="宋体" w:hAnsi="宋体"/>
          <w:bCs/>
          <w:szCs w:val="21"/>
        </w:rPr>
        <w:t>17.2采购单位在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pStyle w:val="5"/>
        <w:keepNext w:val="0"/>
        <w:keepLines w:val="0"/>
        <w:spacing w:before="0" w:after="0" w:line="360" w:lineRule="auto"/>
        <w:rPr>
          <w:rFonts w:ascii="宋体" w:hAnsi="宋体"/>
          <w:sz w:val="21"/>
          <w:szCs w:val="21"/>
        </w:rPr>
      </w:pPr>
      <w:bookmarkStart w:id="16" w:name="_Toc20753086"/>
      <w:bookmarkStart w:id="17" w:name="_Toc20753189"/>
      <w:r>
        <w:rPr>
          <w:rFonts w:hint="eastAsia" w:ascii="宋体" w:hAnsi="宋体"/>
          <w:sz w:val="21"/>
          <w:szCs w:val="21"/>
        </w:rPr>
        <w:t>五、响应文件的评审</w:t>
      </w:r>
      <w:bookmarkEnd w:id="16"/>
      <w:bookmarkEnd w:id="17"/>
    </w:p>
    <w:p>
      <w:pPr>
        <w:adjustRightInd w:val="0"/>
        <w:snapToGrid w:val="0"/>
        <w:spacing w:line="360" w:lineRule="auto"/>
        <w:ind w:firstLine="413" w:firstLineChars="196"/>
        <w:rPr>
          <w:rFonts w:ascii="黑体" w:hAnsi="宋体" w:eastAsia="黑体"/>
          <w:b/>
          <w:sz w:val="24"/>
        </w:rPr>
      </w:pPr>
      <w:r>
        <w:rPr>
          <w:rFonts w:hint="eastAsia" w:ascii="宋体" w:hAnsi="宋体"/>
          <w:b/>
          <w:bCs/>
          <w:szCs w:val="21"/>
        </w:rPr>
        <w:t>18.</w:t>
      </w:r>
      <w:r>
        <w:rPr>
          <w:rFonts w:hint="eastAsia" w:ascii="宋体" w:hAnsi="宋体"/>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ascii="宋体" w:hAnsi="宋体"/>
          <w:sz w:val="21"/>
          <w:szCs w:val="21"/>
        </w:rPr>
      </w:pPr>
      <w:bookmarkStart w:id="18" w:name="_Toc20753190"/>
      <w:bookmarkStart w:id="19" w:name="_Toc20753087"/>
      <w:r>
        <w:rPr>
          <w:rFonts w:hint="eastAsia" w:ascii="宋体" w:hAnsi="宋体"/>
          <w:sz w:val="21"/>
          <w:szCs w:val="21"/>
        </w:rPr>
        <w:t>六、响应文件的澄清、说明及补正</w:t>
      </w:r>
      <w:bookmarkEnd w:id="18"/>
      <w:bookmarkEnd w:id="19"/>
    </w:p>
    <w:p>
      <w:pPr>
        <w:widowControl/>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jc w:val="left"/>
        <w:rPr>
          <w:rFonts w:ascii="黑体" w:hAnsi="宋体" w:eastAsia="黑体"/>
          <w:b/>
          <w:sz w:val="24"/>
        </w:rPr>
      </w:pPr>
      <w:r>
        <w:rPr>
          <w:rFonts w:hint="eastAsia" w:ascii="宋体" w:hAnsi="宋体" w:cs="宋体"/>
          <w:kern w:val="0"/>
          <w:szCs w:val="21"/>
        </w:rPr>
        <w:t>20.3与谈判文件有重大偏离的响应文件将被拒绝。重大偏离指谈判单项报价、谈判有限期、服务期明显不能满足谈判文件的要求。这些偏离不允许在响应文件递交截止时间之后修正。</w:t>
      </w:r>
    </w:p>
    <w:p>
      <w:pPr>
        <w:pStyle w:val="5"/>
        <w:keepNext w:val="0"/>
        <w:keepLines w:val="0"/>
        <w:spacing w:before="0" w:after="0" w:line="360" w:lineRule="auto"/>
        <w:rPr>
          <w:rFonts w:ascii="宋体" w:hAnsi="宋体"/>
          <w:sz w:val="21"/>
          <w:szCs w:val="21"/>
        </w:rPr>
      </w:pPr>
      <w:bookmarkStart w:id="20" w:name="_Toc20753088"/>
      <w:bookmarkStart w:id="21" w:name="_Toc20753191"/>
      <w:r>
        <w:rPr>
          <w:rFonts w:hint="eastAsia" w:ascii="宋体" w:hAnsi="宋体"/>
          <w:sz w:val="21"/>
          <w:szCs w:val="21"/>
        </w:rPr>
        <w:t>七、中选结果与授予合同</w:t>
      </w:r>
      <w:bookmarkEnd w:id="20"/>
      <w:bookmarkEnd w:id="21"/>
    </w:p>
    <w:p>
      <w:pPr>
        <w:adjustRightInd w:val="0"/>
        <w:snapToGrid w:val="0"/>
        <w:spacing w:line="360" w:lineRule="auto"/>
        <w:ind w:firstLine="413" w:firstLineChars="196"/>
        <w:rPr>
          <w:rFonts w:ascii="宋体" w:hAnsi="宋体"/>
          <w:b/>
          <w:bCs/>
          <w:szCs w:val="21"/>
        </w:rPr>
      </w:pPr>
      <w:r>
        <w:rPr>
          <w:rFonts w:hint="eastAsia" w:ascii="宋体" w:hAnsi="宋体"/>
          <w:b/>
          <w:bCs/>
          <w:szCs w:val="21"/>
        </w:rPr>
        <w:t>21.中选信息的公布</w:t>
      </w:r>
    </w:p>
    <w:p>
      <w:pPr>
        <w:pStyle w:val="25"/>
        <w:adjustRightInd w:val="0"/>
        <w:snapToGrid w:val="0"/>
        <w:spacing w:line="360" w:lineRule="auto"/>
        <w:ind w:firstLine="420" w:firstLineChars="200"/>
        <w:rPr>
          <w:rFonts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r>
        <w:rPr>
          <w:rFonts w:hint="eastAsia" w:hAnsi="宋体"/>
          <w:b/>
          <w:bCs/>
        </w:rPr>
        <w:t>公示期限为3个工作日</w:t>
      </w:r>
      <w:r>
        <w:rPr>
          <w:rFonts w:hint="eastAsia" w:hAnsi="宋体"/>
        </w:rPr>
        <w:t>。</w:t>
      </w:r>
    </w:p>
    <w:p>
      <w:pPr>
        <w:pStyle w:val="25"/>
        <w:adjustRightInd w:val="0"/>
        <w:snapToGrid w:val="0"/>
        <w:spacing w:line="360" w:lineRule="auto"/>
        <w:ind w:firstLine="422" w:firstLineChars="200"/>
        <w:rPr>
          <w:rFonts w:hAnsi="宋体"/>
          <w:b/>
          <w:bCs/>
        </w:rPr>
      </w:pPr>
      <w:r>
        <w:rPr>
          <w:rFonts w:hint="eastAsia" w:hAnsi="宋体"/>
          <w:b/>
          <w:bCs/>
        </w:rPr>
        <w:t>22.评审结果异议</w:t>
      </w:r>
    </w:p>
    <w:p>
      <w:pPr>
        <w:pStyle w:val="25"/>
        <w:adjustRightInd w:val="0"/>
        <w:snapToGrid w:val="0"/>
        <w:spacing w:line="360" w:lineRule="auto"/>
        <w:ind w:firstLine="420" w:firstLineChars="200"/>
        <w:rPr>
          <w:rFonts w:hAnsi="宋体"/>
          <w:b/>
        </w:rPr>
      </w:pPr>
      <w:r>
        <w:rPr>
          <w:rFonts w:hint="eastAsia" w:hAnsi="宋体" w:cs="宋体"/>
          <w:kern w:val="0"/>
        </w:rPr>
        <w:t>22.1谈判单位</w:t>
      </w:r>
      <w:r>
        <w:rPr>
          <w:rFonts w:hAnsi="宋体" w:cs="宋体"/>
          <w:kern w:val="0"/>
        </w:rPr>
        <w:t>对</w:t>
      </w:r>
      <w:r>
        <w:rPr>
          <w:rFonts w:hint="eastAsia" w:hAnsi="宋体" w:cs="宋体"/>
          <w:kern w:val="0"/>
        </w:rPr>
        <w:t>评审</w:t>
      </w:r>
      <w:r>
        <w:rPr>
          <w:rFonts w:hAnsi="宋体" w:cs="宋体"/>
          <w:kern w:val="0"/>
        </w:rPr>
        <w:t>结果有异议的，应当在</w:t>
      </w:r>
      <w:r>
        <w:rPr>
          <w:rFonts w:hint="eastAsia" w:hAnsi="宋体" w:cs="宋体"/>
          <w:kern w:val="0"/>
        </w:rPr>
        <w:t>结果公示</w:t>
      </w:r>
      <w:r>
        <w:rPr>
          <w:rFonts w:hAnsi="宋体" w:cs="宋体"/>
          <w:kern w:val="0"/>
        </w:rPr>
        <w:t>期间提出。</w:t>
      </w:r>
    </w:p>
    <w:p>
      <w:pPr>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22.2</w:t>
      </w:r>
      <w:r>
        <w:rPr>
          <w:rFonts w:hint="eastAsia" w:hAnsi="宋体"/>
          <w:szCs w:val="21"/>
        </w:rPr>
        <w:t>异议的提出与处理按相关</w:t>
      </w:r>
      <w:r>
        <w:rPr>
          <w:rFonts w:hint="eastAsia" w:ascii="宋体" w:hAnsi="宋体" w:cs="宋体"/>
          <w:kern w:val="0"/>
          <w:szCs w:val="21"/>
        </w:rPr>
        <w:t>规定执行。</w:t>
      </w:r>
    </w:p>
    <w:p>
      <w:pPr>
        <w:adjustRightInd w:val="0"/>
        <w:snapToGrid w:val="0"/>
        <w:spacing w:line="360" w:lineRule="auto"/>
        <w:ind w:firstLine="413" w:firstLineChars="196"/>
        <w:rPr>
          <w:rFonts w:ascii="宋体" w:hAnsi="宋体"/>
          <w:b/>
          <w:bCs/>
          <w:szCs w:val="21"/>
        </w:rPr>
      </w:pPr>
      <w:r>
        <w:rPr>
          <w:rFonts w:hint="eastAsia" w:ascii="宋体" w:hAnsi="宋体"/>
          <w:b/>
          <w:bCs/>
          <w:szCs w:val="21"/>
        </w:rPr>
        <w:t>23.中选通知</w:t>
      </w:r>
    </w:p>
    <w:p>
      <w:pPr>
        <w:pStyle w:val="25"/>
        <w:adjustRightInd w:val="0"/>
        <w:snapToGrid w:val="0"/>
        <w:spacing w:line="360" w:lineRule="auto"/>
        <w:ind w:firstLine="420" w:firstLineChars="200"/>
        <w:rPr>
          <w:rFonts w:hAnsi="宋体"/>
        </w:rPr>
      </w:pPr>
      <w:r>
        <w:rPr>
          <w:rFonts w:hint="eastAsia" w:hAnsi="宋体"/>
        </w:rPr>
        <w:t>23.1中选单位确定后，采购单位将以书面形式向中选单位发出中选通知书。中选通知书对采购单位和中选单位具有同等法律效力。</w:t>
      </w:r>
    </w:p>
    <w:p>
      <w:pPr>
        <w:adjustRightInd w:val="0"/>
        <w:snapToGrid w:val="0"/>
        <w:spacing w:line="360" w:lineRule="auto"/>
        <w:ind w:firstLine="413" w:firstLineChars="196"/>
        <w:rPr>
          <w:rFonts w:ascii="宋体" w:hAnsi="宋体"/>
          <w:b/>
          <w:bCs/>
          <w:szCs w:val="21"/>
        </w:rPr>
      </w:pPr>
      <w:r>
        <w:rPr>
          <w:rFonts w:hint="eastAsia" w:ascii="宋体" w:hAnsi="宋体"/>
          <w:b/>
          <w:bCs/>
          <w:szCs w:val="21"/>
        </w:rPr>
        <w:t>24.签订合同</w:t>
      </w:r>
    </w:p>
    <w:p>
      <w:pPr>
        <w:pStyle w:val="25"/>
        <w:adjustRightInd w:val="0"/>
        <w:snapToGrid w:val="0"/>
        <w:spacing w:line="360" w:lineRule="auto"/>
        <w:ind w:firstLine="420" w:firstLineChars="200"/>
        <w:rPr>
          <w:rFonts w:hAnsi="宋体"/>
        </w:rPr>
      </w:pPr>
      <w:r>
        <w:rPr>
          <w:rFonts w:hint="eastAsia" w:hAnsi="宋体"/>
        </w:rPr>
        <w:t>24.1谈判文件、中选单位的响应文件及其补充的文件等均为签订合同的依据。</w:t>
      </w:r>
    </w:p>
    <w:p>
      <w:pPr>
        <w:pStyle w:val="25"/>
        <w:adjustRightInd w:val="0"/>
        <w:snapToGrid w:val="0"/>
        <w:spacing w:line="360" w:lineRule="auto"/>
        <w:ind w:firstLine="420" w:firstLineChars="200"/>
        <w:rPr>
          <w:rFonts w:hAnsi="宋体"/>
        </w:rPr>
      </w:pPr>
      <w:r>
        <w:rPr>
          <w:rFonts w:hint="eastAsia" w:hAnsi="宋体"/>
        </w:rPr>
        <w:t>24.2中选单位应当在中选通知书发出后及时与采购单位签订合同。</w:t>
      </w:r>
    </w:p>
    <w:p>
      <w:pPr>
        <w:pStyle w:val="25"/>
        <w:adjustRightInd w:val="0"/>
        <w:snapToGrid w:val="0"/>
        <w:spacing w:line="360" w:lineRule="auto"/>
        <w:ind w:firstLine="420" w:firstLineChars="200"/>
        <w:rPr>
          <w:rFonts w:hAnsi="宋体"/>
        </w:rPr>
      </w:pPr>
      <w:r>
        <w:rPr>
          <w:rFonts w:hint="eastAsia" w:hAnsi="宋体"/>
        </w:rPr>
        <w:t>24.3中选单位应当按照合同约定履行义务。</w:t>
      </w:r>
    </w:p>
    <w:p>
      <w:pPr>
        <w:adjustRightInd w:val="0"/>
        <w:snapToGrid w:val="0"/>
        <w:spacing w:line="360" w:lineRule="auto"/>
        <w:ind w:firstLine="413" w:firstLineChars="196"/>
        <w:rPr>
          <w:rFonts w:ascii="宋体" w:hAnsi="宋体"/>
          <w:b/>
          <w:bCs/>
          <w:szCs w:val="21"/>
        </w:rPr>
      </w:pPr>
      <w:r>
        <w:rPr>
          <w:rFonts w:hint="eastAsia" w:ascii="宋体" w:hAnsi="宋体"/>
          <w:b/>
          <w:bCs/>
          <w:szCs w:val="21"/>
        </w:rPr>
        <w:t>25.纪律和监督</w:t>
      </w:r>
    </w:p>
    <w:p>
      <w:pPr>
        <w:spacing w:line="360" w:lineRule="auto"/>
        <w:ind w:firstLine="422" w:firstLineChars="200"/>
        <w:rPr>
          <w:rFonts w:ascii="宋体" w:hAnsi="宋体"/>
          <w:b/>
          <w:bCs/>
          <w:szCs w:val="21"/>
        </w:rPr>
      </w:pPr>
      <w:r>
        <w:rPr>
          <w:rFonts w:hint="eastAsia" w:ascii="宋体" w:hAnsi="宋体"/>
          <w:b/>
          <w:bCs/>
          <w:szCs w:val="21"/>
        </w:rPr>
        <w:t>25.1对采购单位的纪律要求</w:t>
      </w:r>
    </w:p>
    <w:p>
      <w:pPr>
        <w:pStyle w:val="356"/>
        <w:jc w:val="both"/>
        <w:rPr>
          <w:rFonts w:hAnsi="宋体" w:cs="Courier New"/>
          <w:sz w:val="21"/>
          <w:szCs w:val="21"/>
        </w:rPr>
      </w:pPr>
      <w:r>
        <w:rPr>
          <w:rFonts w:hint="eastAsia" w:hAnsi="宋体" w:cs="Courier New"/>
          <w:sz w:val="21"/>
          <w:szCs w:val="21"/>
        </w:rPr>
        <w:t>采购单位</w:t>
      </w:r>
      <w:r>
        <w:rPr>
          <w:rFonts w:hAnsi="宋体" w:cs="Courier New"/>
          <w:sz w:val="21"/>
          <w:szCs w:val="21"/>
        </w:rPr>
        <w:t>不得泄露</w:t>
      </w:r>
      <w:r>
        <w:rPr>
          <w:rFonts w:hint="eastAsia" w:hAnsi="宋体" w:cs="Courier New"/>
          <w:sz w:val="21"/>
          <w:szCs w:val="21"/>
        </w:rPr>
        <w:t>谈判</w:t>
      </w:r>
      <w:r>
        <w:rPr>
          <w:rFonts w:hAnsi="宋体" w:cs="Courier New"/>
          <w:sz w:val="21"/>
          <w:szCs w:val="21"/>
        </w:rPr>
        <w:t>活动中应当保密的情况和资料，不得与</w:t>
      </w:r>
      <w:r>
        <w:rPr>
          <w:rFonts w:hint="eastAsia" w:hAnsi="宋体" w:cs="Courier New"/>
          <w:sz w:val="21"/>
          <w:szCs w:val="21"/>
        </w:rPr>
        <w:t>谈判单位</w:t>
      </w:r>
      <w:r>
        <w:rPr>
          <w:rFonts w:hAnsi="宋体" w:cs="Courier New"/>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25.2对谈判单位的纪律要求</w:t>
      </w:r>
    </w:p>
    <w:p>
      <w:pPr>
        <w:pStyle w:val="356"/>
        <w:ind w:firstLine="420" w:firstLineChars="200"/>
        <w:jc w:val="both"/>
        <w:rPr>
          <w:rFonts w:hAnsi="宋体"/>
          <w:sz w:val="21"/>
          <w:szCs w:val="21"/>
        </w:rPr>
      </w:pPr>
      <w:r>
        <w:rPr>
          <w:rFonts w:hint="eastAsia" w:hAnsi="宋体"/>
          <w:sz w:val="21"/>
          <w:szCs w:val="21"/>
        </w:rPr>
        <w:t>谈判单位</w:t>
      </w:r>
      <w:r>
        <w:rPr>
          <w:rFonts w:hAnsi="宋体"/>
          <w:sz w:val="21"/>
          <w:szCs w:val="21"/>
        </w:rPr>
        <w:t>不得相互串通或者与</w:t>
      </w:r>
      <w:r>
        <w:rPr>
          <w:rFonts w:hint="eastAsia" w:hAnsi="宋体"/>
          <w:sz w:val="21"/>
          <w:szCs w:val="21"/>
        </w:rPr>
        <w:t>采购单位及采购代理机构</w:t>
      </w:r>
      <w:r>
        <w:rPr>
          <w:rFonts w:hAnsi="宋体"/>
          <w:sz w:val="21"/>
          <w:szCs w:val="21"/>
        </w:rPr>
        <w:t>串通，不得向</w:t>
      </w:r>
      <w:r>
        <w:rPr>
          <w:rFonts w:hint="eastAsia" w:hAnsi="宋体"/>
          <w:sz w:val="21"/>
          <w:szCs w:val="21"/>
        </w:rPr>
        <w:t>采购单位、采购代理机构</w:t>
      </w:r>
      <w:r>
        <w:rPr>
          <w:rFonts w:hAnsi="宋体"/>
          <w:sz w:val="21"/>
          <w:szCs w:val="21"/>
        </w:rPr>
        <w:t>或者</w:t>
      </w:r>
      <w:r>
        <w:rPr>
          <w:rFonts w:hint="eastAsia" w:hAnsi="宋体"/>
          <w:sz w:val="21"/>
          <w:szCs w:val="21"/>
        </w:rPr>
        <w:t>谈判评审小组</w:t>
      </w:r>
      <w:r>
        <w:rPr>
          <w:rFonts w:hAnsi="宋体"/>
          <w:sz w:val="21"/>
          <w:szCs w:val="21"/>
        </w:rPr>
        <w:t>成员行贿谋取中</w:t>
      </w:r>
      <w:r>
        <w:rPr>
          <w:rFonts w:hint="eastAsia" w:hAnsi="宋体"/>
          <w:sz w:val="21"/>
          <w:szCs w:val="21"/>
        </w:rPr>
        <w:t>选</w:t>
      </w:r>
      <w:r>
        <w:rPr>
          <w:rFonts w:hAnsi="宋体"/>
          <w:sz w:val="21"/>
          <w:szCs w:val="21"/>
        </w:rPr>
        <w:t>，不得以他人名义</w:t>
      </w:r>
      <w:r>
        <w:rPr>
          <w:rFonts w:hint="eastAsia" w:hAnsi="宋体"/>
          <w:sz w:val="21"/>
          <w:szCs w:val="21"/>
        </w:rPr>
        <w:t>参与谈判</w:t>
      </w:r>
      <w:r>
        <w:rPr>
          <w:rFonts w:hAnsi="宋体"/>
          <w:sz w:val="21"/>
          <w:szCs w:val="21"/>
        </w:rPr>
        <w:t>或者以其他方式弄虚作假骗取中</w:t>
      </w:r>
      <w:r>
        <w:rPr>
          <w:rFonts w:hint="eastAsia" w:hAnsi="宋体"/>
          <w:sz w:val="21"/>
          <w:szCs w:val="21"/>
        </w:rPr>
        <w:t>选</w:t>
      </w:r>
      <w:r>
        <w:rPr>
          <w:rFonts w:hAnsi="宋体"/>
          <w:sz w:val="21"/>
          <w:szCs w:val="21"/>
        </w:rPr>
        <w:t>；</w:t>
      </w:r>
      <w:r>
        <w:rPr>
          <w:rFonts w:hint="eastAsia" w:hAnsi="宋体"/>
          <w:sz w:val="21"/>
          <w:szCs w:val="21"/>
        </w:rPr>
        <w:t>谈判单位</w:t>
      </w:r>
      <w:r>
        <w:rPr>
          <w:rFonts w:hAnsi="宋体"/>
          <w:sz w:val="21"/>
          <w:szCs w:val="21"/>
        </w:rPr>
        <w:t>不得以任何方式干扰、影响评</w:t>
      </w:r>
      <w:r>
        <w:rPr>
          <w:rFonts w:hint="eastAsia" w:hAnsi="宋体"/>
          <w:sz w:val="21"/>
          <w:szCs w:val="21"/>
        </w:rPr>
        <w:t>审</w:t>
      </w:r>
      <w:r>
        <w:rPr>
          <w:rFonts w:hAnsi="宋体"/>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25.3对</w:t>
      </w:r>
      <w:r>
        <w:rPr>
          <w:rFonts w:hint="eastAsia" w:hAnsi="宋体"/>
          <w:b/>
          <w:szCs w:val="21"/>
        </w:rPr>
        <w:t>谈判评审小组</w:t>
      </w:r>
      <w:r>
        <w:rPr>
          <w:rFonts w:hint="eastAsia" w:ascii="宋体" w:hAnsi="宋体"/>
          <w:b/>
          <w:bCs/>
          <w:szCs w:val="21"/>
        </w:rPr>
        <w:t>成员的纪律要求</w:t>
      </w:r>
    </w:p>
    <w:p>
      <w:pPr>
        <w:pStyle w:val="356"/>
        <w:ind w:firstLine="420" w:firstLineChars="200"/>
        <w:jc w:val="both"/>
        <w:rPr>
          <w:rFonts w:hAnsi="宋体"/>
          <w:sz w:val="21"/>
          <w:szCs w:val="21"/>
        </w:rPr>
      </w:pPr>
      <w:r>
        <w:rPr>
          <w:rFonts w:hint="eastAsia" w:hAnsi="宋体"/>
          <w:sz w:val="21"/>
          <w:szCs w:val="21"/>
        </w:rPr>
        <w:t>谈判评审小组</w:t>
      </w:r>
      <w:r>
        <w:rPr>
          <w:rFonts w:hAnsi="宋体"/>
          <w:sz w:val="21"/>
          <w:szCs w:val="21"/>
        </w:rPr>
        <w:t>成员不得收受他人的财物或者其他好处，不得向他人透露对</w:t>
      </w:r>
      <w:r>
        <w:rPr>
          <w:rFonts w:hint="eastAsia" w:hAnsi="宋体"/>
          <w:sz w:val="21"/>
          <w:szCs w:val="21"/>
        </w:rPr>
        <w:t>谈判</w:t>
      </w:r>
      <w:r>
        <w:rPr>
          <w:rFonts w:hAnsi="宋体"/>
          <w:sz w:val="21"/>
          <w:szCs w:val="21"/>
        </w:rPr>
        <w:t>文件的评审和比较以及评</w:t>
      </w:r>
      <w:r>
        <w:rPr>
          <w:rFonts w:hint="eastAsia" w:hAnsi="宋体"/>
          <w:sz w:val="21"/>
          <w:szCs w:val="21"/>
        </w:rPr>
        <w:t>审</w:t>
      </w:r>
      <w:r>
        <w:rPr>
          <w:rFonts w:hAnsi="宋体"/>
          <w:sz w:val="21"/>
          <w:szCs w:val="21"/>
        </w:rPr>
        <w:t>有关的其他情况。在评</w:t>
      </w:r>
      <w:r>
        <w:rPr>
          <w:rFonts w:hint="eastAsia" w:hAnsi="宋体"/>
          <w:sz w:val="21"/>
          <w:szCs w:val="21"/>
        </w:rPr>
        <w:t>审</w:t>
      </w:r>
      <w:r>
        <w:rPr>
          <w:rFonts w:hAnsi="宋体"/>
          <w:sz w:val="21"/>
          <w:szCs w:val="21"/>
        </w:rPr>
        <w:t>活动中，</w:t>
      </w:r>
      <w:r>
        <w:rPr>
          <w:rFonts w:hint="eastAsia" w:hAnsi="宋体"/>
          <w:sz w:val="21"/>
          <w:szCs w:val="21"/>
        </w:rPr>
        <w:t>谈判评审小组</w:t>
      </w:r>
      <w:r>
        <w:rPr>
          <w:rFonts w:hAnsi="宋体"/>
          <w:sz w:val="21"/>
          <w:szCs w:val="21"/>
        </w:rPr>
        <w:t>成员应当客观、公正地履行职责，遵守职业道德，不得擅离职守，影响评</w:t>
      </w:r>
      <w:r>
        <w:rPr>
          <w:rFonts w:hint="eastAsia" w:hAnsi="宋体"/>
          <w:sz w:val="21"/>
          <w:szCs w:val="21"/>
        </w:rPr>
        <w:t>审</w:t>
      </w:r>
      <w:r>
        <w:rPr>
          <w:rFonts w:hAnsi="宋体"/>
          <w:sz w:val="21"/>
          <w:szCs w:val="21"/>
        </w:rPr>
        <w:t>程序正常进行，不得使用第</w:t>
      </w:r>
      <w:bookmarkStart w:id="22" w:name="page32"/>
      <w:bookmarkEnd w:id="22"/>
      <w:r>
        <w:rPr>
          <w:rFonts w:hAnsi="宋体"/>
          <w:sz w:val="21"/>
          <w:szCs w:val="21"/>
        </w:rPr>
        <w:t>三章“评</w:t>
      </w:r>
      <w:r>
        <w:rPr>
          <w:rFonts w:hint="eastAsia" w:hAnsi="宋体"/>
          <w:sz w:val="21"/>
          <w:szCs w:val="21"/>
        </w:rPr>
        <w:t>审</w:t>
      </w:r>
      <w:r>
        <w:rPr>
          <w:rFonts w:hAnsi="宋体"/>
          <w:sz w:val="21"/>
          <w:szCs w:val="21"/>
        </w:rPr>
        <w:t>办法”没有规定的评审因素和标准进行评</w:t>
      </w:r>
      <w:r>
        <w:rPr>
          <w:rFonts w:hint="eastAsia" w:hAnsi="宋体"/>
          <w:sz w:val="21"/>
          <w:szCs w:val="21"/>
        </w:rPr>
        <w:t>审</w:t>
      </w:r>
      <w:r>
        <w:rPr>
          <w:rFonts w:hAnsi="宋体"/>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25.4对与评审活动有关的工作人员的纪律要求</w:t>
      </w:r>
    </w:p>
    <w:p>
      <w:pPr>
        <w:pStyle w:val="25"/>
        <w:adjustRightInd w:val="0"/>
        <w:snapToGrid w:val="0"/>
        <w:spacing w:line="360" w:lineRule="auto"/>
        <w:ind w:firstLine="420" w:firstLineChars="200"/>
        <w:rPr>
          <w:rFonts w:hAnsi="宋体"/>
        </w:rPr>
      </w:pPr>
      <w:r>
        <w:rPr>
          <w:rFonts w:hAnsi="宋体"/>
        </w:rPr>
        <w:t>与评审活动有关的工作人员不得收受他人的财物或者其他好处，不得向他人透露对</w:t>
      </w:r>
      <w:r>
        <w:rPr>
          <w:rFonts w:hint="eastAsia" w:hAnsi="宋体"/>
        </w:rPr>
        <w:t>响应</w:t>
      </w:r>
      <w:r>
        <w:rPr>
          <w:rFonts w:hAnsi="宋体"/>
        </w:rPr>
        <w:t>文件的评审和比较以及评</w:t>
      </w:r>
      <w:r>
        <w:rPr>
          <w:rFonts w:hint="eastAsia" w:hAnsi="宋体"/>
        </w:rPr>
        <w:t>审</w:t>
      </w:r>
      <w:r>
        <w:rPr>
          <w:rFonts w:hAnsi="宋体"/>
        </w:rPr>
        <w:t>有关的其他情况。在评审活动中，与评审活动有关的工作人员不得擅离职守，影响评审程序正常进行。</w:t>
      </w:r>
    </w:p>
    <w:p>
      <w:pPr>
        <w:pStyle w:val="5"/>
        <w:keepNext w:val="0"/>
        <w:keepLines w:val="0"/>
        <w:spacing w:before="0" w:after="0" w:line="360" w:lineRule="auto"/>
        <w:rPr>
          <w:rFonts w:ascii="宋体" w:hAnsi="宋体"/>
          <w:sz w:val="21"/>
          <w:szCs w:val="21"/>
        </w:rPr>
      </w:pPr>
      <w:bookmarkStart w:id="23" w:name="_Toc20753089"/>
      <w:bookmarkStart w:id="24" w:name="_Toc20753192"/>
      <w:r>
        <w:rPr>
          <w:rFonts w:hint="eastAsia" w:ascii="宋体" w:hAnsi="宋体"/>
          <w:sz w:val="21"/>
          <w:szCs w:val="21"/>
        </w:rPr>
        <w:t>八、其他</w:t>
      </w:r>
      <w:bookmarkEnd w:id="23"/>
      <w:bookmarkEnd w:id="24"/>
    </w:p>
    <w:p>
      <w:pPr>
        <w:adjustRightInd w:val="0"/>
        <w:snapToGrid w:val="0"/>
        <w:spacing w:line="360" w:lineRule="auto"/>
        <w:ind w:firstLine="420" w:firstLineChars="200"/>
        <w:rPr>
          <w:rFonts w:hAnsi="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pgSz w:w="11906" w:h="16838"/>
          <w:pgMar w:top="1440" w:right="1803" w:bottom="1440" w:left="1803" w:header="851" w:footer="851" w:gutter="0"/>
          <w:cols w:space="720" w:num="1"/>
          <w:docGrid w:linePitch="312" w:charSpace="0"/>
        </w:sectPr>
      </w:pPr>
    </w:p>
    <w:p>
      <w:pPr>
        <w:adjustRightInd w:val="0"/>
        <w:snapToGrid w:val="0"/>
        <w:spacing w:line="360" w:lineRule="auto"/>
        <w:jc w:val="left"/>
        <w:rPr>
          <w:rFonts w:ascii="宋体" w:hAnsi="宋体" w:cs="宋体"/>
          <w:b/>
          <w:szCs w:val="21"/>
        </w:rPr>
      </w:pPr>
      <w:r>
        <w:rPr>
          <w:rFonts w:hint="eastAsia" w:ascii="宋体" w:hAnsi="宋体" w:cs="宋体"/>
          <w:b/>
          <w:szCs w:val="21"/>
        </w:rPr>
        <w:t>附件一：采购代理服务费收费标准</w:t>
      </w:r>
    </w:p>
    <w:p>
      <w:pPr>
        <w:pStyle w:val="13"/>
      </w:pP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采购代理服务收费参照汇率表</w:t>
      </w:r>
    </w:p>
    <w:tbl>
      <w:tblPr>
        <w:tblStyle w:val="47"/>
        <w:tblW w:w="9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jc w:val="right"/>
              <w:rPr>
                <w:rFonts w:ascii="宋体" w:hAnsi="宋体"/>
                <w:bCs/>
                <w:szCs w:val="21"/>
              </w:rPr>
            </w:pPr>
            <w:r>
              <w:rPr>
                <w:rFonts w:hint="eastAsia" w:ascii="宋体" w:hAnsi="宋体"/>
                <w:bCs/>
                <w:szCs w:val="21"/>
              </w:rPr>
              <w:t>汇率</w:t>
            </w:r>
          </w:p>
          <w:p>
            <w:pPr>
              <w:adjustRightInd w:val="0"/>
              <w:snapToGrid w:val="0"/>
              <w:spacing w:line="360" w:lineRule="auto"/>
              <w:rPr>
                <w:rFonts w:ascii="宋体" w:hAnsi="宋体"/>
                <w:bCs/>
                <w:szCs w:val="21"/>
              </w:rPr>
            </w:pPr>
            <w:r>
              <w:rPr>
                <w:rFonts w:hint="eastAsia" w:ascii="宋体" w:hAnsi="宋体"/>
                <w:bCs/>
                <w:szCs w:val="21"/>
              </w:rPr>
              <w:t>中</w:t>
            </w:r>
            <w:r>
              <w:rPr>
                <w:rFonts w:ascii="宋体" w:hAnsi="宋体"/>
                <w:bCs/>
                <w:szCs w:val="21"/>
              </w:rPr>
              <w:t>选金额</w:t>
            </w:r>
          </w:p>
        </w:tc>
        <w:tc>
          <w:tcPr>
            <w:tcW w:w="2451" w:type="dxa"/>
            <w:tcBorders>
              <w:top w:val="single" w:color="auto" w:sz="12" w:space="0"/>
            </w:tcBorders>
            <w:vAlign w:val="center"/>
          </w:tcPr>
          <w:p>
            <w:pPr>
              <w:adjustRightInd w:val="0"/>
              <w:snapToGrid w:val="0"/>
              <w:spacing w:line="360" w:lineRule="auto"/>
              <w:jc w:val="center"/>
              <w:rPr>
                <w:rFonts w:ascii="宋体" w:hAnsi="宋体"/>
                <w:bCs/>
                <w:szCs w:val="21"/>
              </w:rPr>
            </w:pPr>
            <w:r>
              <w:rPr>
                <w:rFonts w:hint="eastAsia" w:ascii="宋体" w:hAnsi="宋体"/>
                <w:bCs/>
                <w:szCs w:val="21"/>
              </w:rPr>
              <w:t>货物</w:t>
            </w:r>
            <w:r>
              <w:rPr>
                <w:rFonts w:ascii="宋体" w:hAnsi="宋体"/>
                <w:bCs/>
                <w:szCs w:val="21"/>
              </w:rPr>
              <w:t>采购</w:t>
            </w:r>
          </w:p>
        </w:tc>
        <w:tc>
          <w:tcPr>
            <w:tcW w:w="2325" w:type="dxa"/>
            <w:tcBorders>
              <w:top w:val="single" w:color="auto" w:sz="12" w:space="0"/>
            </w:tcBorders>
            <w:vAlign w:val="center"/>
          </w:tcPr>
          <w:p>
            <w:pPr>
              <w:adjustRightInd w:val="0"/>
              <w:snapToGrid w:val="0"/>
              <w:spacing w:line="360" w:lineRule="auto"/>
              <w:jc w:val="center"/>
              <w:rPr>
                <w:rFonts w:ascii="宋体" w:hAnsi="宋体"/>
                <w:bCs/>
                <w:szCs w:val="21"/>
              </w:rPr>
            </w:pPr>
            <w:r>
              <w:rPr>
                <w:rFonts w:hint="eastAsia" w:ascii="宋体" w:hAnsi="宋体"/>
                <w:bCs/>
                <w:szCs w:val="21"/>
              </w:rPr>
              <w:t>服务</w:t>
            </w:r>
            <w:r>
              <w:rPr>
                <w:rFonts w:ascii="宋体" w:hAnsi="宋体"/>
                <w:bCs/>
                <w:szCs w:val="21"/>
              </w:rPr>
              <w:t>采购</w:t>
            </w:r>
          </w:p>
        </w:tc>
        <w:tc>
          <w:tcPr>
            <w:tcW w:w="2367" w:type="dxa"/>
            <w:tcBorders>
              <w:top w:val="single" w:color="auto" w:sz="12" w:space="0"/>
              <w:right w:val="single" w:color="auto" w:sz="12" w:space="0"/>
            </w:tcBorders>
            <w:vAlign w:val="center"/>
          </w:tcPr>
          <w:p>
            <w:pPr>
              <w:adjustRightInd w:val="0"/>
              <w:snapToGrid w:val="0"/>
              <w:spacing w:line="360" w:lineRule="auto"/>
              <w:jc w:val="center"/>
              <w:rPr>
                <w:rFonts w:ascii="宋体" w:hAnsi="宋体"/>
                <w:bCs/>
                <w:szCs w:val="21"/>
              </w:rPr>
            </w:pPr>
            <w:r>
              <w:rPr>
                <w:rFonts w:hint="eastAsia" w:ascii="宋体" w:hAnsi="宋体"/>
                <w:bCs/>
                <w:szCs w:val="21"/>
              </w:rPr>
              <w:t>工程</w:t>
            </w:r>
            <w:r>
              <w:rPr>
                <w:rFonts w:ascii="宋体" w:hAnsi="宋体"/>
                <w:bCs/>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jc w:val="center"/>
              <w:rPr>
                <w:rFonts w:ascii="宋体" w:hAnsi="宋体"/>
                <w:bCs/>
                <w:szCs w:val="21"/>
              </w:rPr>
            </w:pPr>
            <w:r>
              <w:rPr>
                <w:rFonts w:hint="eastAsia" w:ascii="宋体" w:hAnsi="宋体"/>
                <w:bCs/>
                <w:szCs w:val="21"/>
              </w:rPr>
              <w:t>100万</w:t>
            </w:r>
            <w:r>
              <w:rPr>
                <w:rFonts w:ascii="宋体" w:hAnsi="宋体"/>
                <w:bCs/>
                <w:szCs w:val="21"/>
              </w:rPr>
              <w:t>元以下</w:t>
            </w:r>
          </w:p>
        </w:tc>
        <w:tc>
          <w:tcPr>
            <w:tcW w:w="2451" w:type="dxa"/>
            <w:vAlign w:val="center"/>
          </w:tcPr>
          <w:p>
            <w:pPr>
              <w:adjustRightInd w:val="0"/>
              <w:snapToGrid w:val="0"/>
              <w:spacing w:line="360" w:lineRule="auto"/>
              <w:jc w:val="center"/>
              <w:rPr>
                <w:rFonts w:ascii="宋体" w:hAnsi="宋体"/>
                <w:bCs/>
                <w:szCs w:val="21"/>
              </w:rPr>
            </w:pPr>
            <w:r>
              <w:rPr>
                <w:rFonts w:hint="eastAsia" w:ascii="宋体" w:hAnsi="宋体"/>
                <w:bCs/>
                <w:szCs w:val="21"/>
              </w:rPr>
              <w:t>1.5%</w:t>
            </w:r>
          </w:p>
        </w:tc>
        <w:tc>
          <w:tcPr>
            <w:tcW w:w="2325" w:type="dxa"/>
            <w:vAlign w:val="center"/>
          </w:tcPr>
          <w:p>
            <w:pPr>
              <w:adjustRightInd w:val="0"/>
              <w:snapToGrid w:val="0"/>
              <w:spacing w:line="360" w:lineRule="auto"/>
              <w:jc w:val="center"/>
              <w:rPr>
                <w:rFonts w:ascii="宋体" w:hAnsi="宋体"/>
                <w:bCs/>
                <w:szCs w:val="21"/>
              </w:rPr>
            </w:pPr>
            <w:r>
              <w:rPr>
                <w:rFonts w:hint="eastAsia" w:ascii="宋体" w:hAnsi="宋体"/>
                <w:bCs/>
                <w:szCs w:val="21"/>
              </w:rPr>
              <w:t>1.5%</w:t>
            </w:r>
          </w:p>
        </w:tc>
        <w:tc>
          <w:tcPr>
            <w:tcW w:w="2367" w:type="dxa"/>
            <w:tcBorders>
              <w:right w:val="single" w:color="auto" w:sz="12" w:space="0"/>
            </w:tcBorders>
            <w:vAlign w:val="center"/>
          </w:tcPr>
          <w:p>
            <w:pPr>
              <w:adjustRightInd w:val="0"/>
              <w:snapToGrid w:val="0"/>
              <w:spacing w:line="360" w:lineRule="auto"/>
              <w:jc w:val="center"/>
              <w:rPr>
                <w:rFonts w:ascii="宋体" w:hAnsi="宋体"/>
                <w:bCs/>
                <w:szCs w:val="21"/>
              </w:rPr>
            </w:pPr>
            <w:r>
              <w:rPr>
                <w:rFonts w:hint="eastAsia" w:ascii="宋体" w:hAnsi="宋体"/>
                <w:bCs/>
                <w:szCs w:val="21"/>
              </w:rPr>
              <w:t>1.0</w:t>
            </w:r>
            <w:r>
              <w:rPr>
                <w:rFonts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jc w:val="center"/>
              <w:rPr>
                <w:rFonts w:ascii="宋体" w:hAnsi="宋体"/>
                <w:bCs/>
                <w:szCs w:val="21"/>
              </w:rPr>
            </w:pPr>
            <w:r>
              <w:rPr>
                <w:rFonts w:hint="eastAsia" w:ascii="宋体" w:hAnsi="宋体"/>
                <w:bCs/>
                <w:szCs w:val="21"/>
              </w:rPr>
              <w:t>100～400万</w:t>
            </w:r>
            <w:r>
              <w:rPr>
                <w:rFonts w:ascii="宋体" w:hAnsi="宋体"/>
                <w:bCs/>
                <w:szCs w:val="21"/>
              </w:rPr>
              <w:t>元</w:t>
            </w:r>
          </w:p>
        </w:tc>
        <w:tc>
          <w:tcPr>
            <w:tcW w:w="2451" w:type="dxa"/>
            <w:vAlign w:val="center"/>
          </w:tcPr>
          <w:p>
            <w:pPr>
              <w:adjustRightInd w:val="0"/>
              <w:snapToGrid w:val="0"/>
              <w:spacing w:line="360" w:lineRule="auto"/>
              <w:jc w:val="center"/>
              <w:rPr>
                <w:rFonts w:ascii="宋体" w:hAnsi="宋体"/>
                <w:bCs/>
                <w:szCs w:val="21"/>
              </w:rPr>
            </w:pPr>
            <w:r>
              <w:rPr>
                <w:rFonts w:hint="eastAsia" w:ascii="宋体" w:hAnsi="宋体"/>
                <w:bCs/>
                <w:szCs w:val="21"/>
              </w:rPr>
              <w:t>1.1%</w:t>
            </w:r>
          </w:p>
        </w:tc>
        <w:tc>
          <w:tcPr>
            <w:tcW w:w="2325" w:type="dxa"/>
            <w:vAlign w:val="center"/>
          </w:tcPr>
          <w:p>
            <w:pPr>
              <w:adjustRightInd w:val="0"/>
              <w:snapToGrid w:val="0"/>
              <w:spacing w:line="360" w:lineRule="auto"/>
              <w:jc w:val="center"/>
              <w:rPr>
                <w:rFonts w:ascii="宋体" w:hAnsi="宋体"/>
                <w:bCs/>
                <w:szCs w:val="21"/>
              </w:rPr>
            </w:pPr>
            <w:r>
              <w:rPr>
                <w:rFonts w:hint="eastAsia" w:ascii="宋体" w:hAnsi="宋体"/>
                <w:bCs/>
                <w:szCs w:val="21"/>
              </w:rPr>
              <w:t>0.8%</w:t>
            </w:r>
          </w:p>
        </w:tc>
        <w:tc>
          <w:tcPr>
            <w:tcW w:w="2367" w:type="dxa"/>
            <w:tcBorders>
              <w:right w:val="single" w:color="auto" w:sz="12" w:space="0"/>
            </w:tcBorders>
            <w:vAlign w:val="center"/>
          </w:tcPr>
          <w:p>
            <w:pPr>
              <w:adjustRightInd w:val="0"/>
              <w:snapToGrid w:val="0"/>
              <w:spacing w:line="360" w:lineRule="auto"/>
              <w:jc w:val="center"/>
              <w:rPr>
                <w:rFonts w:ascii="宋体" w:hAnsi="宋体"/>
                <w:bCs/>
                <w:szCs w:val="21"/>
              </w:rPr>
            </w:pPr>
            <w:r>
              <w:rPr>
                <w:rFonts w:hint="eastAsia" w:ascii="宋体" w:hAnsi="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8"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jc w:val="center"/>
              <w:rPr>
                <w:rFonts w:ascii="宋体" w:hAnsi="宋体"/>
                <w:bCs/>
                <w:szCs w:val="21"/>
              </w:rPr>
            </w:pPr>
            <w:r>
              <w:rPr>
                <w:rFonts w:hint="eastAsia" w:ascii="宋体" w:hAnsi="宋体"/>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bCs/>
                <w:szCs w:val="21"/>
              </w:rPr>
            </w:pPr>
            <w:r>
              <w:rPr>
                <w:rFonts w:hint="eastAsia" w:ascii="宋体" w:hAnsi="宋体"/>
                <w:bCs/>
                <w:szCs w:val="21"/>
              </w:rPr>
              <w:t>采购代理</w:t>
            </w:r>
            <w:r>
              <w:rPr>
                <w:rFonts w:ascii="宋体" w:hAnsi="宋体"/>
                <w:bCs/>
                <w:szCs w:val="21"/>
              </w:rPr>
              <w:t>服务费的收费标准为：以中选价为基数，按《</w:t>
            </w:r>
            <w:r>
              <w:rPr>
                <w:rFonts w:hint="eastAsia" w:ascii="宋体" w:hAnsi="宋体"/>
                <w:bCs/>
                <w:szCs w:val="21"/>
              </w:rPr>
              <w:t>采购</w:t>
            </w:r>
            <w:r>
              <w:rPr>
                <w:rFonts w:ascii="宋体" w:hAnsi="宋体"/>
                <w:bCs/>
                <w:szCs w:val="21"/>
              </w:rPr>
              <w:t>代理服务收费参照汇率表》</w:t>
            </w:r>
            <w:r>
              <w:rPr>
                <w:rFonts w:hint="eastAsia" w:ascii="宋体" w:hAnsi="宋体"/>
                <w:bCs/>
                <w:szCs w:val="21"/>
              </w:rPr>
              <w:t>进行</w:t>
            </w:r>
            <w:r>
              <w:rPr>
                <w:rFonts w:ascii="宋体" w:hAnsi="宋体"/>
                <w:bCs/>
                <w:szCs w:val="21"/>
              </w:rPr>
              <w:t>计算后，向中选单位收取。服务</w:t>
            </w:r>
            <w:r>
              <w:rPr>
                <w:rFonts w:hint="eastAsia" w:ascii="宋体" w:hAnsi="宋体"/>
                <w:bCs/>
                <w:szCs w:val="21"/>
              </w:rPr>
              <w:t>费</w:t>
            </w:r>
            <w:r>
              <w:rPr>
                <w:rFonts w:ascii="宋体" w:hAnsi="宋体"/>
                <w:bCs/>
                <w:szCs w:val="21"/>
              </w:rPr>
              <w:t>超过</w:t>
            </w:r>
            <w:r>
              <w:rPr>
                <w:rFonts w:hint="eastAsia" w:ascii="宋体" w:hAnsi="宋体"/>
                <w:bCs/>
                <w:szCs w:val="21"/>
              </w:rPr>
              <w:t>2万</w:t>
            </w:r>
            <w:r>
              <w:rPr>
                <w:rFonts w:ascii="宋体" w:hAnsi="宋体"/>
                <w:bCs/>
                <w:szCs w:val="21"/>
              </w:rPr>
              <w:t>元的，按</w:t>
            </w:r>
            <w:r>
              <w:rPr>
                <w:rFonts w:hint="eastAsia" w:ascii="宋体" w:hAnsi="宋体"/>
                <w:bCs/>
                <w:szCs w:val="21"/>
              </w:rPr>
              <w:t>2万</w:t>
            </w:r>
            <w:r>
              <w:rPr>
                <w:rFonts w:ascii="宋体" w:hAnsi="宋体"/>
                <w:bCs/>
                <w:szCs w:val="21"/>
              </w:rPr>
              <w:t>元</w:t>
            </w:r>
            <w:r>
              <w:rPr>
                <w:rFonts w:hint="eastAsia" w:ascii="宋体" w:hAnsi="宋体"/>
                <w:bCs/>
                <w:szCs w:val="21"/>
              </w:rPr>
              <w:t>计</w:t>
            </w:r>
            <w:r>
              <w:rPr>
                <w:rFonts w:ascii="宋体" w:hAnsi="宋体"/>
                <w:bCs/>
                <w:szCs w:val="21"/>
              </w:rPr>
              <w:t>取，服务费低于</w:t>
            </w:r>
            <w:r>
              <w:rPr>
                <w:rFonts w:hint="eastAsia" w:ascii="宋体" w:hAnsi="宋体"/>
                <w:bCs/>
                <w:szCs w:val="21"/>
              </w:rPr>
              <w:t>5000元</w:t>
            </w:r>
            <w:r>
              <w:rPr>
                <w:rFonts w:ascii="宋体" w:hAnsi="宋体"/>
                <w:bCs/>
                <w:szCs w:val="21"/>
              </w:rPr>
              <w:t>的，按</w:t>
            </w:r>
            <w:r>
              <w:rPr>
                <w:rFonts w:hint="eastAsia" w:ascii="宋体" w:hAnsi="宋体"/>
                <w:bCs/>
                <w:szCs w:val="21"/>
              </w:rPr>
              <w:t>5000元</w:t>
            </w:r>
            <w:r>
              <w:rPr>
                <w:rFonts w:ascii="宋体" w:hAnsi="宋体"/>
                <w:bCs/>
                <w:szCs w:val="21"/>
              </w:rPr>
              <w:t>计取。</w:t>
            </w:r>
          </w:p>
        </w:tc>
      </w:tr>
    </w:tbl>
    <w:p>
      <w:pPr>
        <w:adjustRightInd w:val="0"/>
        <w:snapToGrid w:val="0"/>
        <w:spacing w:line="360" w:lineRule="auto"/>
        <w:jc w:val="left"/>
        <w:rPr>
          <w:rFonts w:ascii="宋体" w:hAnsi="宋体"/>
          <w:b/>
          <w:szCs w:val="21"/>
        </w:rPr>
      </w:pPr>
    </w:p>
    <w:p>
      <w:pPr>
        <w:adjustRightInd w:val="0"/>
        <w:snapToGrid w:val="0"/>
        <w:spacing w:line="360" w:lineRule="auto"/>
        <w:jc w:val="left"/>
        <w:rPr>
          <w:rFonts w:ascii="宋体" w:hAnsi="宋体"/>
          <w:bCs/>
          <w:szCs w:val="21"/>
        </w:rPr>
      </w:pPr>
      <w:r>
        <w:rPr>
          <w:rFonts w:hint="eastAsia" w:ascii="宋体" w:hAnsi="宋体"/>
          <w:bCs/>
          <w:szCs w:val="21"/>
        </w:rPr>
        <w:t>注</w:t>
      </w:r>
      <w:r>
        <w:rPr>
          <w:rFonts w:ascii="宋体" w:hAnsi="宋体"/>
          <w:bCs/>
          <w:szCs w:val="21"/>
        </w:rPr>
        <w:t>：采购代理服务收费按差额定率累进法计算。例如</w:t>
      </w:r>
      <w:r>
        <w:rPr>
          <w:rFonts w:hint="eastAsia" w:ascii="宋体" w:hAnsi="宋体"/>
          <w:bCs/>
          <w:szCs w:val="21"/>
        </w:rPr>
        <w:t>：</w:t>
      </w:r>
      <w:r>
        <w:rPr>
          <w:rFonts w:ascii="宋体" w:hAnsi="宋体"/>
          <w:bCs/>
          <w:szCs w:val="21"/>
        </w:rPr>
        <w:t>某工程采购代理业务中选金额为</w:t>
      </w:r>
      <w:r>
        <w:rPr>
          <w:rFonts w:hint="eastAsia" w:ascii="宋体" w:hAnsi="宋体"/>
          <w:bCs/>
          <w:szCs w:val="21"/>
        </w:rPr>
        <w:t>300万</w:t>
      </w:r>
      <w:r>
        <w:rPr>
          <w:rFonts w:ascii="宋体" w:hAnsi="宋体"/>
          <w:bCs/>
          <w:szCs w:val="21"/>
        </w:rPr>
        <w:t>元，计算采购代理服务收费额如下：</w:t>
      </w:r>
    </w:p>
    <w:p>
      <w:pPr>
        <w:adjustRightInd w:val="0"/>
        <w:snapToGrid w:val="0"/>
        <w:spacing w:line="360" w:lineRule="auto"/>
        <w:ind w:firstLine="420" w:firstLineChars="200"/>
        <w:jc w:val="left"/>
        <w:rPr>
          <w:rFonts w:ascii="宋体" w:hAnsi="宋体"/>
          <w:bCs/>
          <w:szCs w:val="21"/>
        </w:rPr>
      </w:pPr>
      <w:r>
        <w:rPr>
          <w:rFonts w:ascii="宋体" w:hAnsi="宋体"/>
          <w:bCs/>
          <w:szCs w:val="21"/>
        </w:rPr>
        <w:t>100</w:t>
      </w:r>
      <w:r>
        <w:rPr>
          <w:rFonts w:hint="eastAsia" w:ascii="宋体" w:hAnsi="宋体"/>
          <w:bCs/>
          <w:szCs w:val="21"/>
        </w:rPr>
        <w:t>万</w:t>
      </w:r>
      <w:r>
        <w:rPr>
          <w:rFonts w:ascii="宋体" w:hAnsi="宋体"/>
          <w:bCs/>
          <w:szCs w:val="21"/>
        </w:rPr>
        <w:t>元</w:t>
      </w:r>
      <w:r>
        <w:rPr>
          <w:rFonts w:hint="eastAsia" w:ascii="宋体" w:hAnsi="宋体"/>
          <w:bCs/>
          <w:szCs w:val="21"/>
        </w:rPr>
        <w:t>×1.0%＝1万</w:t>
      </w:r>
      <w:r>
        <w:rPr>
          <w:rFonts w:ascii="宋体" w:hAnsi="宋体"/>
          <w:bCs/>
          <w:szCs w:val="21"/>
        </w:rPr>
        <w:t>元</w:t>
      </w:r>
    </w:p>
    <w:p>
      <w:pPr>
        <w:adjustRightInd w:val="0"/>
        <w:snapToGrid w:val="0"/>
        <w:spacing w:line="360" w:lineRule="auto"/>
        <w:ind w:firstLine="420" w:firstLineChars="200"/>
        <w:jc w:val="left"/>
        <w:rPr>
          <w:rFonts w:ascii="宋体" w:hAnsi="宋体"/>
          <w:bCs/>
          <w:szCs w:val="21"/>
        </w:rPr>
      </w:pPr>
      <w:r>
        <w:rPr>
          <w:rFonts w:hint="eastAsia" w:ascii="宋体" w:hAnsi="宋体"/>
          <w:bCs/>
          <w:szCs w:val="21"/>
        </w:rPr>
        <w:t>（300-100）</w:t>
      </w:r>
      <w:r>
        <w:rPr>
          <w:rFonts w:ascii="宋体" w:hAnsi="宋体"/>
          <w:bCs/>
          <w:szCs w:val="21"/>
        </w:rPr>
        <w:t>万元</w:t>
      </w:r>
      <w:r>
        <w:rPr>
          <w:rFonts w:hint="eastAsia" w:ascii="宋体" w:hAnsi="宋体"/>
          <w:bCs/>
          <w:szCs w:val="21"/>
        </w:rPr>
        <w:t>×0.7%＝1.4万</w:t>
      </w:r>
      <w:r>
        <w:rPr>
          <w:rFonts w:ascii="宋体" w:hAnsi="宋体"/>
          <w:bCs/>
          <w:szCs w:val="21"/>
        </w:rPr>
        <w:t>元</w:t>
      </w:r>
    </w:p>
    <w:p>
      <w:pPr>
        <w:adjustRightInd w:val="0"/>
        <w:snapToGrid w:val="0"/>
        <w:spacing w:line="360" w:lineRule="auto"/>
        <w:ind w:firstLine="420" w:firstLineChars="200"/>
        <w:jc w:val="left"/>
        <w:rPr>
          <w:rFonts w:ascii="宋体" w:hAnsi="宋体"/>
          <w:bCs/>
          <w:szCs w:val="21"/>
        </w:rPr>
      </w:pPr>
      <w:r>
        <w:rPr>
          <w:rFonts w:hint="eastAsia" w:ascii="宋体" w:hAnsi="宋体"/>
          <w:bCs/>
          <w:szCs w:val="21"/>
        </w:rPr>
        <w:t>合计</w:t>
      </w:r>
      <w:r>
        <w:rPr>
          <w:rFonts w:ascii="宋体" w:hAnsi="宋体"/>
          <w:bCs/>
          <w:szCs w:val="21"/>
        </w:rPr>
        <w:t>收费＝</w:t>
      </w:r>
      <w:r>
        <w:rPr>
          <w:rFonts w:hint="eastAsia" w:ascii="宋体" w:hAnsi="宋体"/>
          <w:bCs/>
          <w:szCs w:val="21"/>
        </w:rPr>
        <w:t>1+1.4＝2.4（</w:t>
      </w:r>
      <w:r>
        <w:rPr>
          <w:rFonts w:ascii="宋体" w:hAnsi="宋体"/>
          <w:bCs/>
          <w:szCs w:val="21"/>
        </w:rPr>
        <w:t>万元）</w:t>
      </w:r>
    </w:p>
    <w:p>
      <w:pPr>
        <w:adjustRightInd w:val="0"/>
        <w:snapToGrid w:val="0"/>
        <w:spacing w:line="360" w:lineRule="auto"/>
        <w:ind w:firstLine="422" w:firstLineChars="200"/>
        <w:jc w:val="left"/>
        <w:rPr>
          <w:rFonts w:ascii="宋体" w:hAnsi="宋体"/>
          <w:b/>
          <w:szCs w:val="21"/>
        </w:rPr>
        <w:sectPr>
          <w:footerReference r:id="rId5" w:type="default"/>
          <w:pgSz w:w="11906" w:h="16838"/>
          <w:pgMar w:top="1440" w:right="1797" w:bottom="1440" w:left="1797" w:header="851" w:footer="851" w:gutter="0"/>
          <w:cols w:space="720" w:num="1"/>
          <w:docGrid w:linePitch="312" w:charSpace="0"/>
        </w:sectPr>
      </w:pPr>
    </w:p>
    <w:p>
      <w:pPr>
        <w:pStyle w:val="3"/>
        <w:keepNext w:val="0"/>
        <w:rPr>
          <w:rFonts w:ascii="宋体" w:hAnsi="宋体"/>
          <w:bCs w:val="0"/>
          <w:sz w:val="32"/>
          <w:szCs w:val="32"/>
        </w:rPr>
      </w:pPr>
      <w:bookmarkStart w:id="25" w:name="_Toc20753193"/>
      <w:bookmarkStart w:id="26" w:name="_Toc20753090"/>
      <w:r>
        <w:rPr>
          <w:rFonts w:hint="eastAsia" w:ascii="宋体" w:hAnsi="宋体"/>
          <w:bCs w:val="0"/>
          <w:sz w:val="32"/>
          <w:szCs w:val="32"/>
        </w:rPr>
        <w:t>第三章 评审办法及标准</w:t>
      </w:r>
      <w:bookmarkEnd w:id="25"/>
      <w:bookmarkEnd w:id="26"/>
    </w:p>
    <w:p>
      <w:pPr>
        <w:adjustRightInd w:val="0"/>
        <w:snapToGrid w:val="0"/>
        <w:spacing w:line="360" w:lineRule="auto"/>
        <w:ind w:left="723" w:hanging="723" w:hangingChars="300"/>
        <w:rPr>
          <w:rFonts w:ascii="宋体" w:hAnsi="宋体"/>
          <w:b/>
          <w:sz w:val="24"/>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b/>
          <w:bCs/>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3．谈判程序分为：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4.2参与谈判的代表身份经验证不合格的，视为无效响应，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（1）未按照谈判文件规定要求签署盖章的；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（3）不满足资格条件要求的；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（4）不满足用户需求书要求的；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b/>
          <w:bCs/>
          <w:szCs w:val="21"/>
        </w:rPr>
        <w:t>车辆维修工时单价报价超过15元，维修材料管理费报价超过15％的</w:t>
      </w:r>
      <w:r>
        <w:rPr>
          <w:rFonts w:hint="eastAsia" w:ascii="宋体" w:hAnsi="宋体" w:cs="宋体"/>
          <w:szCs w:val="21"/>
        </w:rPr>
        <w:t>；</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（6）递交两份或多份内容不同的报价文件，或在一份报价文件中对同一项目报有两个或多个报价，且未声明哪一个有效的。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7.推荐中选单位</w:t>
      </w:r>
    </w:p>
    <w:p>
      <w:pPr>
        <w:spacing w:line="360" w:lineRule="auto"/>
        <w:ind w:firstLine="420" w:firstLineChars="200"/>
        <w:rPr>
          <w:rFonts w:ascii="宋体" w:hAnsi="宋体"/>
          <w:szCs w:val="21"/>
        </w:rPr>
      </w:pPr>
      <w:r>
        <w:rPr>
          <w:rFonts w:hint="eastAsia" w:ascii="宋体" w:hAnsi="宋体" w:cs="宋体"/>
          <w:bCs/>
          <w:szCs w:val="21"/>
        </w:rPr>
        <w:t>7.1</w:t>
      </w:r>
      <w:r>
        <w:rPr>
          <w:rFonts w:hint="eastAsia" w:ascii="宋体" w:hAnsi="宋体" w:cs="宋体"/>
          <w:kern w:val="0"/>
          <w:szCs w:val="21"/>
        </w:rPr>
        <w:t>谈判评审小组在谈判评审阶段结束后，以</w:t>
      </w:r>
      <w:r>
        <w:rPr>
          <w:rFonts w:hint="eastAsia" w:ascii="宋体" w:hAnsi="宋体"/>
          <w:szCs w:val="21"/>
        </w:rPr>
        <w:t>车辆维修工时单价报价按不得超过</w:t>
      </w:r>
      <w:r>
        <w:rPr>
          <w:rFonts w:hint="eastAsia" w:ascii="宋体" w:hAnsi="宋体"/>
          <w:color w:val="000000" w:themeColor="text1"/>
          <w:szCs w:val="21"/>
        </w:rPr>
        <w:t>15元/小时</w:t>
      </w:r>
      <w:r>
        <w:rPr>
          <w:rFonts w:hint="eastAsia" w:ascii="宋体" w:hAnsi="宋体"/>
          <w:szCs w:val="21"/>
        </w:rPr>
        <w:t>为入围资格，维修材料管理费最低者为推荐中选单位。若出现维修材料管理费报价相同的情形，按车辆维修工时单价报价最低者为推荐中选单位，若存在维修工时单价跟维修材料管理费一致的情况，则采取现场抽签方式确定中选单位，</w:t>
      </w:r>
      <w:r>
        <w:rPr>
          <w:rFonts w:hint="eastAsia" w:ascii="宋体" w:hAnsi="宋体" w:cs="宋体"/>
          <w:kern w:val="0"/>
          <w:szCs w:val="21"/>
        </w:rPr>
        <w:t>并填写评审报告。</w:t>
      </w:r>
    </w:p>
    <w:p>
      <w:pPr>
        <w:adjustRightInd w:val="0"/>
        <w:snapToGrid w:val="0"/>
        <w:spacing w:line="360" w:lineRule="auto"/>
        <w:rPr>
          <w:rFonts w:ascii="宋体" w:hAnsi="宋体"/>
          <w:szCs w:val="21"/>
        </w:rPr>
      </w:pPr>
    </w:p>
    <w:p>
      <w:pPr>
        <w:adjustRightInd w:val="0"/>
        <w:snapToGrid w:val="0"/>
        <w:spacing w:beforeLines="50" w:line="360" w:lineRule="auto"/>
        <w:rPr>
          <w:rFonts w:ascii="黑体" w:eastAsia="黑体"/>
          <w:b/>
          <w:sz w:val="32"/>
          <w:szCs w:val="32"/>
        </w:rPr>
        <w:sectPr>
          <w:pgSz w:w="11906" w:h="16838"/>
          <w:pgMar w:top="1440" w:right="1797" w:bottom="1440" w:left="1797" w:header="851" w:footer="851" w:gutter="0"/>
          <w:cols w:space="720" w:num="1"/>
          <w:docGrid w:linePitch="312" w:charSpace="0"/>
        </w:sectPr>
      </w:pPr>
    </w:p>
    <w:p>
      <w:pPr>
        <w:pStyle w:val="3"/>
        <w:keepNext w:val="0"/>
        <w:rPr>
          <w:rFonts w:ascii="宋体" w:hAnsi="宋体"/>
          <w:bCs w:val="0"/>
          <w:sz w:val="32"/>
          <w:szCs w:val="32"/>
        </w:rPr>
      </w:pPr>
      <w:bookmarkStart w:id="27" w:name="_Toc20753091"/>
      <w:bookmarkStart w:id="28" w:name="_Toc20753194"/>
      <w:r>
        <w:rPr>
          <w:rFonts w:hint="eastAsia" w:ascii="宋体" w:hAnsi="宋体"/>
          <w:bCs w:val="0"/>
          <w:sz w:val="32"/>
          <w:szCs w:val="32"/>
        </w:rPr>
        <w:t>第四章  用户需求书</w:t>
      </w:r>
      <w:bookmarkEnd w:id="27"/>
      <w:bookmarkEnd w:id="28"/>
      <w:bookmarkStart w:id="29" w:name="_Toc17869"/>
      <w:bookmarkStart w:id="30" w:name="_Toc29384"/>
      <w:bookmarkStart w:id="31" w:name="_Toc15464915"/>
      <w:bookmarkStart w:id="32" w:name="_Toc12538880"/>
      <w:bookmarkStart w:id="33" w:name="_Toc23786"/>
      <w:bookmarkStart w:id="34" w:name="_Toc18879"/>
    </w:p>
    <w:p>
      <w:pPr>
        <w:adjustRightInd w:val="0"/>
        <w:snapToGrid w:val="0"/>
        <w:spacing w:beforeLines="50" w:line="360" w:lineRule="auto"/>
        <w:ind w:firstLine="422" w:firstLineChars="200"/>
        <w:rPr>
          <w:rFonts w:ascii="宋体" w:hAnsi="宋体" w:cs="黑体"/>
          <w:b/>
          <w:bCs/>
          <w:color w:val="000000"/>
          <w:szCs w:val="21"/>
        </w:rPr>
      </w:pPr>
      <w:bookmarkStart w:id="35" w:name="_Toc20752103"/>
      <w:r>
        <w:rPr>
          <w:rFonts w:hint="eastAsia" w:ascii="宋体" w:hAnsi="宋体" w:cs="黑体"/>
          <w:b/>
          <w:bCs/>
          <w:color w:val="000000"/>
          <w:szCs w:val="21"/>
        </w:rPr>
        <w:t>一、项目概况及招标范围</w:t>
      </w:r>
      <w:bookmarkEnd w:id="29"/>
      <w:bookmarkEnd w:id="30"/>
      <w:bookmarkEnd w:id="31"/>
      <w:bookmarkEnd w:id="32"/>
      <w:bookmarkEnd w:id="33"/>
      <w:bookmarkEnd w:id="34"/>
      <w:bookmarkEnd w:id="35"/>
    </w:p>
    <w:p>
      <w:pPr>
        <w:adjustRightInd w:val="0"/>
        <w:snapToGrid w:val="0"/>
        <w:spacing w:beforeLines="50" w:line="360" w:lineRule="auto"/>
        <w:ind w:firstLine="422" w:firstLineChars="200"/>
        <w:rPr>
          <w:rFonts w:ascii="宋体" w:hAnsi="宋体" w:cs="楷体_GB2312"/>
          <w:b/>
          <w:bCs/>
          <w:color w:val="000000"/>
          <w:szCs w:val="21"/>
        </w:rPr>
      </w:pPr>
      <w:bookmarkStart w:id="36" w:name="_Toc15464916"/>
      <w:bookmarkStart w:id="37" w:name="_Toc30089"/>
      <w:bookmarkStart w:id="38" w:name="_Toc12538881"/>
      <w:bookmarkStart w:id="39" w:name="_Toc20752104"/>
      <w:bookmarkStart w:id="40" w:name="_Toc23899"/>
      <w:bookmarkStart w:id="41" w:name="_Toc29351"/>
      <w:r>
        <w:rPr>
          <w:rFonts w:hint="eastAsia" w:ascii="宋体" w:hAnsi="宋体" w:cs="楷体_GB2312"/>
          <w:b/>
          <w:bCs/>
          <w:color w:val="000000"/>
          <w:szCs w:val="21"/>
        </w:rPr>
        <w:t>（一）项目概况</w:t>
      </w:r>
      <w:bookmarkEnd w:id="36"/>
      <w:bookmarkEnd w:id="37"/>
      <w:bookmarkEnd w:id="38"/>
      <w:bookmarkEnd w:id="39"/>
      <w:bookmarkEnd w:id="40"/>
      <w:bookmarkEnd w:id="41"/>
    </w:p>
    <w:p>
      <w:pPr>
        <w:adjustRightInd w:val="0"/>
        <w:snapToGrid w:val="0"/>
        <w:spacing w:beforeLines="50" w:line="360" w:lineRule="auto"/>
        <w:ind w:firstLine="420" w:firstLineChars="200"/>
        <w:rPr>
          <w:rFonts w:ascii="宋体" w:hAnsi="宋体" w:cs="仿宋_GB2312"/>
          <w:color w:val="000000"/>
          <w:szCs w:val="21"/>
        </w:rPr>
      </w:pPr>
      <w:r>
        <w:rPr>
          <w:rFonts w:hint="eastAsia" w:ascii="宋体" w:hAnsi="宋体" w:cs="仿宋_GB2312"/>
          <w:color w:val="000000"/>
          <w:szCs w:val="21"/>
        </w:rPr>
        <w:t>本次参与维修招标的所有车辆类型均为非营业性行政公务车辆，经统计现有车辆28辆，后续拟新增车辆43辆，所有车辆主要但不限于东风、长城、日产、金旅、依维柯等品牌以及地铁救援抢险特种车辆，故实行定点采购确定定点服务单位承担车俩维修业务。</w:t>
      </w:r>
    </w:p>
    <w:p>
      <w:pPr>
        <w:adjustRightInd w:val="0"/>
        <w:snapToGrid w:val="0"/>
        <w:spacing w:beforeLines="50" w:line="360" w:lineRule="auto"/>
        <w:ind w:firstLine="422" w:firstLineChars="200"/>
        <w:rPr>
          <w:rFonts w:ascii="宋体" w:hAnsi="宋体" w:cs="楷体_GB2312"/>
          <w:b/>
          <w:bCs/>
          <w:color w:val="000000"/>
          <w:szCs w:val="21"/>
        </w:rPr>
      </w:pPr>
      <w:bookmarkStart w:id="42" w:name="_Toc9639"/>
      <w:bookmarkStart w:id="43" w:name="_Toc20752105"/>
      <w:bookmarkStart w:id="44" w:name="_Toc15464917"/>
      <w:bookmarkStart w:id="45" w:name="_Toc32329"/>
      <w:bookmarkStart w:id="46" w:name="_Toc12538882"/>
      <w:bookmarkStart w:id="47" w:name="_Toc7937"/>
      <w:r>
        <w:rPr>
          <w:rFonts w:hint="eastAsia" w:ascii="宋体" w:hAnsi="宋体" w:cs="楷体_GB2312"/>
          <w:b/>
          <w:bCs/>
          <w:color w:val="000000"/>
          <w:szCs w:val="21"/>
        </w:rPr>
        <w:t>（二）招标范围</w:t>
      </w:r>
      <w:bookmarkEnd w:id="42"/>
      <w:bookmarkEnd w:id="43"/>
      <w:bookmarkEnd w:id="44"/>
      <w:bookmarkEnd w:id="45"/>
      <w:bookmarkEnd w:id="46"/>
      <w:bookmarkEnd w:id="47"/>
    </w:p>
    <w:p>
      <w:pPr>
        <w:adjustRightInd w:val="0"/>
        <w:snapToGrid w:val="0"/>
        <w:spacing w:beforeLines="50" w:line="360" w:lineRule="auto"/>
        <w:ind w:firstLine="420" w:firstLineChars="200"/>
        <w:rPr>
          <w:rFonts w:ascii="宋体" w:hAnsi="宋体" w:cs="仿宋_GB2312"/>
          <w:szCs w:val="21"/>
        </w:rPr>
      </w:pPr>
      <w:r>
        <w:rPr>
          <w:rFonts w:hint="eastAsia" w:ascii="宋体" w:hAnsi="宋体" w:cs="仿宋_GB2312"/>
          <w:szCs w:val="21"/>
        </w:rPr>
        <w:t>车辆维修招标范围（包括但不限于）：车辆日常维护、一级维护、二级维护、车辆大修、总成修理、车辆小修和车辆专项修理、二十四小时拖车、代办车辆年审和其他有关的车辆维修服务项目，以及合同期内新增车辆的维修及相关业务。</w:t>
      </w:r>
    </w:p>
    <w:p>
      <w:pPr>
        <w:adjustRightInd w:val="0"/>
        <w:snapToGrid w:val="0"/>
        <w:spacing w:beforeLines="50" w:line="360" w:lineRule="auto"/>
        <w:ind w:firstLine="422" w:firstLineChars="200"/>
        <w:rPr>
          <w:rFonts w:ascii="宋体" w:hAnsi="宋体" w:cs="黑体"/>
          <w:b/>
          <w:bCs/>
          <w:szCs w:val="21"/>
        </w:rPr>
      </w:pPr>
      <w:bookmarkStart w:id="48" w:name="_Toc31425"/>
      <w:bookmarkStart w:id="49" w:name="_Toc20752106"/>
      <w:bookmarkStart w:id="50" w:name="_Toc23051"/>
      <w:bookmarkStart w:id="51" w:name="_Toc12084"/>
      <w:bookmarkStart w:id="52" w:name="_Toc15464918"/>
      <w:bookmarkStart w:id="53" w:name="_Toc29998"/>
      <w:bookmarkStart w:id="54" w:name="_Toc12538883"/>
      <w:r>
        <w:rPr>
          <w:rFonts w:hint="eastAsia" w:ascii="宋体" w:hAnsi="宋体" w:cs="黑体"/>
          <w:b/>
          <w:bCs/>
          <w:szCs w:val="21"/>
        </w:rPr>
        <w:t>二、项目计划</w:t>
      </w:r>
      <w:bookmarkEnd w:id="48"/>
      <w:bookmarkEnd w:id="49"/>
      <w:bookmarkEnd w:id="50"/>
      <w:bookmarkEnd w:id="51"/>
      <w:bookmarkEnd w:id="52"/>
      <w:bookmarkEnd w:id="53"/>
      <w:bookmarkEnd w:id="54"/>
    </w:p>
    <w:p>
      <w:pPr>
        <w:adjustRightInd w:val="0"/>
        <w:snapToGrid w:val="0"/>
        <w:spacing w:beforeLines="50" w:line="360" w:lineRule="auto"/>
        <w:ind w:firstLine="420" w:firstLineChars="200"/>
        <w:rPr>
          <w:rFonts w:ascii="宋体" w:hAnsi="宋体" w:cs="仿宋_GB2312"/>
          <w:szCs w:val="21"/>
        </w:rPr>
      </w:pPr>
      <w:r>
        <w:rPr>
          <w:rFonts w:hint="eastAsia" w:ascii="宋体" w:hAnsi="宋体" w:cs="仿宋_GB2312"/>
          <w:szCs w:val="21"/>
        </w:rPr>
        <w:t>本项目服务期限为2020年至2021年，总计12个月（实际服务时间以中标人接到招标人发出的书面开工令起算，总计12个月）。</w:t>
      </w:r>
    </w:p>
    <w:p>
      <w:pPr>
        <w:adjustRightInd w:val="0"/>
        <w:snapToGrid w:val="0"/>
        <w:spacing w:beforeLines="50" w:line="360" w:lineRule="auto"/>
        <w:ind w:firstLine="422" w:firstLineChars="200"/>
        <w:rPr>
          <w:rFonts w:ascii="宋体" w:hAnsi="宋体" w:cs="黑体"/>
          <w:b/>
          <w:bCs/>
          <w:szCs w:val="21"/>
        </w:rPr>
      </w:pPr>
      <w:bookmarkStart w:id="55" w:name="_Toc20752107"/>
      <w:bookmarkStart w:id="56" w:name="_Toc27987"/>
      <w:bookmarkStart w:id="57" w:name="_Toc12538884"/>
      <w:bookmarkStart w:id="58" w:name="_Toc7722"/>
      <w:bookmarkStart w:id="59" w:name="_Toc31839"/>
      <w:bookmarkStart w:id="60" w:name="_Toc20606"/>
      <w:bookmarkStart w:id="61" w:name="_Toc15464919"/>
      <w:r>
        <w:rPr>
          <w:rFonts w:hint="eastAsia" w:ascii="宋体" w:hAnsi="宋体" w:cs="黑体"/>
          <w:b/>
          <w:bCs/>
          <w:szCs w:val="21"/>
        </w:rPr>
        <w:t>三、相关技术标准及规范</w:t>
      </w:r>
      <w:bookmarkEnd w:id="55"/>
      <w:bookmarkEnd w:id="56"/>
      <w:bookmarkEnd w:id="57"/>
      <w:bookmarkEnd w:id="58"/>
      <w:bookmarkEnd w:id="59"/>
      <w:bookmarkEnd w:id="60"/>
      <w:bookmarkEnd w:id="61"/>
    </w:p>
    <w:p>
      <w:pPr>
        <w:adjustRightInd w:val="0"/>
        <w:snapToGrid w:val="0"/>
        <w:spacing w:beforeLines="50" w:line="360" w:lineRule="auto"/>
        <w:ind w:firstLine="420" w:firstLineChars="200"/>
        <w:rPr>
          <w:rFonts w:ascii="宋体" w:hAnsi="宋体"/>
          <w:szCs w:val="21"/>
        </w:rPr>
      </w:pPr>
      <w:r>
        <w:rPr>
          <w:rFonts w:hint="eastAsia" w:ascii="宋体" w:hAnsi="宋体" w:cs="仿宋_GB2312"/>
          <w:color w:val="000000"/>
          <w:szCs w:val="21"/>
        </w:rPr>
        <w:t>投标人应严格按照下列技术标准及规范等相关标准（包括以下国内技术标准、规范及同行业相关经验，但不限于以下内容）执行，以下标准如有更新，须按最新标准执行（详见表一）：</w:t>
      </w:r>
    </w:p>
    <w:tbl>
      <w:tblPr>
        <w:tblStyle w:val="46"/>
        <w:tblW w:w="8946" w:type="dxa"/>
        <w:jc w:val="center"/>
        <w:tblInd w:w="0" w:type="dxa"/>
        <w:tblLayout w:type="fixed"/>
        <w:tblCellMar>
          <w:top w:w="15" w:type="dxa"/>
          <w:left w:w="15" w:type="dxa"/>
          <w:bottom w:w="15" w:type="dxa"/>
          <w:right w:w="15" w:type="dxa"/>
        </w:tblCellMar>
      </w:tblPr>
      <w:tblGrid>
        <w:gridCol w:w="724"/>
        <w:gridCol w:w="3402"/>
        <w:gridCol w:w="4820"/>
      </w:tblGrid>
      <w:tr>
        <w:tblPrEx>
          <w:tblLayout w:type="fixed"/>
          <w:tblCellMar>
            <w:top w:w="15" w:type="dxa"/>
            <w:left w:w="15" w:type="dxa"/>
            <w:bottom w:w="15" w:type="dxa"/>
            <w:right w:w="15" w:type="dxa"/>
          </w:tblCellMar>
        </w:tblPrEx>
        <w:trPr>
          <w:trHeight w:val="307" w:hRule="atLeast"/>
          <w:jc w:val="center"/>
        </w:trPr>
        <w:tc>
          <w:tcPr>
            <w:tcW w:w="894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line="360" w:lineRule="auto"/>
              <w:ind w:firstLine="422" w:firstLineChars="200"/>
              <w:jc w:val="center"/>
              <w:rPr>
                <w:rFonts w:ascii="宋体" w:hAnsi="宋体" w:cstheme="minorEastAsia"/>
                <w:b/>
                <w:color w:val="000000"/>
                <w:szCs w:val="21"/>
              </w:rPr>
            </w:pPr>
            <w:r>
              <w:rPr>
                <w:rFonts w:hint="eastAsia" w:ascii="宋体" w:hAnsi="宋体" w:cstheme="minorEastAsia"/>
                <w:b/>
                <w:color w:val="000000"/>
                <w:szCs w:val="21"/>
              </w:rPr>
              <w:t>表一：标准汇总表</w:t>
            </w:r>
          </w:p>
        </w:tc>
      </w:tr>
      <w:tr>
        <w:tblPrEx>
          <w:tblLayout w:type="fixed"/>
          <w:tblCellMar>
            <w:top w:w="15" w:type="dxa"/>
            <w:left w:w="15" w:type="dxa"/>
            <w:bottom w:w="15" w:type="dxa"/>
            <w:right w:w="15" w:type="dxa"/>
          </w:tblCellMar>
        </w:tblPrEx>
        <w:trPr>
          <w:trHeight w:val="28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line="360" w:lineRule="auto"/>
              <w:jc w:val="center"/>
              <w:textAlignment w:val="center"/>
              <w:rPr>
                <w:rFonts w:ascii="宋体" w:hAnsi="宋体" w:cstheme="minorEastAsia"/>
                <w:b/>
                <w:color w:val="000000"/>
                <w:szCs w:val="21"/>
              </w:rPr>
            </w:pPr>
            <w:r>
              <w:rPr>
                <w:rFonts w:hint="eastAsia" w:ascii="宋体" w:hAnsi="宋体" w:cstheme="minorEastAsia"/>
                <w:b/>
                <w:color w:val="000000"/>
                <w:szCs w:val="21"/>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line="360" w:lineRule="auto"/>
              <w:jc w:val="center"/>
              <w:textAlignment w:val="center"/>
              <w:rPr>
                <w:rFonts w:ascii="宋体" w:hAnsi="宋体" w:cstheme="minorEastAsia"/>
                <w:b/>
                <w:color w:val="000000"/>
                <w:szCs w:val="21"/>
              </w:rPr>
            </w:pPr>
            <w:r>
              <w:rPr>
                <w:rFonts w:hint="eastAsia" w:ascii="宋体" w:hAnsi="宋体" w:cstheme="minorEastAsia"/>
                <w:b/>
                <w:color w:val="000000"/>
                <w:szCs w:val="21"/>
              </w:rPr>
              <w:t>标准代号</w:t>
            </w:r>
          </w:p>
        </w:tc>
        <w:tc>
          <w:tcPr>
            <w:tcW w:w="48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line="360" w:lineRule="auto"/>
              <w:jc w:val="center"/>
              <w:textAlignment w:val="center"/>
              <w:rPr>
                <w:rFonts w:ascii="宋体" w:hAnsi="宋体" w:cstheme="minorEastAsia"/>
                <w:b/>
                <w:color w:val="000000"/>
                <w:szCs w:val="21"/>
              </w:rPr>
            </w:pPr>
            <w:r>
              <w:rPr>
                <w:rFonts w:hint="eastAsia" w:ascii="宋体" w:hAnsi="宋体" w:cstheme="minorEastAsia"/>
                <w:b/>
                <w:color w:val="000000"/>
                <w:szCs w:val="21"/>
              </w:rPr>
              <w:t>标准名称</w:t>
            </w:r>
          </w:p>
        </w:tc>
      </w:tr>
      <w:tr>
        <w:tblPrEx>
          <w:tblLayout w:type="fixed"/>
          <w:tblCellMar>
            <w:top w:w="15" w:type="dxa"/>
            <w:left w:w="15" w:type="dxa"/>
            <w:bottom w:w="15" w:type="dxa"/>
            <w:right w:w="15" w:type="dxa"/>
          </w:tblCellMar>
        </w:tblPrEx>
        <w:trPr>
          <w:trHeight w:val="510" w:hRule="atLeast"/>
          <w:jc w:val="center"/>
        </w:trPr>
        <w:tc>
          <w:tcPr>
            <w:tcW w:w="724" w:type="dxa"/>
            <w:tcBorders>
              <w:top w:val="single" w:color="auto" w:sz="4" w:space="0"/>
              <w:left w:val="single" w:color="000000" w:sz="4" w:space="0"/>
              <w:bottom w:val="single" w:color="auto" w:sz="4" w:space="0"/>
              <w:right w:val="single" w:color="000000" w:sz="4" w:space="0"/>
            </w:tcBorders>
            <w:vAlign w:val="center"/>
          </w:tcPr>
          <w:p>
            <w:pPr>
              <w:adjustRightInd w:val="0"/>
              <w:snapToGrid w:val="0"/>
              <w:spacing w:before="50" w:line="360" w:lineRule="auto"/>
              <w:jc w:val="center"/>
              <w:textAlignment w:val="center"/>
              <w:rPr>
                <w:rFonts w:ascii="宋体" w:hAnsi="宋体" w:cstheme="minorEastAsia"/>
                <w:color w:val="000000"/>
                <w:szCs w:val="21"/>
              </w:rPr>
            </w:pPr>
            <w:r>
              <w:rPr>
                <w:rFonts w:hint="eastAsia" w:ascii="宋体" w:hAnsi="宋体" w:cstheme="minorEastAsia"/>
                <w:color w:val="000000"/>
                <w:szCs w:val="21"/>
              </w:rPr>
              <w:t>1</w:t>
            </w:r>
          </w:p>
        </w:tc>
        <w:tc>
          <w:tcPr>
            <w:tcW w:w="3402" w:type="dxa"/>
            <w:tcBorders>
              <w:top w:val="single" w:color="auto" w:sz="4" w:space="0"/>
              <w:left w:val="single" w:color="000000" w:sz="4" w:space="0"/>
              <w:bottom w:val="single" w:color="auto" w:sz="4" w:space="0"/>
              <w:right w:val="single" w:color="000000" w:sz="4" w:space="0"/>
            </w:tcBorders>
            <w:vAlign w:val="center"/>
          </w:tcPr>
          <w:p>
            <w:pPr>
              <w:adjustRightInd w:val="0"/>
              <w:snapToGrid w:val="0"/>
              <w:spacing w:before="50" w:line="360" w:lineRule="auto"/>
              <w:jc w:val="center"/>
              <w:textAlignment w:val="center"/>
              <w:rPr>
                <w:rFonts w:ascii="宋体" w:hAnsi="宋体" w:cstheme="minorEastAsia"/>
                <w:color w:val="000000"/>
                <w:szCs w:val="21"/>
              </w:rPr>
            </w:pPr>
            <w:r>
              <w:rPr>
                <w:rFonts w:hint="eastAsia" w:ascii="宋体" w:hAnsi="宋体" w:cstheme="minorEastAsia"/>
                <w:color w:val="000000"/>
                <w:szCs w:val="21"/>
              </w:rPr>
              <w:t>交通运输部令2016年第37号</w:t>
            </w:r>
          </w:p>
        </w:tc>
        <w:tc>
          <w:tcPr>
            <w:tcW w:w="4820" w:type="dxa"/>
            <w:tcBorders>
              <w:top w:val="single" w:color="auto" w:sz="4" w:space="0"/>
              <w:left w:val="single" w:color="000000" w:sz="4" w:space="0"/>
              <w:bottom w:val="single" w:color="auto" w:sz="4" w:space="0"/>
              <w:right w:val="single" w:color="000000" w:sz="4" w:space="0"/>
            </w:tcBorders>
            <w:vAlign w:val="center"/>
          </w:tcPr>
          <w:p>
            <w:pPr>
              <w:adjustRightInd w:val="0"/>
              <w:snapToGrid w:val="0"/>
              <w:spacing w:before="50" w:line="360" w:lineRule="auto"/>
              <w:jc w:val="center"/>
              <w:textAlignment w:val="center"/>
              <w:rPr>
                <w:rFonts w:ascii="宋体" w:hAnsi="宋体" w:cstheme="minorEastAsia"/>
                <w:color w:val="000000"/>
                <w:szCs w:val="21"/>
              </w:rPr>
            </w:pPr>
            <w:r>
              <w:rPr>
                <w:rFonts w:hint="eastAsia" w:ascii="宋体" w:hAnsi="宋体" w:cstheme="minorEastAsia"/>
                <w:color w:val="000000"/>
                <w:szCs w:val="21"/>
              </w:rPr>
              <w:t>机动车维修管理规定</w:t>
            </w:r>
          </w:p>
        </w:tc>
      </w:tr>
      <w:tr>
        <w:tblPrEx>
          <w:tblLayout w:type="fixed"/>
          <w:tblCellMar>
            <w:top w:w="15" w:type="dxa"/>
            <w:left w:w="15" w:type="dxa"/>
            <w:bottom w:w="15" w:type="dxa"/>
            <w:right w:w="15" w:type="dxa"/>
          </w:tblCellMar>
        </w:tblPrEx>
        <w:trPr>
          <w:trHeight w:val="486" w:hRule="atLeast"/>
          <w:jc w:val="center"/>
        </w:trPr>
        <w:tc>
          <w:tcPr>
            <w:tcW w:w="724" w:type="dxa"/>
            <w:tcBorders>
              <w:top w:val="single" w:color="auto" w:sz="4" w:space="0"/>
              <w:left w:val="single" w:color="000000" w:sz="4" w:space="0"/>
              <w:bottom w:val="single" w:color="auto" w:sz="4" w:space="0"/>
              <w:right w:val="single" w:color="000000" w:sz="4" w:space="0"/>
            </w:tcBorders>
            <w:vAlign w:val="center"/>
          </w:tcPr>
          <w:p>
            <w:pPr>
              <w:adjustRightInd w:val="0"/>
              <w:snapToGrid w:val="0"/>
              <w:spacing w:before="50" w:line="360" w:lineRule="auto"/>
              <w:jc w:val="center"/>
              <w:rPr>
                <w:rFonts w:ascii="宋体" w:hAnsi="宋体"/>
                <w:szCs w:val="21"/>
              </w:rPr>
            </w:pPr>
            <w:r>
              <w:rPr>
                <w:rFonts w:hint="eastAsia" w:ascii="宋体" w:hAnsi="宋体"/>
                <w:szCs w:val="21"/>
              </w:rPr>
              <w:t>2</w:t>
            </w:r>
          </w:p>
        </w:tc>
        <w:tc>
          <w:tcPr>
            <w:tcW w:w="3402" w:type="dxa"/>
            <w:tcBorders>
              <w:top w:val="single" w:color="auto" w:sz="4" w:space="0"/>
              <w:left w:val="single" w:color="000000" w:sz="4" w:space="0"/>
              <w:bottom w:val="single" w:color="auto" w:sz="4" w:space="0"/>
              <w:right w:val="single" w:color="000000" w:sz="4" w:space="0"/>
            </w:tcBorders>
            <w:vAlign w:val="center"/>
          </w:tcPr>
          <w:p>
            <w:pPr>
              <w:adjustRightInd w:val="0"/>
              <w:snapToGrid w:val="0"/>
              <w:spacing w:before="50" w:line="360" w:lineRule="auto"/>
              <w:jc w:val="center"/>
              <w:rPr>
                <w:rFonts w:ascii="宋体" w:hAnsi="宋体"/>
                <w:szCs w:val="21"/>
              </w:rPr>
            </w:pPr>
            <w:r>
              <w:rPr>
                <w:rFonts w:hint="eastAsia" w:ascii="宋体" w:hAnsi="宋体"/>
                <w:szCs w:val="21"/>
              </w:rPr>
              <w:t>湖南省汽车维修与检测行业协会</w:t>
            </w:r>
          </w:p>
        </w:tc>
        <w:tc>
          <w:tcPr>
            <w:tcW w:w="4820" w:type="dxa"/>
            <w:tcBorders>
              <w:top w:val="single" w:color="auto" w:sz="4" w:space="0"/>
              <w:left w:val="single" w:color="000000" w:sz="4" w:space="0"/>
              <w:bottom w:val="single" w:color="auto" w:sz="4" w:space="0"/>
              <w:right w:val="single" w:color="000000" w:sz="4" w:space="0"/>
            </w:tcBorders>
            <w:vAlign w:val="center"/>
          </w:tcPr>
          <w:p>
            <w:pPr>
              <w:adjustRightInd w:val="0"/>
              <w:snapToGrid w:val="0"/>
              <w:spacing w:before="50" w:line="360" w:lineRule="auto"/>
              <w:jc w:val="center"/>
              <w:rPr>
                <w:rFonts w:ascii="宋体" w:hAnsi="宋体"/>
                <w:szCs w:val="21"/>
              </w:rPr>
            </w:pPr>
            <w:bookmarkStart w:id="62" w:name="_Toc11767"/>
            <w:r>
              <w:rPr>
                <w:rFonts w:hint="eastAsia" w:ascii="宋体" w:hAnsi="宋体"/>
                <w:szCs w:val="21"/>
              </w:rPr>
              <w:t>湖南省机动车维修工时定额及收费标准（2013版）</w:t>
            </w:r>
            <w:bookmarkEnd w:id="62"/>
          </w:p>
        </w:tc>
      </w:tr>
    </w:tbl>
    <w:p>
      <w:pPr>
        <w:adjustRightInd w:val="0"/>
        <w:snapToGrid w:val="0"/>
        <w:spacing w:beforeLines="50" w:line="360" w:lineRule="auto"/>
        <w:ind w:firstLine="422" w:firstLineChars="200"/>
        <w:rPr>
          <w:rFonts w:ascii="宋体" w:hAnsi="宋体" w:cs="黑体"/>
          <w:b/>
          <w:bCs/>
          <w:szCs w:val="21"/>
        </w:rPr>
      </w:pPr>
      <w:bookmarkStart w:id="63" w:name="_Toc3464"/>
      <w:bookmarkStart w:id="64" w:name="_Toc12538885"/>
      <w:bookmarkStart w:id="65" w:name="_Toc25670"/>
      <w:bookmarkStart w:id="66" w:name="_Toc21125"/>
      <w:bookmarkStart w:id="67" w:name="_Toc15464920"/>
      <w:bookmarkStart w:id="68" w:name="_Toc6996"/>
      <w:bookmarkStart w:id="69" w:name="_Toc20752108"/>
      <w:r>
        <w:rPr>
          <w:rFonts w:hint="eastAsia" w:ascii="宋体" w:hAnsi="宋体" w:cs="黑体"/>
          <w:b/>
          <w:bCs/>
          <w:szCs w:val="21"/>
        </w:rPr>
        <w:t>四、项目管控要求</w:t>
      </w:r>
      <w:bookmarkEnd w:id="63"/>
      <w:bookmarkEnd w:id="64"/>
      <w:bookmarkEnd w:id="65"/>
      <w:bookmarkEnd w:id="66"/>
      <w:bookmarkEnd w:id="67"/>
      <w:bookmarkEnd w:id="68"/>
      <w:bookmarkEnd w:id="69"/>
    </w:p>
    <w:p>
      <w:pPr>
        <w:adjustRightInd w:val="0"/>
        <w:snapToGrid w:val="0"/>
        <w:spacing w:before="50" w:line="360" w:lineRule="auto"/>
        <w:ind w:firstLine="420" w:firstLineChars="200"/>
        <w:jc w:val="left"/>
        <w:rPr>
          <w:rFonts w:ascii="宋体" w:hAnsi="宋体" w:cs="楷体_GB2312"/>
          <w:color w:val="000000"/>
          <w:szCs w:val="21"/>
        </w:rPr>
      </w:pPr>
      <w:bookmarkStart w:id="70" w:name="_Toc20989"/>
      <w:bookmarkStart w:id="71" w:name="_Toc18105"/>
      <w:bookmarkStart w:id="72" w:name="_Toc11818"/>
      <w:bookmarkStart w:id="73" w:name="_Toc12538886"/>
      <w:bookmarkStart w:id="74" w:name="_Toc15464921"/>
      <w:bookmarkStart w:id="75" w:name="_Toc20752109"/>
      <w:r>
        <w:rPr>
          <w:rFonts w:hint="eastAsia" w:ascii="宋体" w:hAnsi="宋体" w:cs="楷体_GB2312"/>
          <w:color w:val="000000"/>
          <w:szCs w:val="21"/>
        </w:rPr>
        <w:t>（一）人员配备要求</w:t>
      </w:r>
      <w:bookmarkEnd w:id="70"/>
      <w:bookmarkEnd w:id="71"/>
      <w:bookmarkEnd w:id="72"/>
      <w:bookmarkEnd w:id="73"/>
      <w:bookmarkEnd w:id="74"/>
      <w:bookmarkEnd w:id="75"/>
    </w:p>
    <w:p>
      <w:pPr>
        <w:pStyle w:val="195"/>
        <w:framePr w:wrap="auto" w:vAnchor="margin" w:hAnchor="text" w:yAlign="inline"/>
        <w:adjustRightInd w:val="0"/>
        <w:snapToGrid w:val="0"/>
        <w:spacing w:before="50" w:line="360" w:lineRule="auto"/>
        <w:ind w:firstLine="420" w:firstLineChars="200"/>
      </w:pPr>
      <w:r>
        <w:rPr>
          <w:rFonts w:hint="eastAsia"/>
        </w:rPr>
        <w:t>1.投标人为本项目配备的技术负责人员不少于1人。</w:t>
      </w:r>
      <w:r>
        <w:t>技术负责人员应当熟悉汽车或者其他机动车维修业务，并掌握汽车或者其他机动车维修及相关政策法规和技术规范；</w:t>
      </w:r>
    </w:p>
    <w:p>
      <w:pPr>
        <w:pStyle w:val="195"/>
        <w:framePr w:wrap="auto" w:vAnchor="margin" w:hAnchor="text" w:yAlign="inline"/>
        <w:adjustRightInd w:val="0"/>
        <w:snapToGrid w:val="0"/>
        <w:spacing w:before="50" w:line="360" w:lineRule="auto"/>
        <w:ind w:firstLine="420" w:firstLineChars="200"/>
      </w:pPr>
      <w:r>
        <w:rPr>
          <w:rFonts w:hint="eastAsia"/>
        </w:rPr>
        <w:t>2.投标人为本项目配备的质量检验人员不少于1人。</w:t>
      </w:r>
      <w:r>
        <w:t>质量检验人员应当熟悉各类汽车或者其他机动车维修检测作业规范，掌握汽车或者其他机动车维修故障诊断和质量检验的相关技术，熟悉汽车或者其他机动车维修服务收费标准及相关政策法规和技术规范。</w:t>
      </w:r>
    </w:p>
    <w:p>
      <w:pPr>
        <w:adjustRightInd w:val="0"/>
        <w:snapToGrid w:val="0"/>
        <w:spacing w:before="50" w:line="360" w:lineRule="auto"/>
        <w:ind w:firstLine="420" w:firstLineChars="200"/>
        <w:jc w:val="left"/>
        <w:rPr>
          <w:rFonts w:ascii="宋体" w:hAnsi="宋体" w:cs="宋体"/>
          <w:szCs w:val="21"/>
        </w:rPr>
      </w:pPr>
      <w:bookmarkStart w:id="76" w:name="_Toc20752110"/>
      <w:r>
        <w:rPr>
          <w:rFonts w:hint="eastAsia" w:ascii="宋体" w:hAnsi="宋体" w:cs="宋体"/>
          <w:szCs w:val="21"/>
        </w:rPr>
        <w:t>3.投标人为本项目配备相应的技术工人。</w:t>
      </w:r>
      <w:r>
        <w:rPr>
          <w:rFonts w:ascii="宋体" w:hAnsi="宋体" w:cs="宋体"/>
          <w:szCs w:val="21"/>
        </w:rPr>
        <w:t>从事机修、电器、钣金、涂漆的</w:t>
      </w:r>
      <w:r>
        <w:rPr>
          <w:rFonts w:hint="eastAsia" w:ascii="宋体" w:hAnsi="宋体" w:cs="宋体"/>
          <w:szCs w:val="21"/>
        </w:rPr>
        <w:t>技术工人</w:t>
      </w:r>
      <w:r>
        <w:rPr>
          <w:rFonts w:ascii="宋体" w:hAnsi="宋体" w:cs="宋体"/>
          <w:szCs w:val="21"/>
        </w:rPr>
        <w:t>应当</w:t>
      </w:r>
      <w:bookmarkEnd w:id="76"/>
    </w:p>
    <w:p>
      <w:pPr>
        <w:adjustRightInd w:val="0"/>
        <w:snapToGrid w:val="0"/>
        <w:spacing w:before="50" w:line="360" w:lineRule="auto"/>
        <w:ind w:firstLine="420" w:firstLineChars="200"/>
        <w:jc w:val="left"/>
        <w:rPr>
          <w:rFonts w:ascii="宋体" w:hAnsi="宋体" w:cs="宋体"/>
          <w:szCs w:val="21"/>
        </w:rPr>
      </w:pPr>
      <w:bookmarkStart w:id="77" w:name="_Toc20752111"/>
      <w:r>
        <w:rPr>
          <w:rFonts w:ascii="宋体" w:hAnsi="宋体" w:cs="宋体"/>
          <w:szCs w:val="21"/>
        </w:rPr>
        <w:t>熟悉所从事工种的维修技术和操作规范，并了解汽车或者其他机动车维修及相关政策法规。</w:t>
      </w:r>
      <w:bookmarkEnd w:id="77"/>
      <w:bookmarkStart w:id="78" w:name="_Toc15464922"/>
      <w:bookmarkStart w:id="79" w:name="_Toc12538887"/>
      <w:bookmarkStart w:id="80" w:name="_Toc25068"/>
      <w:bookmarkStart w:id="81" w:name="_Toc23880"/>
      <w:bookmarkStart w:id="82" w:name="_Toc22831"/>
    </w:p>
    <w:p>
      <w:pPr>
        <w:adjustRightInd w:val="0"/>
        <w:snapToGrid w:val="0"/>
        <w:spacing w:before="50" w:line="360" w:lineRule="auto"/>
        <w:ind w:firstLine="420" w:firstLineChars="200"/>
        <w:jc w:val="left"/>
        <w:rPr>
          <w:rFonts w:ascii="宋体" w:hAnsi="宋体" w:cs="楷体_GB2312"/>
          <w:color w:val="000000"/>
          <w:szCs w:val="21"/>
        </w:rPr>
      </w:pPr>
      <w:bookmarkStart w:id="83" w:name="_Toc20752112"/>
      <w:r>
        <w:rPr>
          <w:rFonts w:hint="eastAsia" w:ascii="宋体" w:hAnsi="宋体" w:cs="楷体_GB2312"/>
          <w:color w:val="000000"/>
          <w:szCs w:val="21"/>
        </w:rPr>
        <w:t>（二）设备配备要求</w:t>
      </w:r>
      <w:bookmarkEnd w:id="78"/>
      <w:bookmarkEnd w:id="79"/>
      <w:bookmarkEnd w:id="80"/>
      <w:bookmarkEnd w:id="81"/>
      <w:bookmarkEnd w:id="82"/>
      <w:bookmarkEnd w:id="83"/>
    </w:p>
    <w:p>
      <w:pPr>
        <w:adjustRightInd w:val="0"/>
        <w:snapToGrid w:val="0"/>
        <w:spacing w:before="50" w:line="360" w:lineRule="auto"/>
        <w:ind w:firstLine="420" w:firstLineChars="200"/>
        <w:rPr>
          <w:rFonts w:ascii="宋体" w:hAnsi="宋体" w:cs="宋体"/>
          <w:szCs w:val="21"/>
        </w:rPr>
      </w:pPr>
      <w:r>
        <w:rPr>
          <w:rFonts w:hint="eastAsia" w:ascii="宋体" w:hAnsi="宋体" w:cs="宋体"/>
          <w:szCs w:val="21"/>
        </w:rPr>
        <w:t>设备配备需满足车辆维修的基本要求，具体如下：</w:t>
      </w:r>
    </w:p>
    <w:p>
      <w:pPr>
        <w:pStyle w:val="195"/>
        <w:framePr w:wrap="auto" w:vAnchor="margin" w:hAnchor="text" w:yAlign="inline"/>
        <w:adjustRightInd w:val="0"/>
        <w:snapToGrid w:val="0"/>
        <w:spacing w:before="50" w:line="360" w:lineRule="auto"/>
        <w:ind w:firstLine="420" w:firstLineChars="200"/>
      </w:pPr>
      <w:r>
        <w:rPr>
          <w:rFonts w:hint="eastAsia"/>
        </w:rPr>
        <w:t>1.清洗拆装设备：车身清洗设备、除尘除垢设备。</w:t>
      </w:r>
    </w:p>
    <w:p>
      <w:pPr>
        <w:pStyle w:val="195"/>
        <w:framePr w:wrap="auto" w:vAnchor="margin" w:hAnchor="text" w:yAlign="inline"/>
        <w:adjustRightInd w:val="0"/>
        <w:snapToGrid w:val="0"/>
        <w:spacing w:before="50" w:line="360" w:lineRule="auto"/>
        <w:ind w:firstLine="420" w:firstLineChars="200"/>
      </w:pPr>
      <w:r>
        <w:rPr>
          <w:rFonts w:hint="eastAsia"/>
        </w:rPr>
        <w:t>2.发动机总成修理设备：换油设备、发动机检测诊断设备、气缸压力表。</w:t>
      </w:r>
    </w:p>
    <w:p>
      <w:pPr>
        <w:pStyle w:val="195"/>
        <w:framePr w:wrap="auto" w:vAnchor="margin" w:hAnchor="text" w:yAlign="inline"/>
        <w:adjustRightInd w:val="0"/>
        <w:snapToGrid w:val="0"/>
        <w:spacing w:before="50" w:line="360" w:lineRule="auto"/>
        <w:ind w:firstLine="420" w:firstLineChars="200"/>
      </w:pPr>
      <w:r>
        <w:rPr>
          <w:rFonts w:hint="eastAsia"/>
        </w:rPr>
        <w:t>3.底盘修理设备：轮胎轮毂拆装设备、轮胎螺母拆装机、车轮动平衡机、四轮定位仪。</w:t>
      </w:r>
    </w:p>
    <w:p>
      <w:pPr>
        <w:pStyle w:val="195"/>
        <w:framePr w:wrap="auto" w:vAnchor="margin" w:hAnchor="text" w:yAlign="inline"/>
        <w:adjustRightInd w:val="0"/>
        <w:snapToGrid w:val="0"/>
        <w:spacing w:before="50" w:line="360" w:lineRule="auto"/>
        <w:ind w:firstLine="420" w:firstLineChars="200"/>
      </w:pPr>
      <w:r>
        <w:rPr>
          <w:rFonts w:hint="eastAsia"/>
        </w:rPr>
        <w:t>4.电器修理设备：汽车空调冷媒加注回收设备、数字式万用电表、故障诊断设备。</w:t>
      </w:r>
    </w:p>
    <w:p>
      <w:pPr>
        <w:pStyle w:val="195"/>
        <w:framePr w:wrap="auto" w:vAnchor="margin" w:hAnchor="text" w:yAlign="inline"/>
        <w:adjustRightInd w:val="0"/>
        <w:snapToGrid w:val="0"/>
        <w:spacing w:before="50" w:line="360" w:lineRule="auto"/>
        <w:ind w:firstLine="420" w:firstLineChars="200"/>
      </w:pPr>
      <w:r>
        <w:rPr>
          <w:rFonts w:hint="eastAsia"/>
        </w:rPr>
        <w:t>5.车身总成修理设备：打磨抛光设备、型材切割机、车身整形设备、车身校正设备、车架校正设备、喷烤漆房及设备、电焊及气体保护焊设备、气焊设备。</w:t>
      </w:r>
    </w:p>
    <w:p>
      <w:pPr>
        <w:pStyle w:val="195"/>
        <w:framePr w:wrap="auto" w:vAnchor="margin" w:hAnchor="text" w:yAlign="inline"/>
        <w:adjustRightInd w:val="0"/>
        <w:snapToGrid w:val="0"/>
        <w:spacing w:before="50" w:line="360" w:lineRule="auto"/>
        <w:ind w:firstLine="420" w:firstLineChars="200"/>
      </w:pPr>
      <w:r>
        <w:rPr>
          <w:rFonts w:hint="eastAsia"/>
        </w:rPr>
        <w:t>6.通用设备：总成吊装设备、汽车举升机、地沟设施、钻床、压力机、空气压缩机、施救车。</w:t>
      </w:r>
    </w:p>
    <w:p>
      <w:pPr>
        <w:pStyle w:val="195"/>
        <w:framePr w:wrap="auto" w:vAnchor="margin" w:hAnchor="text" w:yAlign="inline"/>
        <w:adjustRightInd w:val="0"/>
        <w:snapToGrid w:val="0"/>
        <w:spacing w:before="50" w:line="360" w:lineRule="auto"/>
        <w:ind w:firstLine="420" w:firstLineChars="200"/>
      </w:pPr>
      <w:r>
        <w:rPr>
          <w:rFonts w:hint="eastAsia"/>
        </w:rPr>
        <w:t>7.计量设备：汽油喷油器清洗及流量测量仪、液压油压力表。</w:t>
      </w:r>
    </w:p>
    <w:p>
      <w:pPr>
        <w:pStyle w:val="195"/>
        <w:framePr w:wrap="auto" w:vAnchor="margin" w:hAnchor="text" w:yAlign="inline"/>
        <w:adjustRightInd w:val="0"/>
        <w:snapToGrid w:val="0"/>
        <w:spacing w:before="50" w:line="360" w:lineRule="auto"/>
        <w:ind w:firstLine="420" w:firstLineChars="200"/>
      </w:pPr>
      <w:r>
        <w:rPr>
          <w:rFonts w:hint="eastAsia"/>
        </w:rPr>
        <w:t>8.计算机等设备：计算机、打印机。</w:t>
      </w:r>
    </w:p>
    <w:p>
      <w:pPr>
        <w:adjustRightInd w:val="0"/>
        <w:snapToGrid w:val="0"/>
        <w:spacing w:before="50" w:line="360" w:lineRule="auto"/>
        <w:ind w:firstLine="420" w:firstLineChars="200"/>
        <w:jc w:val="left"/>
        <w:rPr>
          <w:rFonts w:ascii="宋体" w:hAnsi="宋体" w:cs="楷体_GB2312"/>
          <w:color w:val="000000"/>
          <w:szCs w:val="21"/>
        </w:rPr>
      </w:pPr>
      <w:bookmarkStart w:id="84" w:name="_Toc7938"/>
      <w:bookmarkStart w:id="85" w:name="_Toc15464923"/>
      <w:bookmarkStart w:id="86" w:name="_Toc12538888"/>
      <w:bookmarkStart w:id="87" w:name="_Toc14113"/>
      <w:bookmarkStart w:id="88" w:name="_Toc14224"/>
      <w:bookmarkStart w:id="89" w:name="_Toc20752113"/>
      <w:r>
        <w:rPr>
          <w:rFonts w:hint="eastAsia" w:ascii="宋体" w:hAnsi="宋体" w:cs="楷体_GB2312"/>
          <w:color w:val="000000"/>
          <w:szCs w:val="21"/>
        </w:rPr>
        <w:t>（三）安全管理规定</w:t>
      </w:r>
      <w:bookmarkEnd w:id="84"/>
      <w:bookmarkEnd w:id="85"/>
      <w:bookmarkEnd w:id="86"/>
      <w:bookmarkEnd w:id="87"/>
      <w:bookmarkEnd w:id="88"/>
      <w:bookmarkEnd w:id="89"/>
    </w:p>
    <w:p>
      <w:pPr>
        <w:adjustRightInd w:val="0"/>
        <w:snapToGrid w:val="0"/>
        <w:spacing w:before="50" w:line="360" w:lineRule="auto"/>
        <w:ind w:firstLine="420" w:firstLineChars="200"/>
        <w:rPr>
          <w:rFonts w:ascii="宋体" w:hAnsi="宋体" w:cs="宋体"/>
          <w:szCs w:val="21"/>
        </w:rPr>
      </w:pPr>
      <w:r>
        <w:rPr>
          <w:rFonts w:hint="eastAsia" w:ascii="宋体" w:hAnsi="宋体" w:cs="宋体"/>
          <w:szCs w:val="21"/>
        </w:rPr>
        <w:t>1.投标人需组织其工作人员进行上岗前的安全生产、消防安全和操作规程等培训，使每个员工熟知安全规则、消防知识等操作规程后才能上岗。</w:t>
      </w:r>
    </w:p>
    <w:p>
      <w:pPr>
        <w:pStyle w:val="195"/>
        <w:framePr w:wrap="auto" w:vAnchor="margin" w:hAnchor="text" w:yAlign="inline"/>
        <w:adjustRightInd w:val="0"/>
        <w:snapToGrid w:val="0"/>
        <w:spacing w:before="50" w:line="360" w:lineRule="auto"/>
        <w:ind w:firstLine="420" w:firstLineChars="200"/>
      </w:pPr>
      <w:r>
        <w:rPr>
          <w:rFonts w:hint="eastAsia"/>
        </w:rPr>
        <w:t>2.工作人员应把安全工作放在首位，若因违章作业而发生事故，由投标人自行负责。</w:t>
      </w:r>
    </w:p>
    <w:p>
      <w:pPr>
        <w:adjustRightInd w:val="0"/>
        <w:snapToGrid w:val="0"/>
        <w:spacing w:before="50" w:line="360" w:lineRule="auto"/>
        <w:ind w:firstLine="420" w:firstLineChars="200"/>
        <w:jc w:val="left"/>
        <w:rPr>
          <w:rFonts w:ascii="宋体" w:hAnsi="宋体" w:cs="楷体_GB2312"/>
          <w:color w:val="000000"/>
          <w:szCs w:val="21"/>
        </w:rPr>
      </w:pPr>
      <w:bookmarkStart w:id="90" w:name="_Toc522"/>
      <w:bookmarkStart w:id="91" w:name="_Toc22098"/>
      <w:bookmarkStart w:id="92" w:name="_Toc16758"/>
      <w:bookmarkStart w:id="93" w:name="_Toc12538889"/>
      <w:bookmarkStart w:id="94" w:name="_Toc15464924"/>
      <w:bookmarkStart w:id="95" w:name="_Toc20752114"/>
      <w:r>
        <w:rPr>
          <w:rFonts w:hint="eastAsia" w:ascii="宋体" w:hAnsi="宋体" w:cs="楷体_GB2312"/>
          <w:color w:val="000000"/>
          <w:szCs w:val="21"/>
        </w:rPr>
        <w:t>（四）其他</w:t>
      </w:r>
      <w:bookmarkEnd w:id="90"/>
      <w:bookmarkEnd w:id="91"/>
      <w:bookmarkEnd w:id="92"/>
      <w:bookmarkEnd w:id="93"/>
      <w:bookmarkEnd w:id="94"/>
      <w:bookmarkEnd w:id="95"/>
    </w:p>
    <w:p>
      <w:pPr>
        <w:adjustRightInd w:val="0"/>
        <w:snapToGrid w:val="0"/>
        <w:spacing w:before="50" w:line="360" w:lineRule="auto"/>
        <w:ind w:firstLine="420" w:firstLineChars="200"/>
        <w:rPr>
          <w:rFonts w:ascii="宋体" w:hAnsi="宋体" w:cs="宋体"/>
          <w:szCs w:val="21"/>
        </w:rPr>
      </w:pPr>
      <w:r>
        <w:rPr>
          <w:rFonts w:hint="eastAsia" w:ascii="宋体" w:hAnsi="宋体" w:cs="宋体"/>
          <w:szCs w:val="21"/>
        </w:rPr>
        <w:t>送修基本管理要求</w:t>
      </w:r>
    </w:p>
    <w:p>
      <w:pPr>
        <w:adjustRightInd w:val="0"/>
        <w:snapToGrid w:val="0"/>
        <w:spacing w:before="50" w:line="360" w:lineRule="auto"/>
        <w:ind w:firstLine="420" w:firstLineChars="200"/>
        <w:rPr>
          <w:rFonts w:ascii="宋体" w:hAnsi="宋体"/>
          <w:szCs w:val="21"/>
        </w:rPr>
      </w:pPr>
      <w:r>
        <w:rPr>
          <w:rFonts w:hint="eastAsia" w:ascii="宋体" w:hAnsi="宋体"/>
          <w:szCs w:val="21"/>
        </w:rPr>
        <w:t>1.招标人按要求填写《车辆维修保养申请单》，并经授权的管理人员签字认可后送投标人。</w:t>
      </w:r>
    </w:p>
    <w:p>
      <w:pPr>
        <w:adjustRightInd w:val="0"/>
        <w:snapToGrid w:val="0"/>
        <w:spacing w:before="50" w:line="360" w:lineRule="auto"/>
        <w:ind w:firstLine="420" w:firstLineChars="200"/>
        <w:rPr>
          <w:rFonts w:ascii="宋体" w:hAnsi="宋体"/>
          <w:szCs w:val="21"/>
        </w:rPr>
      </w:pPr>
      <w:r>
        <w:rPr>
          <w:rFonts w:hint="eastAsia" w:ascii="宋体" w:hAnsi="宋体"/>
          <w:szCs w:val="21"/>
        </w:rPr>
        <w:t>2.投标人根据《车辆维修保养申请单》的要求对送修车辆进行细致检查，检查后报招标人，经招标人认可同意后进行维修，并在《车辆维修保养申请单》注明完成维修的时间。</w:t>
      </w:r>
    </w:p>
    <w:p>
      <w:pPr>
        <w:adjustRightInd w:val="0"/>
        <w:snapToGrid w:val="0"/>
        <w:spacing w:before="50" w:line="360" w:lineRule="auto"/>
        <w:ind w:firstLine="420" w:firstLineChars="200"/>
        <w:rPr>
          <w:rFonts w:ascii="宋体" w:hAnsi="宋体"/>
          <w:szCs w:val="21"/>
        </w:rPr>
      </w:pPr>
      <w:r>
        <w:rPr>
          <w:rFonts w:hint="eastAsia" w:ascii="宋体" w:hAnsi="宋体"/>
          <w:szCs w:val="21"/>
        </w:rPr>
        <w:t>3.在车辆维修过程中，投标人如发现其他故障需增加维修项目或延长维修时间，应及时通知招标人。</w:t>
      </w:r>
    </w:p>
    <w:p>
      <w:pPr>
        <w:adjustRightInd w:val="0"/>
        <w:snapToGrid w:val="0"/>
        <w:spacing w:before="50" w:line="360" w:lineRule="auto"/>
        <w:ind w:firstLine="420" w:firstLineChars="200"/>
        <w:rPr>
          <w:rFonts w:ascii="宋体" w:hAnsi="宋体"/>
          <w:szCs w:val="21"/>
        </w:rPr>
      </w:pPr>
      <w:r>
        <w:rPr>
          <w:rFonts w:hint="eastAsia" w:ascii="宋体" w:hAnsi="宋体"/>
          <w:szCs w:val="21"/>
        </w:rPr>
        <w:t>4.车辆修复后，投标人通过电脑认真填写并打印《维修结算清单》，</w:t>
      </w:r>
      <w:r>
        <w:rPr>
          <w:rFonts w:ascii="宋体" w:hAnsi="宋体"/>
          <w:szCs w:val="21"/>
        </w:rPr>
        <w:t>清单中工时费与材料费应当分项计算</w:t>
      </w:r>
      <w:r>
        <w:rPr>
          <w:rFonts w:hint="eastAsia" w:ascii="宋体" w:hAnsi="宋体"/>
          <w:szCs w:val="21"/>
        </w:rPr>
        <w:t>，接车人对修复车辆认真检查、试车，符合要求后在结算清单上签字认可，之后投标人才能将车辆交给招标人。</w:t>
      </w:r>
    </w:p>
    <w:p>
      <w:pPr>
        <w:pStyle w:val="195"/>
        <w:framePr w:wrap="auto" w:vAnchor="margin" w:hAnchor="text" w:yAlign="inline"/>
        <w:adjustRightInd w:val="0"/>
        <w:snapToGrid w:val="0"/>
        <w:spacing w:before="50" w:line="360" w:lineRule="auto"/>
        <w:ind w:firstLine="420" w:firstLineChars="200"/>
      </w:pPr>
      <w:r>
        <w:rPr>
          <w:rFonts w:hint="eastAsia"/>
        </w:rPr>
        <w:t>5.《车辆维修保养申请单》和《维修结算清单》一式三份，并输入电脑，招标人、投标人各持一份。《车辆维修保养申请单》、《维修结算清单》、发票作为付款必须凭证。</w:t>
      </w:r>
    </w:p>
    <w:p>
      <w:pPr>
        <w:adjustRightInd w:val="0"/>
        <w:snapToGrid w:val="0"/>
        <w:spacing w:beforeLines="50" w:line="360" w:lineRule="auto"/>
        <w:ind w:firstLine="422" w:firstLineChars="200"/>
        <w:rPr>
          <w:rFonts w:ascii="宋体" w:hAnsi="宋体" w:cs="黑体"/>
          <w:b/>
          <w:bCs/>
          <w:szCs w:val="21"/>
        </w:rPr>
      </w:pPr>
      <w:bookmarkStart w:id="96" w:name="_Toc12538890"/>
      <w:bookmarkStart w:id="97" w:name="_Toc15464925"/>
      <w:bookmarkStart w:id="98" w:name="_Toc3390"/>
      <w:bookmarkStart w:id="99" w:name="_Toc23604"/>
      <w:bookmarkStart w:id="100" w:name="_Toc10199"/>
      <w:bookmarkStart w:id="101" w:name="_Toc22565"/>
      <w:bookmarkStart w:id="102" w:name="_Toc20752115"/>
      <w:r>
        <w:rPr>
          <w:rFonts w:hint="eastAsia" w:ascii="宋体" w:hAnsi="宋体" w:cs="黑体"/>
          <w:b/>
          <w:bCs/>
          <w:szCs w:val="21"/>
        </w:rPr>
        <w:t>五、项目实施要求</w:t>
      </w:r>
      <w:bookmarkEnd w:id="96"/>
      <w:bookmarkEnd w:id="97"/>
      <w:bookmarkEnd w:id="98"/>
      <w:bookmarkEnd w:id="99"/>
      <w:bookmarkEnd w:id="100"/>
      <w:bookmarkEnd w:id="101"/>
      <w:bookmarkEnd w:id="102"/>
    </w:p>
    <w:p>
      <w:pPr>
        <w:adjustRightInd w:val="0"/>
        <w:snapToGrid w:val="0"/>
        <w:spacing w:before="50" w:line="360" w:lineRule="auto"/>
        <w:ind w:firstLine="420" w:firstLineChars="200"/>
        <w:jc w:val="left"/>
        <w:rPr>
          <w:rFonts w:ascii="宋体" w:hAnsi="宋体" w:cs="楷体_GB2312"/>
          <w:color w:val="000000"/>
          <w:szCs w:val="21"/>
        </w:rPr>
      </w:pPr>
      <w:bookmarkStart w:id="103" w:name="_Toc18376"/>
      <w:bookmarkStart w:id="104" w:name="_Toc12538891"/>
      <w:bookmarkStart w:id="105" w:name="_Toc4266"/>
      <w:bookmarkStart w:id="106" w:name="_Toc15464926"/>
      <w:bookmarkStart w:id="107" w:name="_Toc14416"/>
      <w:bookmarkStart w:id="108" w:name="_Toc20752116"/>
      <w:r>
        <w:rPr>
          <w:rFonts w:hint="eastAsia" w:ascii="宋体" w:hAnsi="宋体" w:cs="楷体_GB2312"/>
          <w:color w:val="000000"/>
          <w:szCs w:val="21"/>
        </w:rPr>
        <w:t>（一）工作时间和范围</w:t>
      </w:r>
      <w:bookmarkEnd w:id="103"/>
      <w:bookmarkEnd w:id="104"/>
      <w:bookmarkEnd w:id="105"/>
      <w:bookmarkEnd w:id="106"/>
      <w:bookmarkEnd w:id="107"/>
      <w:bookmarkEnd w:id="108"/>
    </w:p>
    <w:p>
      <w:pPr>
        <w:adjustRightInd w:val="0"/>
        <w:snapToGrid w:val="0"/>
        <w:spacing w:before="50" w:line="360" w:lineRule="auto"/>
        <w:ind w:firstLine="420" w:firstLineChars="200"/>
        <w:rPr>
          <w:rFonts w:ascii="宋体" w:hAnsi="宋体"/>
          <w:szCs w:val="21"/>
        </w:rPr>
      </w:pPr>
      <w:r>
        <w:rPr>
          <w:rFonts w:hint="eastAsia" w:ascii="宋体" w:hAnsi="宋体"/>
          <w:szCs w:val="21"/>
        </w:rPr>
        <w:t>工作时间和要求</w:t>
      </w:r>
    </w:p>
    <w:p>
      <w:pPr>
        <w:adjustRightInd w:val="0"/>
        <w:snapToGrid w:val="0"/>
        <w:spacing w:before="50" w:line="360" w:lineRule="auto"/>
        <w:ind w:firstLine="420" w:firstLineChars="200"/>
        <w:rPr>
          <w:rFonts w:ascii="宋体" w:hAnsi="宋体" w:cs="仿宋_GB2312"/>
          <w:szCs w:val="21"/>
        </w:rPr>
      </w:pPr>
      <w:r>
        <w:rPr>
          <w:rFonts w:hint="eastAsia" w:ascii="宋体" w:hAnsi="宋体" w:cs="仿宋_GB2312"/>
          <w:szCs w:val="21"/>
        </w:rPr>
        <w:t>1.提供7×24小时的故障服务受理。</w:t>
      </w:r>
    </w:p>
    <w:p>
      <w:pPr>
        <w:adjustRightInd w:val="0"/>
        <w:snapToGrid w:val="0"/>
        <w:spacing w:before="50" w:line="360" w:lineRule="auto"/>
        <w:ind w:firstLine="420" w:firstLineChars="200"/>
        <w:rPr>
          <w:rFonts w:ascii="宋体" w:hAnsi="宋体" w:cs="仿宋_GB2312"/>
          <w:szCs w:val="21"/>
        </w:rPr>
      </w:pPr>
      <w:r>
        <w:rPr>
          <w:rFonts w:hint="eastAsia" w:ascii="宋体" w:hAnsi="宋体" w:cs="仿宋_GB2312"/>
          <w:szCs w:val="21"/>
        </w:rPr>
        <w:t>2.对重大故障提供7×24小时的现场支援，一般故障提供5×8小时的现场支援。</w:t>
      </w:r>
    </w:p>
    <w:p>
      <w:pPr>
        <w:adjustRightInd w:val="0"/>
        <w:snapToGrid w:val="0"/>
        <w:spacing w:before="50" w:line="360" w:lineRule="auto"/>
        <w:ind w:firstLine="420" w:firstLineChars="200"/>
        <w:rPr>
          <w:rFonts w:ascii="宋体" w:hAnsi="宋体"/>
          <w:szCs w:val="21"/>
        </w:rPr>
      </w:pPr>
      <w:r>
        <w:rPr>
          <w:rFonts w:hint="eastAsia" w:ascii="宋体" w:hAnsi="宋体" w:cs="仿宋_GB2312"/>
          <w:szCs w:val="21"/>
        </w:rPr>
        <w:t>3.</w:t>
      </w:r>
      <w:r>
        <w:rPr>
          <w:rFonts w:hint="eastAsia" w:ascii="宋体" w:hAnsi="宋体"/>
          <w:szCs w:val="21"/>
        </w:rPr>
        <w:t>市城区范围内提供</w:t>
      </w:r>
      <w:r>
        <w:rPr>
          <w:rFonts w:hint="eastAsia" w:ascii="宋体" w:hAnsi="宋体" w:cs="仿宋_GB2312"/>
          <w:szCs w:val="21"/>
        </w:rPr>
        <w:t>7×</w:t>
      </w:r>
      <w:r>
        <w:rPr>
          <w:rFonts w:hint="eastAsia" w:ascii="宋体" w:hAnsi="宋体"/>
          <w:szCs w:val="21"/>
        </w:rPr>
        <w:t>24小时免费救援、拖车服务。</w:t>
      </w:r>
    </w:p>
    <w:p>
      <w:pPr>
        <w:adjustRightInd w:val="0"/>
        <w:snapToGrid w:val="0"/>
        <w:spacing w:before="50" w:line="360" w:lineRule="auto"/>
        <w:ind w:firstLine="420" w:firstLineChars="200"/>
        <w:rPr>
          <w:rFonts w:ascii="宋体" w:hAnsi="宋体" w:cs="仿宋_GB2312"/>
          <w:szCs w:val="21"/>
        </w:rPr>
      </w:pPr>
      <w:r>
        <w:rPr>
          <w:rFonts w:hint="eastAsia" w:ascii="宋体" w:hAnsi="宋体" w:cs="仿宋_GB2312"/>
          <w:szCs w:val="21"/>
        </w:rPr>
        <w:t>注：重大故障-导致车辆整车性能显著下降，造成主要零部件损坏，且不能用随车工具和易损备件在短时间（约1H）内修复。</w:t>
      </w:r>
    </w:p>
    <w:p>
      <w:pPr>
        <w:adjustRightInd w:val="0"/>
        <w:snapToGrid w:val="0"/>
        <w:spacing w:before="50" w:line="360" w:lineRule="auto"/>
        <w:ind w:firstLine="420" w:firstLineChars="200"/>
        <w:rPr>
          <w:rFonts w:ascii="宋体" w:hAnsi="宋体"/>
          <w:szCs w:val="21"/>
        </w:rPr>
      </w:pPr>
      <w:r>
        <w:rPr>
          <w:rFonts w:hint="eastAsia" w:ascii="宋体" w:hAnsi="宋体" w:cs="仿宋_GB2312"/>
          <w:szCs w:val="21"/>
        </w:rPr>
        <w:t>一般故障-造成车辆停驶，但不会导致主要零部件损坏，并可用随车工具和易损件或价值很低的零部件在短时间（约1H）内修复。</w:t>
      </w:r>
    </w:p>
    <w:p>
      <w:pPr>
        <w:adjustRightInd w:val="0"/>
        <w:snapToGrid w:val="0"/>
        <w:spacing w:before="50" w:line="360" w:lineRule="auto"/>
        <w:ind w:firstLine="420" w:firstLineChars="200"/>
        <w:jc w:val="left"/>
        <w:rPr>
          <w:rFonts w:ascii="宋体" w:hAnsi="宋体" w:cs="楷体_GB2312"/>
          <w:color w:val="000000"/>
          <w:szCs w:val="21"/>
        </w:rPr>
      </w:pPr>
      <w:bookmarkStart w:id="109" w:name="_Toc15464927"/>
      <w:bookmarkStart w:id="110" w:name="_Toc19786"/>
      <w:bookmarkStart w:id="111" w:name="_Toc27466"/>
      <w:bookmarkStart w:id="112" w:name="_Toc12538892"/>
      <w:bookmarkStart w:id="113" w:name="_Toc1324"/>
      <w:bookmarkStart w:id="114" w:name="_Toc20752117"/>
      <w:r>
        <w:rPr>
          <w:rFonts w:hint="eastAsia" w:ascii="宋体" w:hAnsi="宋体" w:cs="楷体_GB2312"/>
          <w:color w:val="000000"/>
          <w:szCs w:val="21"/>
        </w:rPr>
        <w:t>（二）服务标准及操作要求</w:t>
      </w:r>
      <w:bookmarkEnd w:id="109"/>
      <w:bookmarkEnd w:id="110"/>
      <w:bookmarkEnd w:id="111"/>
      <w:bookmarkEnd w:id="112"/>
      <w:bookmarkEnd w:id="113"/>
      <w:bookmarkEnd w:id="114"/>
    </w:p>
    <w:p>
      <w:pPr>
        <w:adjustRightInd w:val="0"/>
        <w:snapToGrid w:val="0"/>
        <w:spacing w:before="50" w:line="360" w:lineRule="auto"/>
        <w:ind w:firstLine="420" w:firstLineChars="200"/>
        <w:rPr>
          <w:rFonts w:ascii="宋体" w:hAnsi="宋体"/>
          <w:color w:val="000000"/>
          <w:szCs w:val="21"/>
        </w:rPr>
      </w:pPr>
      <w:r>
        <w:rPr>
          <w:rFonts w:hint="eastAsia" w:ascii="宋体" w:hAnsi="宋体"/>
          <w:color w:val="000000"/>
          <w:szCs w:val="21"/>
        </w:rPr>
        <w:t>1.优先为招标人托修车辆提供维修服务。</w:t>
      </w:r>
    </w:p>
    <w:p>
      <w:pPr>
        <w:adjustRightInd w:val="0"/>
        <w:snapToGrid w:val="0"/>
        <w:spacing w:before="50" w:line="360" w:lineRule="auto"/>
        <w:ind w:firstLine="420" w:firstLineChars="200"/>
        <w:rPr>
          <w:rFonts w:ascii="宋体" w:hAnsi="宋体"/>
          <w:color w:val="000000"/>
          <w:szCs w:val="21"/>
        </w:rPr>
      </w:pPr>
      <w:r>
        <w:rPr>
          <w:rFonts w:hint="eastAsia" w:ascii="宋体" w:hAnsi="宋体"/>
          <w:color w:val="000000"/>
          <w:szCs w:val="21"/>
        </w:rPr>
        <w:t>2.投标人必须按维修标准和要求完成维修工作，确保维修质量，保证车辆处于良好的技术状态。</w:t>
      </w:r>
    </w:p>
    <w:p>
      <w:pPr>
        <w:adjustRightInd w:val="0"/>
        <w:snapToGrid w:val="0"/>
        <w:spacing w:before="50" w:line="360" w:lineRule="auto"/>
        <w:ind w:firstLine="420" w:firstLineChars="200"/>
        <w:rPr>
          <w:rFonts w:ascii="宋体" w:hAnsi="宋体"/>
          <w:color w:val="000000"/>
          <w:szCs w:val="21"/>
        </w:rPr>
      </w:pPr>
      <w:r>
        <w:rPr>
          <w:rFonts w:hint="eastAsia" w:ascii="宋体" w:hAnsi="宋体"/>
          <w:color w:val="000000"/>
          <w:szCs w:val="21"/>
        </w:rPr>
        <w:t>3.投标人必须用具有合格资格的维修技术人员操作，保持车辆各种配件的完整性和卫生清洁，保证维修质量。</w:t>
      </w:r>
    </w:p>
    <w:p>
      <w:pPr>
        <w:adjustRightInd w:val="0"/>
        <w:snapToGrid w:val="0"/>
        <w:spacing w:before="50" w:line="360" w:lineRule="auto"/>
        <w:ind w:firstLine="420" w:firstLineChars="200"/>
        <w:rPr>
          <w:rFonts w:ascii="宋体" w:hAnsi="宋体"/>
          <w:szCs w:val="21"/>
        </w:rPr>
      </w:pPr>
      <w:r>
        <w:rPr>
          <w:rFonts w:hint="eastAsia" w:ascii="宋体" w:hAnsi="宋体"/>
          <w:color w:val="000000"/>
          <w:szCs w:val="21"/>
        </w:rPr>
        <w:t>4</w:t>
      </w:r>
      <w:r>
        <w:rPr>
          <w:rFonts w:hint="eastAsia" w:ascii="宋体" w:hAnsi="宋体"/>
          <w:szCs w:val="21"/>
        </w:rPr>
        <w:t>.投标</w:t>
      </w:r>
      <w:r>
        <w:rPr>
          <w:rFonts w:hint="eastAsia" w:ascii="宋体" w:hAnsi="宋体"/>
          <w:color w:val="000000"/>
          <w:szCs w:val="21"/>
        </w:rPr>
        <w:t>人</w:t>
      </w:r>
      <w:r>
        <w:rPr>
          <w:rFonts w:hint="eastAsia" w:ascii="宋体" w:hAnsi="宋体"/>
          <w:szCs w:val="21"/>
        </w:rPr>
        <w:t>保证所用配件材料必须是符合国家标准的合格产品，</w:t>
      </w:r>
      <w:r>
        <w:rPr>
          <w:rFonts w:ascii="宋体" w:hAnsi="宋体"/>
          <w:szCs w:val="21"/>
        </w:rPr>
        <w:t>不得使用假冒伪劣</w:t>
      </w:r>
      <w:r>
        <w:rPr>
          <w:rFonts w:hint="eastAsia" w:ascii="宋体" w:hAnsi="宋体"/>
          <w:szCs w:val="21"/>
        </w:rPr>
        <w:t>或以次充好的</w:t>
      </w:r>
      <w:r>
        <w:rPr>
          <w:rFonts w:ascii="宋体" w:hAnsi="宋体"/>
          <w:szCs w:val="21"/>
        </w:rPr>
        <w:t>配件维修</w:t>
      </w:r>
      <w:r>
        <w:rPr>
          <w:rFonts w:hint="eastAsia" w:ascii="宋体" w:hAnsi="宋体"/>
          <w:szCs w:val="21"/>
        </w:rPr>
        <w:t>车辆</w:t>
      </w:r>
      <w:r>
        <w:rPr>
          <w:rFonts w:ascii="宋体" w:hAnsi="宋体"/>
          <w:szCs w:val="21"/>
        </w:rPr>
        <w:t>。</w:t>
      </w:r>
      <w:r>
        <w:rPr>
          <w:rFonts w:hint="eastAsia" w:ascii="宋体" w:hAnsi="宋体"/>
          <w:szCs w:val="21"/>
        </w:rPr>
        <w:t>车辆</w:t>
      </w:r>
      <w:r>
        <w:rPr>
          <w:rFonts w:ascii="宋体" w:hAnsi="宋体"/>
          <w:szCs w:val="21"/>
        </w:rPr>
        <w:t>维修配件实行追溯制度</w:t>
      </w:r>
      <w:r>
        <w:rPr>
          <w:rFonts w:hint="eastAsia" w:ascii="宋体" w:hAnsi="宋体"/>
          <w:szCs w:val="21"/>
        </w:rPr>
        <w:t>，投标人</w:t>
      </w:r>
      <w:r>
        <w:rPr>
          <w:rFonts w:ascii="宋体" w:hAnsi="宋体"/>
          <w:szCs w:val="21"/>
        </w:rPr>
        <w:t>应当记录配件采购、使用信息，查验产品合格证等相关证明，并按规定留存配件来源凭证。</w:t>
      </w:r>
    </w:p>
    <w:p>
      <w:pPr>
        <w:adjustRightInd w:val="0"/>
        <w:snapToGrid w:val="0"/>
        <w:spacing w:before="50" w:line="360" w:lineRule="auto"/>
        <w:ind w:firstLine="420" w:firstLineChars="200"/>
        <w:rPr>
          <w:rFonts w:ascii="宋体" w:hAnsi="宋体"/>
          <w:color w:val="FF0000"/>
          <w:szCs w:val="21"/>
        </w:rPr>
      </w:pPr>
      <w:r>
        <w:rPr>
          <w:rFonts w:hint="eastAsia" w:ascii="宋体" w:hAnsi="宋体"/>
          <w:szCs w:val="21"/>
        </w:rPr>
        <w:t>5.投标</w:t>
      </w:r>
      <w:r>
        <w:rPr>
          <w:rFonts w:hint="eastAsia" w:ascii="宋体" w:hAnsi="宋体"/>
          <w:color w:val="000000"/>
          <w:szCs w:val="21"/>
        </w:rPr>
        <w:t>人</w:t>
      </w:r>
      <w:r>
        <w:rPr>
          <w:rFonts w:ascii="宋体" w:hAnsi="宋体"/>
          <w:szCs w:val="21"/>
        </w:rPr>
        <w:t>将原厂配件、副厂配件和修复配件分别标识，明码标价，供</w:t>
      </w:r>
      <w:r>
        <w:rPr>
          <w:rFonts w:hint="eastAsia" w:ascii="宋体" w:hAnsi="宋体"/>
          <w:szCs w:val="21"/>
        </w:rPr>
        <w:t>招标人</w:t>
      </w:r>
      <w:r>
        <w:rPr>
          <w:rFonts w:ascii="宋体" w:hAnsi="宋体"/>
          <w:szCs w:val="21"/>
        </w:rPr>
        <w:t>选择</w:t>
      </w:r>
      <w:r>
        <w:rPr>
          <w:rFonts w:hint="eastAsia" w:ascii="宋体" w:hAnsi="宋体"/>
          <w:szCs w:val="21"/>
        </w:rPr>
        <w:t>，且价格不得高于市场价格。招标人采用随机检测方法，比对维修配件价格。</w:t>
      </w:r>
    </w:p>
    <w:p>
      <w:pPr>
        <w:adjustRightInd w:val="0"/>
        <w:snapToGrid w:val="0"/>
        <w:spacing w:before="50" w:line="360" w:lineRule="auto"/>
        <w:ind w:firstLine="420" w:firstLineChars="200"/>
        <w:rPr>
          <w:rFonts w:ascii="宋体" w:hAnsi="宋体"/>
          <w:color w:val="000000"/>
          <w:szCs w:val="21"/>
        </w:rPr>
      </w:pPr>
      <w:r>
        <w:rPr>
          <w:rFonts w:hint="eastAsia" w:ascii="宋体" w:hAnsi="宋体"/>
          <w:color w:val="000000"/>
          <w:szCs w:val="21"/>
        </w:rPr>
        <w:t>6.被修车辆达不到规定的质量标准和技术要求的，返修不得再计价收费。车辆竣工出厂执行质量保证期制度，不能低于中华人民共和国交通部所颁布的《交通运输部关于修改（机动车维修管理规定）的决定（交通运输部令2016年第37号）》的标准。</w:t>
      </w:r>
    </w:p>
    <w:p>
      <w:pPr>
        <w:adjustRightInd w:val="0"/>
        <w:snapToGrid w:val="0"/>
        <w:spacing w:before="50" w:line="360" w:lineRule="auto"/>
        <w:ind w:firstLine="420" w:firstLineChars="200"/>
        <w:rPr>
          <w:rFonts w:ascii="宋体" w:hAnsi="宋体" w:cs="Arial"/>
          <w:color w:val="FF0000"/>
          <w:szCs w:val="21"/>
        </w:rPr>
      </w:pPr>
      <w:r>
        <w:rPr>
          <w:rFonts w:hint="eastAsia" w:ascii="宋体" w:hAnsi="宋体" w:cs="仿宋_GB2312"/>
          <w:color w:val="000000"/>
          <w:szCs w:val="21"/>
        </w:rPr>
        <w:t>7.投标</w:t>
      </w:r>
      <w:r>
        <w:rPr>
          <w:rFonts w:hint="eastAsia" w:ascii="宋体" w:hAnsi="宋体"/>
          <w:color w:val="000000"/>
          <w:szCs w:val="21"/>
        </w:rPr>
        <w:t>人</w:t>
      </w:r>
      <w:r>
        <w:rPr>
          <w:rFonts w:ascii="宋体" w:hAnsi="宋体" w:cs="仿宋_GB2312"/>
          <w:color w:val="000000"/>
          <w:szCs w:val="21"/>
        </w:rPr>
        <w:t>应当建立</w:t>
      </w:r>
      <w:r>
        <w:rPr>
          <w:rFonts w:hint="eastAsia" w:ascii="宋体" w:hAnsi="宋体" w:cs="仿宋_GB2312"/>
          <w:color w:val="000000"/>
          <w:szCs w:val="21"/>
        </w:rPr>
        <w:t>车辆</w:t>
      </w:r>
      <w:r>
        <w:rPr>
          <w:rFonts w:ascii="宋体" w:hAnsi="宋体" w:cs="仿宋_GB2312"/>
          <w:color w:val="000000"/>
          <w:szCs w:val="21"/>
        </w:rPr>
        <w:t>维修档案，并实行档案电子化管理</w:t>
      </w:r>
      <w:r>
        <w:rPr>
          <w:rFonts w:hint="eastAsia" w:ascii="宋体" w:hAnsi="宋体" w:cs="仿宋_GB2312"/>
          <w:color w:val="000000"/>
          <w:szCs w:val="21"/>
        </w:rPr>
        <w:t>，</w:t>
      </w:r>
      <w:r>
        <w:rPr>
          <w:rFonts w:ascii="宋体" w:hAnsi="宋体" w:cs="仿宋_GB2312"/>
          <w:color w:val="000000"/>
          <w:szCs w:val="21"/>
        </w:rPr>
        <w:t>维修档案包括：维修项目、维修人员及维修结算清单等</w:t>
      </w:r>
      <w:r>
        <w:rPr>
          <w:rFonts w:hint="eastAsia" w:ascii="宋体" w:hAnsi="宋体" w:cs="仿宋_GB2312"/>
          <w:color w:val="000000"/>
          <w:szCs w:val="21"/>
        </w:rPr>
        <w:t>，按季度汇总上交招标人项目相关负责人。</w:t>
      </w:r>
    </w:p>
    <w:p>
      <w:pPr>
        <w:adjustRightInd w:val="0"/>
        <w:snapToGrid w:val="0"/>
        <w:spacing w:before="50" w:line="360" w:lineRule="auto"/>
        <w:ind w:firstLine="420" w:firstLineChars="200"/>
        <w:rPr>
          <w:rFonts w:ascii="宋体" w:hAnsi="宋体" w:cs="仿宋_GB2312"/>
          <w:color w:val="000000"/>
          <w:szCs w:val="21"/>
        </w:rPr>
      </w:pPr>
      <w:r>
        <w:rPr>
          <w:rFonts w:hint="eastAsia" w:ascii="宋体" w:hAnsi="宋体" w:cs="仿宋_GB2312"/>
          <w:color w:val="000000"/>
          <w:szCs w:val="21"/>
        </w:rPr>
        <w:t>8.因维修设备拆换下来的零配件由招标</w:t>
      </w:r>
      <w:r>
        <w:rPr>
          <w:rFonts w:hint="eastAsia" w:ascii="宋体" w:hAnsi="宋体"/>
          <w:color w:val="000000"/>
          <w:szCs w:val="21"/>
        </w:rPr>
        <w:t>人</w:t>
      </w:r>
      <w:r>
        <w:rPr>
          <w:rFonts w:hint="eastAsia" w:ascii="宋体" w:hAnsi="宋体" w:cs="仿宋_GB2312"/>
          <w:color w:val="000000"/>
          <w:szCs w:val="21"/>
        </w:rPr>
        <w:t>负责处理，但投标</w:t>
      </w:r>
      <w:r>
        <w:rPr>
          <w:rFonts w:hint="eastAsia" w:ascii="宋体" w:hAnsi="宋体"/>
          <w:color w:val="000000"/>
          <w:szCs w:val="21"/>
        </w:rPr>
        <w:t>人</w:t>
      </w:r>
      <w:r>
        <w:rPr>
          <w:rFonts w:hint="eastAsia" w:ascii="宋体" w:hAnsi="宋体" w:cs="仿宋_GB2312"/>
          <w:color w:val="000000"/>
          <w:szCs w:val="21"/>
        </w:rPr>
        <w:t>必须提供专门的旧件回收存放库房，</w:t>
      </w:r>
      <w:r>
        <w:rPr>
          <w:rFonts w:hint="eastAsia" w:ascii="宋体" w:hAnsi="宋体"/>
          <w:color w:val="000000"/>
          <w:szCs w:val="21"/>
        </w:rPr>
        <w:t>并建立相关的旧件回收管理制度。</w:t>
      </w:r>
    </w:p>
    <w:p>
      <w:pPr>
        <w:adjustRightInd w:val="0"/>
        <w:snapToGrid w:val="0"/>
        <w:spacing w:beforeLines="50" w:line="360" w:lineRule="auto"/>
        <w:ind w:firstLine="422" w:firstLineChars="200"/>
        <w:rPr>
          <w:rFonts w:ascii="宋体" w:hAnsi="宋体" w:cs="黑体"/>
          <w:b/>
          <w:bCs/>
          <w:szCs w:val="21"/>
        </w:rPr>
      </w:pPr>
      <w:bookmarkStart w:id="115" w:name="_Toc23853"/>
      <w:bookmarkStart w:id="116" w:name="_Toc24784"/>
      <w:bookmarkStart w:id="117" w:name="_Toc2745"/>
      <w:bookmarkStart w:id="118" w:name="_Toc29194"/>
      <w:bookmarkStart w:id="119" w:name="_Toc12538893"/>
      <w:bookmarkStart w:id="120" w:name="_Toc15464928"/>
      <w:bookmarkStart w:id="121" w:name="_Toc20752118"/>
      <w:r>
        <w:rPr>
          <w:rFonts w:hint="eastAsia" w:ascii="宋体" w:hAnsi="宋体" w:cs="黑体"/>
          <w:b/>
          <w:bCs/>
          <w:szCs w:val="21"/>
        </w:rPr>
        <w:t>六、项目验收</w:t>
      </w:r>
      <w:bookmarkEnd w:id="115"/>
      <w:bookmarkEnd w:id="116"/>
      <w:bookmarkEnd w:id="117"/>
      <w:bookmarkEnd w:id="118"/>
      <w:bookmarkEnd w:id="119"/>
      <w:bookmarkEnd w:id="120"/>
      <w:bookmarkEnd w:id="121"/>
    </w:p>
    <w:p>
      <w:pPr>
        <w:adjustRightInd w:val="0"/>
        <w:snapToGrid w:val="0"/>
        <w:spacing w:before="50" w:line="360" w:lineRule="auto"/>
        <w:ind w:firstLine="420" w:firstLineChars="200"/>
        <w:rPr>
          <w:rFonts w:ascii="宋体" w:hAnsi="宋体" w:cs="宋体"/>
          <w:bCs/>
          <w:szCs w:val="21"/>
        </w:rPr>
      </w:pPr>
      <w:bookmarkStart w:id="122" w:name="_Toc30967"/>
      <w:bookmarkStart w:id="123" w:name="_Toc17537"/>
      <w:bookmarkStart w:id="124" w:name="_Toc5693"/>
      <w:bookmarkStart w:id="125" w:name="_Toc12538894"/>
      <w:bookmarkStart w:id="126" w:name="_Toc1602"/>
      <w:r>
        <w:rPr>
          <w:rFonts w:hint="eastAsia" w:ascii="宋体" w:hAnsi="宋体" w:cs="宋体"/>
          <w:bCs/>
          <w:szCs w:val="21"/>
        </w:rPr>
        <w:t>验收小组由招标</w:t>
      </w:r>
      <w:r>
        <w:rPr>
          <w:rFonts w:hint="eastAsia" w:ascii="宋体" w:hAnsi="宋体"/>
          <w:color w:val="000000"/>
          <w:szCs w:val="21"/>
        </w:rPr>
        <w:t>人</w:t>
      </w:r>
      <w:r>
        <w:rPr>
          <w:rFonts w:hint="eastAsia" w:ascii="宋体" w:hAnsi="宋体" w:cs="宋体"/>
          <w:bCs/>
          <w:szCs w:val="21"/>
        </w:rPr>
        <w:t>相关人员组成，形成验收文档，作为付款的依据。</w:t>
      </w:r>
    </w:p>
    <w:p>
      <w:pPr>
        <w:adjustRightInd w:val="0"/>
        <w:snapToGrid w:val="0"/>
        <w:spacing w:beforeLines="50" w:line="360" w:lineRule="auto"/>
        <w:ind w:firstLine="422" w:firstLineChars="200"/>
        <w:rPr>
          <w:rFonts w:ascii="宋体" w:hAnsi="宋体" w:cs="黑体"/>
          <w:b/>
          <w:bCs/>
          <w:szCs w:val="21"/>
        </w:rPr>
      </w:pPr>
      <w:bookmarkStart w:id="127" w:name="_Toc20752119"/>
      <w:bookmarkStart w:id="128" w:name="_Toc15464929"/>
      <w:r>
        <w:rPr>
          <w:rFonts w:hint="eastAsia" w:ascii="宋体" w:hAnsi="宋体" w:cs="黑体"/>
          <w:b/>
          <w:bCs/>
          <w:szCs w:val="21"/>
        </w:rPr>
        <w:t>七、质保期</w:t>
      </w:r>
      <w:bookmarkEnd w:id="122"/>
      <w:bookmarkEnd w:id="123"/>
      <w:bookmarkEnd w:id="124"/>
      <w:bookmarkEnd w:id="125"/>
      <w:bookmarkEnd w:id="126"/>
      <w:bookmarkEnd w:id="127"/>
      <w:bookmarkEnd w:id="128"/>
    </w:p>
    <w:p>
      <w:pPr>
        <w:adjustRightInd w:val="0"/>
        <w:snapToGrid w:val="0"/>
        <w:spacing w:before="50" w:line="360" w:lineRule="auto"/>
        <w:ind w:firstLine="420" w:firstLineChars="200"/>
        <w:rPr>
          <w:rFonts w:ascii="宋体" w:hAnsi="宋体"/>
          <w:szCs w:val="21"/>
        </w:rPr>
      </w:pPr>
      <w:r>
        <w:rPr>
          <w:rFonts w:hint="eastAsia" w:ascii="宋体" w:hAnsi="宋体"/>
          <w:szCs w:val="21"/>
        </w:rPr>
        <w:t>（一）投标</w:t>
      </w:r>
      <w:r>
        <w:rPr>
          <w:rFonts w:hint="eastAsia" w:ascii="宋体" w:hAnsi="宋体"/>
          <w:color w:val="000000"/>
          <w:szCs w:val="21"/>
        </w:rPr>
        <w:t>人</w:t>
      </w:r>
      <w:r>
        <w:rPr>
          <w:rFonts w:hint="eastAsia" w:ascii="宋体" w:hAnsi="宋体"/>
          <w:szCs w:val="21"/>
        </w:rPr>
        <w:t>购买和更换的所有配件材料必须是符合国家标准的合格产品，严禁使用假冒伪劣产品。</w:t>
      </w:r>
    </w:p>
    <w:p>
      <w:pPr>
        <w:adjustRightInd w:val="0"/>
        <w:snapToGrid w:val="0"/>
        <w:spacing w:before="50" w:line="360" w:lineRule="auto"/>
        <w:ind w:firstLine="420" w:firstLineChars="200"/>
        <w:rPr>
          <w:rFonts w:ascii="宋体" w:hAnsi="宋体"/>
          <w:szCs w:val="21"/>
        </w:rPr>
      </w:pPr>
      <w:r>
        <w:rPr>
          <w:rFonts w:hint="eastAsia" w:ascii="宋体" w:hAnsi="宋体"/>
          <w:szCs w:val="21"/>
        </w:rPr>
        <w:t>（二）严格遵守国家交通部第7号令《机动车维修管理规定》、《湖南省机动车维修工时定额及收费标准》等国家法律法规的规定保证维修质量。在质量保证期内，因维修质量造成的直接经济损失，由投标</w:t>
      </w:r>
      <w:r>
        <w:rPr>
          <w:rFonts w:hint="eastAsia" w:ascii="宋体" w:hAnsi="宋体"/>
          <w:color w:val="000000"/>
          <w:szCs w:val="21"/>
        </w:rPr>
        <w:t>人</w:t>
      </w:r>
      <w:r>
        <w:rPr>
          <w:rFonts w:hint="eastAsia" w:ascii="宋体" w:hAnsi="宋体"/>
          <w:szCs w:val="21"/>
        </w:rPr>
        <w:t>负责。</w:t>
      </w:r>
    </w:p>
    <w:p>
      <w:pPr>
        <w:adjustRightInd w:val="0"/>
        <w:snapToGrid w:val="0"/>
        <w:spacing w:before="50" w:line="360" w:lineRule="auto"/>
        <w:ind w:firstLine="420" w:firstLineChars="200"/>
        <w:rPr>
          <w:rFonts w:ascii="宋体" w:hAnsi="宋体"/>
          <w:szCs w:val="21"/>
        </w:rPr>
      </w:pPr>
      <w:r>
        <w:rPr>
          <w:rFonts w:hint="eastAsia" w:ascii="宋体" w:hAnsi="宋体"/>
          <w:szCs w:val="21"/>
        </w:rPr>
        <w:t>1.汽车和危险货物运输车辆整车</w:t>
      </w:r>
      <w:r>
        <w:rPr>
          <w:rFonts w:ascii="宋体" w:hAnsi="宋体"/>
          <w:szCs w:val="21"/>
        </w:rPr>
        <w:t>修理或者总成修理质量保证期为</w:t>
      </w:r>
      <w:r>
        <w:rPr>
          <w:rFonts w:hint="eastAsia" w:ascii="宋体" w:hAnsi="宋体"/>
          <w:szCs w:val="21"/>
        </w:rPr>
        <w:t>车辆</w:t>
      </w:r>
      <w:r>
        <w:rPr>
          <w:rFonts w:ascii="宋体" w:hAnsi="宋体"/>
          <w:szCs w:val="21"/>
        </w:rPr>
        <w:t>行驶</w:t>
      </w:r>
      <w:r>
        <w:rPr>
          <w:rFonts w:hint="eastAsia" w:ascii="宋体" w:hAnsi="宋体"/>
          <w:szCs w:val="21"/>
        </w:rPr>
        <w:t>20</w:t>
      </w:r>
      <w:r>
        <w:rPr>
          <w:rFonts w:ascii="宋体" w:hAnsi="宋体"/>
          <w:szCs w:val="21"/>
        </w:rPr>
        <w:t>000公里或者</w:t>
      </w:r>
      <w:r>
        <w:rPr>
          <w:rFonts w:hint="eastAsia" w:ascii="宋体" w:hAnsi="宋体"/>
          <w:szCs w:val="21"/>
        </w:rPr>
        <w:t>10</w:t>
      </w:r>
      <w:r>
        <w:rPr>
          <w:rFonts w:ascii="宋体" w:hAnsi="宋体"/>
          <w:szCs w:val="21"/>
        </w:rPr>
        <w:t>0日；</w:t>
      </w:r>
      <w:r>
        <w:rPr>
          <w:rFonts w:hint="eastAsia" w:ascii="宋体" w:hAnsi="宋体"/>
          <w:szCs w:val="21"/>
        </w:rPr>
        <w:t>二级维护质量</w:t>
      </w:r>
      <w:r>
        <w:rPr>
          <w:rFonts w:ascii="宋体" w:hAnsi="宋体"/>
          <w:szCs w:val="21"/>
        </w:rPr>
        <w:t>质量保证期为</w:t>
      </w:r>
      <w:r>
        <w:rPr>
          <w:rFonts w:hint="eastAsia" w:ascii="宋体" w:hAnsi="宋体"/>
          <w:szCs w:val="21"/>
        </w:rPr>
        <w:t>车辆</w:t>
      </w:r>
      <w:r>
        <w:rPr>
          <w:rFonts w:ascii="宋体" w:hAnsi="宋体"/>
          <w:szCs w:val="21"/>
        </w:rPr>
        <w:t>行驶</w:t>
      </w:r>
      <w:r>
        <w:rPr>
          <w:rFonts w:hint="eastAsia" w:ascii="宋体" w:hAnsi="宋体"/>
          <w:szCs w:val="21"/>
        </w:rPr>
        <w:t>50</w:t>
      </w:r>
      <w:r>
        <w:rPr>
          <w:rFonts w:ascii="宋体" w:hAnsi="宋体"/>
          <w:szCs w:val="21"/>
        </w:rPr>
        <w:t>00公里或者</w:t>
      </w:r>
      <w:r>
        <w:rPr>
          <w:rFonts w:hint="eastAsia" w:ascii="宋体" w:hAnsi="宋体"/>
          <w:szCs w:val="21"/>
        </w:rPr>
        <w:t>30</w:t>
      </w:r>
      <w:r>
        <w:rPr>
          <w:rFonts w:ascii="宋体" w:hAnsi="宋体"/>
          <w:szCs w:val="21"/>
        </w:rPr>
        <w:t>日</w:t>
      </w:r>
      <w:r>
        <w:rPr>
          <w:rFonts w:hint="eastAsia" w:ascii="宋体" w:hAnsi="宋体"/>
          <w:szCs w:val="21"/>
        </w:rPr>
        <w:t>；一级维护、小修及专项修理</w:t>
      </w:r>
      <w:r>
        <w:rPr>
          <w:rFonts w:ascii="宋体" w:hAnsi="宋体"/>
          <w:szCs w:val="21"/>
        </w:rPr>
        <w:t>质量保证期为</w:t>
      </w:r>
      <w:r>
        <w:rPr>
          <w:rFonts w:hint="eastAsia" w:ascii="宋体" w:hAnsi="宋体"/>
          <w:szCs w:val="21"/>
        </w:rPr>
        <w:t>车辆</w:t>
      </w:r>
      <w:r>
        <w:rPr>
          <w:rFonts w:ascii="宋体" w:hAnsi="宋体"/>
          <w:szCs w:val="21"/>
        </w:rPr>
        <w:t>行驶</w:t>
      </w:r>
      <w:r>
        <w:rPr>
          <w:rFonts w:hint="eastAsia" w:ascii="宋体" w:hAnsi="宋体"/>
          <w:szCs w:val="21"/>
        </w:rPr>
        <w:t>20</w:t>
      </w:r>
      <w:r>
        <w:rPr>
          <w:rFonts w:ascii="宋体" w:hAnsi="宋体"/>
          <w:szCs w:val="21"/>
        </w:rPr>
        <w:t>00公里或者</w:t>
      </w:r>
      <w:r>
        <w:rPr>
          <w:rFonts w:hint="eastAsia" w:ascii="宋体" w:hAnsi="宋体"/>
          <w:szCs w:val="21"/>
        </w:rPr>
        <w:t>10</w:t>
      </w:r>
      <w:r>
        <w:rPr>
          <w:rFonts w:ascii="宋体" w:hAnsi="宋体"/>
          <w:szCs w:val="21"/>
        </w:rPr>
        <w:t>日。</w:t>
      </w:r>
    </w:p>
    <w:p>
      <w:pPr>
        <w:adjustRightInd w:val="0"/>
        <w:snapToGrid w:val="0"/>
        <w:spacing w:before="50" w:line="360" w:lineRule="auto"/>
        <w:ind w:firstLine="420" w:firstLineChars="200"/>
        <w:rPr>
          <w:rFonts w:ascii="宋体" w:hAnsi="宋体"/>
          <w:szCs w:val="21"/>
        </w:rPr>
      </w:pPr>
      <w:r>
        <w:rPr>
          <w:rFonts w:hint="eastAsia" w:ascii="宋体" w:hAnsi="宋体"/>
          <w:szCs w:val="21"/>
        </w:rPr>
        <w:t>2.</w:t>
      </w:r>
      <w:r>
        <w:rPr>
          <w:rFonts w:ascii="宋体" w:hAnsi="宋体"/>
          <w:szCs w:val="21"/>
        </w:rPr>
        <w:t>质量保证期中行驶里程和日期指标，以先达到者为准。</w:t>
      </w:r>
    </w:p>
    <w:p>
      <w:pPr>
        <w:adjustRightInd w:val="0"/>
        <w:snapToGrid w:val="0"/>
        <w:spacing w:before="50" w:line="360" w:lineRule="auto"/>
        <w:ind w:firstLine="420" w:firstLineChars="200"/>
        <w:rPr>
          <w:rFonts w:ascii="宋体" w:hAnsi="宋体"/>
          <w:szCs w:val="21"/>
        </w:rPr>
      </w:pPr>
      <w:r>
        <w:rPr>
          <w:rFonts w:hint="eastAsia" w:ascii="宋体" w:hAnsi="宋体"/>
          <w:szCs w:val="21"/>
        </w:rPr>
        <w:t>3.</w:t>
      </w:r>
      <w:r>
        <w:rPr>
          <w:rFonts w:ascii="宋体" w:hAnsi="宋体"/>
          <w:szCs w:val="21"/>
        </w:rPr>
        <w:t>机动车维修质量保证期，从维修竣工出厂之日起计算。</w:t>
      </w:r>
    </w:p>
    <w:p>
      <w:pPr>
        <w:adjustRightInd w:val="0"/>
        <w:snapToGrid w:val="0"/>
        <w:spacing w:beforeLines="50" w:line="360" w:lineRule="auto"/>
        <w:ind w:firstLine="422" w:firstLineChars="200"/>
        <w:rPr>
          <w:rFonts w:ascii="宋体" w:hAnsi="宋体" w:cs="黑体"/>
          <w:b/>
          <w:bCs/>
          <w:szCs w:val="21"/>
        </w:rPr>
      </w:pPr>
      <w:bookmarkStart w:id="129" w:name="_Toc19293"/>
      <w:bookmarkStart w:id="130" w:name="_Toc358"/>
      <w:bookmarkStart w:id="131" w:name="_Toc22630"/>
      <w:bookmarkStart w:id="132" w:name="_Toc6993"/>
      <w:bookmarkStart w:id="133" w:name="_Toc12538895"/>
      <w:bookmarkStart w:id="134" w:name="_Toc15464930"/>
      <w:bookmarkStart w:id="135" w:name="_Toc20752120"/>
      <w:r>
        <w:rPr>
          <w:rFonts w:hint="eastAsia" w:ascii="宋体" w:hAnsi="宋体" w:cs="黑体"/>
          <w:b/>
          <w:bCs/>
          <w:szCs w:val="21"/>
        </w:rPr>
        <w:t>八、考核标准</w:t>
      </w:r>
      <w:bookmarkEnd w:id="129"/>
      <w:bookmarkEnd w:id="130"/>
      <w:bookmarkEnd w:id="131"/>
      <w:bookmarkEnd w:id="132"/>
      <w:bookmarkEnd w:id="133"/>
      <w:bookmarkEnd w:id="134"/>
      <w:bookmarkEnd w:id="135"/>
    </w:p>
    <w:p>
      <w:pPr>
        <w:adjustRightInd w:val="0"/>
        <w:snapToGrid w:val="0"/>
        <w:spacing w:beforeLines="50" w:line="360" w:lineRule="auto"/>
        <w:ind w:firstLine="420" w:firstLineChars="200"/>
        <w:jc w:val="left"/>
        <w:rPr>
          <w:rFonts w:ascii="宋体" w:hAnsi="宋体" w:cs="楷体_GB2312"/>
          <w:color w:val="000000"/>
          <w:szCs w:val="21"/>
        </w:rPr>
      </w:pPr>
      <w:bookmarkStart w:id="136" w:name="_Toc25825"/>
      <w:bookmarkStart w:id="137" w:name="_Toc111"/>
      <w:bookmarkStart w:id="138" w:name="_Toc12538896"/>
      <w:bookmarkStart w:id="139" w:name="_Toc15464931"/>
      <w:bookmarkStart w:id="140" w:name="_Toc20752121"/>
      <w:bookmarkStart w:id="141" w:name="_Toc3921"/>
      <w:bookmarkStart w:id="142" w:name="_Toc19276"/>
      <w:r>
        <w:rPr>
          <w:rFonts w:hint="eastAsia" w:ascii="宋体" w:hAnsi="宋体" w:cs="楷体_GB2312"/>
          <w:color w:val="000000"/>
          <w:szCs w:val="21"/>
        </w:rPr>
        <w:t>（一）质量考核标准表</w:t>
      </w:r>
      <w:bookmarkEnd w:id="136"/>
      <w:bookmarkEnd w:id="137"/>
      <w:bookmarkEnd w:id="138"/>
      <w:bookmarkEnd w:id="139"/>
      <w:bookmarkEnd w:id="140"/>
    </w:p>
    <w:p>
      <w:pPr>
        <w:pStyle w:val="195"/>
        <w:framePr w:wrap="auto" w:vAnchor="margin" w:hAnchor="text" w:yAlign="inline"/>
        <w:adjustRightInd w:val="0"/>
        <w:snapToGrid w:val="0"/>
        <w:spacing w:beforeLines="50" w:line="360" w:lineRule="auto"/>
        <w:ind w:firstLine="420" w:firstLineChars="200"/>
      </w:pPr>
      <w:bookmarkStart w:id="143" w:name="_Toc28159"/>
      <w:r>
        <w:rPr>
          <w:rFonts w:hint="eastAsia"/>
        </w:rPr>
        <w:t>投标人须按以下标准执行（包括但不限于），具体详见表二：</w:t>
      </w:r>
      <w:bookmarkEnd w:id="141"/>
      <w:bookmarkEnd w:id="142"/>
      <w:bookmarkEnd w:id="143"/>
    </w:p>
    <w:tbl>
      <w:tblPr>
        <w:tblStyle w:val="46"/>
        <w:tblW w:w="9035" w:type="dxa"/>
        <w:jc w:val="center"/>
        <w:tblInd w:w="-251" w:type="dxa"/>
        <w:tblLayout w:type="fixed"/>
        <w:tblCellMar>
          <w:top w:w="15" w:type="dxa"/>
          <w:left w:w="15" w:type="dxa"/>
          <w:bottom w:w="15" w:type="dxa"/>
          <w:right w:w="15" w:type="dxa"/>
        </w:tblCellMar>
      </w:tblPr>
      <w:tblGrid>
        <w:gridCol w:w="465"/>
        <w:gridCol w:w="6692"/>
        <w:gridCol w:w="1200"/>
        <w:gridCol w:w="678"/>
      </w:tblGrid>
      <w:tr>
        <w:tblPrEx>
          <w:tblLayout w:type="fixed"/>
          <w:tblCellMar>
            <w:top w:w="15" w:type="dxa"/>
            <w:left w:w="15" w:type="dxa"/>
            <w:bottom w:w="15" w:type="dxa"/>
            <w:right w:w="15" w:type="dxa"/>
          </w:tblCellMar>
        </w:tblPrEx>
        <w:trPr>
          <w:trHeight w:val="495" w:hRule="atLeast"/>
          <w:jc w:val="center"/>
        </w:trPr>
        <w:tc>
          <w:tcPr>
            <w:tcW w:w="9035" w:type="dxa"/>
            <w:gridSpan w:val="4"/>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ind w:firstLine="422" w:firstLineChars="200"/>
              <w:jc w:val="center"/>
              <w:textAlignment w:val="center"/>
              <w:rPr>
                <w:rFonts w:ascii="宋体" w:hAnsi="宋体" w:cs="宋体"/>
                <w:b/>
                <w:color w:val="000000"/>
                <w:szCs w:val="21"/>
              </w:rPr>
            </w:pPr>
            <w:r>
              <w:rPr>
                <w:rFonts w:hint="eastAsia" w:ascii="宋体" w:hAnsi="宋体" w:cs="宋体"/>
                <w:b/>
                <w:color w:val="000000"/>
                <w:szCs w:val="21"/>
              </w:rPr>
              <w:t>表二：质量考核标准表</w:t>
            </w:r>
          </w:p>
        </w:tc>
      </w:tr>
      <w:tr>
        <w:tblPrEx>
          <w:tblLayout w:type="fixed"/>
          <w:tblCellMar>
            <w:top w:w="15" w:type="dxa"/>
            <w:left w:w="15" w:type="dxa"/>
            <w:bottom w:w="15" w:type="dxa"/>
            <w:right w:w="15" w:type="dxa"/>
          </w:tblCellMar>
        </w:tblPrEx>
        <w:trPr>
          <w:trHeight w:val="495"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b/>
                <w:color w:val="000000"/>
                <w:szCs w:val="21"/>
              </w:rPr>
            </w:pPr>
            <w:r>
              <w:rPr>
                <w:rFonts w:hint="eastAsia" w:ascii="宋体" w:hAnsi="宋体" w:cs="宋体"/>
                <w:b/>
                <w:color w:val="000000"/>
                <w:szCs w:val="21"/>
              </w:rPr>
              <w:t>序号</w:t>
            </w:r>
          </w:p>
        </w:tc>
        <w:tc>
          <w:tcPr>
            <w:tcW w:w="66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b/>
                <w:color w:val="000000"/>
                <w:szCs w:val="21"/>
              </w:rPr>
            </w:pPr>
            <w:r>
              <w:rPr>
                <w:rFonts w:hint="eastAsia" w:ascii="宋体" w:hAnsi="宋体" w:cs="宋体"/>
                <w:b/>
                <w:color w:val="000000"/>
                <w:szCs w:val="21"/>
              </w:rPr>
              <w:t>考核内容</w:t>
            </w:r>
          </w:p>
        </w:tc>
        <w:tc>
          <w:tcPr>
            <w:tcW w:w="12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b/>
                <w:color w:val="000000"/>
                <w:szCs w:val="21"/>
              </w:rPr>
            </w:pPr>
            <w:r>
              <w:rPr>
                <w:rFonts w:hint="eastAsia" w:ascii="宋体" w:hAnsi="宋体" w:cs="宋体"/>
                <w:b/>
                <w:color w:val="000000"/>
                <w:szCs w:val="21"/>
              </w:rPr>
              <w:t>处罚结果</w:t>
            </w:r>
          </w:p>
        </w:tc>
        <w:tc>
          <w:tcPr>
            <w:tcW w:w="6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b/>
                <w:color w:val="000000"/>
                <w:szCs w:val="21"/>
              </w:rPr>
            </w:pPr>
            <w:r>
              <w:rPr>
                <w:rFonts w:hint="eastAsia" w:ascii="宋体" w:hAnsi="宋体" w:cs="宋体"/>
                <w:b/>
                <w:color w:val="000000"/>
                <w:szCs w:val="21"/>
              </w:rPr>
              <w:t>备注</w:t>
            </w:r>
          </w:p>
        </w:tc>
      </w:tr>
      <w:tr>
        <w:tblPrEx>
          <w:tblLayout w:type="fixed"/>
          <w:tblCellMar>
            <w:top w:w="15" w:type="dxa"/>
            <w:left w:w="15" w:type="dxa"/>
            <w:bottom w:w="15" w:type="dxa"/>
            <w:right w:w="15" w:type="dxa"/>
          </w:tblCellMar>
        </w:tblPrEx>
        <w:trPr>
          <w:trHeight w:val="773"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1</w:t>
            </w:r>
          </w:p>
        </w:tc>
        <w:tc>
          <w:tcPr>
            <w:tcW w:w="66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textAlignment w:val="center"/>
              <w:rPr>
                <w:rFonts w:ascii="宋体" w:hAnsi="宋体" w:cs="宋体"/>
                <w:color w:val="000000"/>
                <w:szCs w:val="21"/>
              </w:rPr>
            </w:pPr>
            <w:r>
              <w:rPr>
                <w:rFonts w:hint="eastAsia" w:ascii="宋体" w:hAnsi="宋体" w:cs="宋体"/>
                <w:color w:val="000000"/>
                <w:szCs w:val="21"/>
              </w:rPr>
              <w:t>投标人未按要求免费提供维修备用车的。</w:t>
            </w:r>
          </w:p>
        </w:tc>
        <w:tc>
          <w:tcPr>
            <w:tcW w:w="12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3分/次</w:t>
            </w:r>
          </w:p>
        </w:tc>
        <w:tc>
          <w:tcPr>
            <w:tcW w:w="6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rPr>
                <w:rFonts w:ascii="宋体" w:hAnsi="宋体" w:cs="宋体"/>
                <w:color w:val="000000"/>
                <w:szCs w:val="21"/>
              </w:rPr>
            </w:pPr>
          </w:p>
        </w:tc>
      </w:tr>
      <w:tr>
        <w:tblPrEx>
          <w:tblLayout w:type="fixed"/>
          <w:tblCellMar>
            <w:top w:w="15" w:type="dxa"/>
            <w:left w:w="15" w:type="dxa"/>
            <w:bottom w:w="15" w:type="dxa"/>
            <w:right w:w="15" w:type="dxa"/>
          </w:tblCellMar>
        </w:tblPrEx>
        <w:trPr>
          <w:trHeight w:val="715"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2</w:t>
            </w:r>
          </w:p>
        </w:tc>
        <w:tc>
          <w:tcPr>
            <w:tcW w:w="66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textAlignment w:val="center"/>
              <w:rPr>
                <w:rFonts w:ascii="宋体" w:hAnsi="宋体" w:cs="宋体"/>
                <w:color w:val="000000"/>
                <w:szCs w:val="21"/>
              </w:rPr>
            </w:pPr>
            <w:r>
              <w:rPr>
                <w:rFonts w:hint="eastAsia" w:ascii="宋体" w:hAnsi="宋体" w:cs="宋体"/>
                <w:color w:val="000000"/>
                <w:szCs w:val="21"/>
              </w:rPr>
              <w:t>投标人未按要求做好旧件回收管理工作的。</w:t>
            </w:r>
          </w:p>
        </w:tc>
        <w:tc>
          <w:tcPr>
            <w:tcW w:w="12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3分/次</w:t>
            </w:r>
          </w:p>
        </w:tc>
        <w:tc>
          <w:tcPr>
            <w:tcW w:w="6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rPr>
                <w:rFonts w:ascii="宋体" w:hAnsi="宋体" w:cs="宋体"/>
                <w:color w:val="000000"/>
                <w:szCs w:val="21"/>
              </w:rPr>
            </w:pPr>
          </w:p>
        </w:tc>
      </w:tr>
      <w:tr>
        <w:tblPrEx>
          <w:tblLayout w:type="fixed"/>
          <w:tblCellMar>
            <w:top w:w="15" w:type="dxa"/>
            <w:left w:w="15" w:type="dxa"/>
            <w:bottom w:w="15" w:type="dxa"/>
            <w:right w:w="15" w:type="dxa"/>
          </w:tblCellMar>
        </w:tblPrEx>
        <w:trPr>
          <w:trHeight w:val="87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3</w:t>
            </w:r>
          </w:p>
        </w:tc>
        <w:tc>
          <w:tcPr>
            <w:tcW w:w="66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textAlignment w:val="center"/>
              <w:rPr>
                <w:rFonts w:ascii="宋体" w:hAnsi="宋体" w:cs="宋体"/>
                <w:color w:val="000000"/>
                <w:szCs w:val="21"/>
              </w:rPr>
            </w:pPr>
            <w:r>
              <w:rPr>
                <w:rFonts w:hint="eastAsia" w:ascii="宋体" w:hAnsi="宋体" w:cs="宋体"/>
                <w:color w:val="000000"/>
                <w:szCs w:val="21"/>
              </w:rPr>
              <w:t>投标人未按要求市区内提供7×24小时免费救援、拖车服务的。</w:t>
            </w:r>
          </w:p>
        </w:tc>
        <w:tc>
          <w:tcPr>
            <w:tcW w:w="12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5分/次</w:t>
            </w:r>
          </w:p>
        </w:tc>
        <w:tc>
          <w:tcPr>
            <w:tcW w:w="6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rPr>
                <w:rFonts w:ascii="宋体" w:hAnsi="宋体" w:cs="宋体"/>
                <w:color w:val="000000"/>
                <w:szCs w:val="21"/>
              </w:rPr>
            </w:pPr>
          </w:p>
        </w:tc>
      </w:tr>
      <w:tr>
        <w:tblPrEx>
          <w:tblLayout w:type="fixed"/>
          <w:tblCellMar>
            <w:top w:w="15" w:type="dxa"/>
            <w:left w:w="15" w:type="dxa"/>
            <w:bottom w:w="15" w:type="dxa"/>
            <w:right w:w="15" w:type="dxa"/>
          </w:tblCellMar>
        </w:tblPrEx>
        <w:trPr>
          <w:trHeight w:val="87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4</w:t>
            </w:r>
          </w:p>
        </w:tc>
        <w:tc>
          <w:tcPr>
            <w:tcW w:w="66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textAlignment w:val="center"/>
              <w:rPr>
                <w:rFonts w:ascii="宋体" w:hAnsi="宋体" w:cs="宋体"/>
                <w:color w:val="000000"/>
                <w:szCs w:val="21"/>
              </w:rPr>
            </w:pPr>
            <w:r>
              <w:rPr>
                <w:rFonts w:hint="eastAsia" w:ascii="宋体" w:hAnsi="宋体" w:cs="宋体"/>
                <w:color w:val="000000"/>
                <w:szCs w:val="21"/>
              </w:rPr>
              <w:t>投标人未按照招标人开具的车辆维修保养申请单进行车辆维修的。</w:t>
            </w:r>
          </w:p>
        </w:tc>
        <w:tc>
          <w:tcPr>
            <w:tcW w:w="12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5分/次</w:t>
            </w:r>
          </w:p>
        </w:tc>
        <w:tc>
          <w:tcPr>
            <w:tcW w:w="6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rPr>
                <w:rFonts w:ascii="宋体" w:hAnsi="宋体" w:cs="宋体"/>
                <w:color w:val="000000"/>
                <w:szCs w:val="21"/>
              </w:rPr>
            </w:pPr>
          </w:p>
        </w:tc>
      </w:tr>
      <w:tr>
        <w:tblPrEx>
          <w:tblLayout w:type="fixed"/>
          <w:tblCellMar>
            <w:top w:w="15" w:type="dxa"/>
            <w:left w:w="15" w:type="dxa"/>
            <w:bottom w:w="15" w:type="dxa"/>
            <w:right w:w="15" w:type="dxa"/>
          </w:tblCellMar>
        </w:tblPrEx>
        <w:trPr>
          <w:trHeight w:val="870"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5</w:t>
            </w:r>
          </w:p>
        </w:tc>
        <w:tc>
          <w:tcPr>
            <w:tcW w:w="66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textAlignment w:val="center"/>
              <w:rPr>
                <w:rFonts w:ascii="宋体" w:hAnsi="宋体" w:cs="宋体"/>
                <w:color w:val="000000"/>
                <w:szCs w:val="21"/>
              </w:rPr>
            </w:pPr>
            <w:r>
              <w:rPr>
                <w:rFonts w:hint="eastAsia" w:ascii="宋体" w:hAnsi="宋体" w:cs="宋体"/>
                <w:color w:val="000000"/>
                <w:szCs w:val="21"/>
              </w:rPr>
              <w:t>招标人被修车辆达不到规定的质量标准和技术要求的，返修率超过3%的。</w:t>
            </w:r>
          </w:p>
        </w:tc>
        <w:tc>
          <w:tcPr>
            <w:tcW w:w="12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5分/次/辆</w:t>
            </w:r>
          </w:p>
        </w:tc>
        <w:tc>
          <w:tcPr>
            <w:tcW w:w="6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rPr>
                <w:rFonts w:ascii="宋体" w:hAnsi="宋体" w:cs="宋体"/>
                <w:color w:val="000000"/>
                <w:szCs w:val="21"/>
              </w:rPr>
            </w:pPr>
          </w:p>
        </w:tc>
      </w:tr>
      <w:tr>
        <w:tblPrEx>
          <w:tblLayout w:type="fixed"/>
          <w:tblCellMar>
            <w:top w:w="15" w:type="dxa"/>
            <w:left w:w="15" w:type="dxa"/>
            <w:bottom w:w="15" w:type="dxa"/>
            <w:right w:w="15" w:type="dxa"/>
          </w:tblCellMar>
        </w:tblPrEx>
        <w:trPr>
          <w:trHeight w:val="699"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6</w:t>
            </w:r>
          </w:p>
        </w:tc>
        <w:tc>
          <w:tcPr>
            <w:tcW w:w="66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textAlignment w:val="center"/>
              <w:rPr>
                <w:rFonts w:ascii="宋体" w:hAnsi="宋体" w:cs="宋体"/>
                <w:color w:val="000000"/>
                <w:szCs w:val="21"/>
              </w:rPr>
            </w:pPr>
            <w:r>
              <w:rPr>
                <w:rFonts w:hint="eastAsia" w:ascii="宋体" w:hAnsi="宋体" w:cs="宋体"/>
                <w:color w:val="000000"/>
                <w:szCs w:val="21"/>
              </w:rPr>
              <w:t>无正当理由拒修的。</w:t>
            </w:r>
          </w:p>
        </w:tc>
        <w:tc>
          <w:tcPr>
            <w:tcW w:w="12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5分/次</w:t>
            </w:r>
          </w:p>
        </w:tc>
        <w:tc>
          <w:tcPr>
            <w:tcW w:w="6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rPr>
                <w:rFonts w:ascii="宋体" w:hAnsi="宋体" w:cs="宋体"/>
                <w:color w:val="000000"/>
                <w:szCs w:val="21"/>
              </w:rPr>
            </w:pPr>
          </w:p>
        </w:tc>
      </w:tr>
      <w:tr>
        <w:tblPrEx>
          <w:tblLayout w:type="fixed"/>
          <w:tblCellMar>
            <w:top w:w="15" w:type="dxa"/>
            <w:left w:w="15" w:type="dxa"/>
            <w:bottom w:w="15" w:type="dxa"/>
            <w:right w:w="15" w:type="dxa"/>
          </w:tblCellMar>
        </w:tblPrEx>
        <w:trPr>
          <w:trHeight w:val="667" w:hRule="atLeast"/>
          <w:jc w:val="center"/>
        </w:trPr>
        <w:tc>
          <w:tcPr>
            <w:tcW w:w="4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7</w:t>
            </w:r>
          </w:p>
        </w:tc>
        <w:tc>
          <w:tcPr>
            <w:tcW w:w="66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textAlignment w:val="center"/>
              <w:rPr>
                <w:rFonts w:ascii="宋体" w:hAnsi="宋体" w:cs="宋体"/>
                <w:color w:val="000000"/>
                <w:szCs w:val="21"/>
              </w:rPr>
            </w:pPr>
            <w:r>
              <w:rPr>
                <w:rFonts w:hint="eastAsia" w:ascii="宋体" w:hAnsi="宋体" w:cs="宋体"/>
                <w:color w:val="000000"/>
                <w:szCs w:val="21"/>
              </w:rPr>
              <w:t>经查实，因质量、服务问题被投诉的。</w:t>
            </w:r>
          </w:p>
        </w:tc>
        <w:tc>
          <w:tcPr>
            <w:tcW w:w="12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color w:val="000000"/>
                <w:szCs w:val="21"/>
              </w:rPr>
            </w:pPr>
            <w:r>
              <w:rPr>
                <w:rFonts w:hint="eastAsia" w:ascii="宋体" w:hAnsi="宋体" w:cs="宋体"/>
                <w:color w:val="000000"/>
                <w:szCs w:val="21"/>
              </w:rPr>
              <w:t>5分/次</w:t>
            </w:r>
          </w:p>
        </w:tc>
        <w:tc>
          <w:tcPr>
            <w:tcW w:w="67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rPr>
                <w:rFonts w:ascii="宋体" w:hAnsi="宋体" w:cs="宋体"/>
                <w:color w:val="000000"/>
                <w:szCs w:val="21"/>
              </w:rPr>
            </w:pPr>
          </w:p>
        </w:tc>
      </w:tr>
    </w:tbl>
    <w:p>
      <w:pPr>
        <w:adjustRightInd w:val="0"/>
        <w:snapToGrid w:val="0"/>
        <w:spacing w:beforeLines="50" w:line="360" w:lineRule="auto"/>
        <w:ind w:firstLine="420" w:firstLineChars="200"/>
        <w:jc w:val="left"/>
        <w:rPr>
          <w:rFonts w:ascii="宋体" w:hAnsi="宋体" w:cs="楷体_GB2312"/>
          <w:color w:val="000000"/>
          <w:szCs w:val="21"/>
        </w:rPr>
      </w:pPr>
      <w:bookmarkStart w:id="144" w:name="_Toc15464932"/>
      <w:bookmarkStart w:id="145" w:name="_Toc12538897"/>
      <w:bookmarkStart w:id="146" w:name="_Toc20752122"/>
      <w:bookmarkStart w:id="147" w:name="_Toc616"/>
      <w:bookmarkStart w:id="148" w:name="_Toc29141"/>
      <w:bookmarkStart w:id="149" w:name="_Toc22504"/>
      <w:r>
        <w:rPr>
          <w:rFonts w:hint="eastAsia" w:ascii="宋体" w:hAnsi="宋体" w:cs="楷体_GB2312"/>
          <w:color w:val="000000"/>
          <w:szCs w:val="21"/>
        </w:rPr>
        <w:t>（二）考核支付表</w:t>
      </w:r>
      <w:bookmarkEnd w:id="144"/>
      <w:bookmarkEnd w:id="145"/>
      <w:bookmarkEnd w:id="146"/>
      <w:bookmarkEnd w:id="147"/>
      <w:bookmarkEnd w:id="148"/>
      <w:bookmarkEnd w:id="149"/>
    </w:p>
    <w:p>
      <w:pPr>
        <w:pStyle w:val="195"/>
        <w:framePr w:wrap="auto" w:vAnchor="margin" w:hAnchor="text" w:yAlign="inline"/>
        <w:adjustRightInd w:val="0"/>
        <w:snapToGrid w:val="0"/>
        <w:spacing w:beforeLines="50" w:line="360" w:lineRule="auto"/>
        <w:ind w:firstLine="315" w:firstLineChars="150"/>
      </w:pPr>
      <w:r>
        <w:rPr>
          <w:rFonts w:hint="eastAsia"/>
        </w:rPr>
        <w:t>投标人每季度的检查考评得分为以100分为基础分减去投标人当季度的日常检查扣分、不定期检查扣分及其他情况扣分后的分数，具体详见表三：</w:t>
      </w:r>
    </w:p>
    <w:tbl>
      <w:tblPr>
        <w:tblStyle w:val="46"/>
        <w:tblW w:w="8160" w:type="dxa"/>
        <w:jc w:val="center"/>
        <w:tblInd w:w="0" w:type="dxa"/>
        <w:tblLayout w:type="fixed"/>
        <w:tblCellMar>
          <w:top w:w="15" w:type="dxa"/>
          <w:left w:w="15" w:type="dxa"/>
          <w:bottom w:w="15" w:type="dxa"/>
          <w:right w:w="15" w:type="dxa"/>
        </w:tblCellMar>
      </w:tblPr>
      <w:tblGrid>
        <w:gridCol w:w="994"/>
        <w:gridCol w:w="4473"/>
        <w:gridCol w:w="2693"/>
      </w:tblGrid>
      <w:tr>
        <w:tblPrEx>
          <w:tblLayout w:type="fixed"/>
          <w:tblCellMar>
            <w:top w:w="15" w:type="dxa"/>
            <w:left w:w="15" w:type="dxa"/>
            <w:bottom w:w="15" w:type="dxa"/>
            <w:right w:w="15" w:type="dxa"/>
          </w:tblCellMar>
        </w:tblPrEx>
        <w:trPr>
          <w:trHeight w:val="600" w:hRule="atLeast"/>
          <w:jc w:val="center"/>
        </w:trPr>
        <w:tc>
          <w:tcPr>
            <w:tcW w:w="8160"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center"/>
              <w:rPr>
                <w:rFonts w:ascii="宋体" w:hAnsi="宋体" w:cs="宋体"/>
                <w:b/>
                <w:color w:val="000000"/>
                <w:szCs w:val="21"/>
              </w:rPr>
            </w:pPr>
            <w:r>
              <w:rPr>
                <w:rFonts w:hint="eastAsia" w:ascii="宋体" w:hAnsi="宋体" w:cs="宋体"/>
                <w:b/>
                <w:color w:val="000000"/>
                <w:szCs w:val="21"/>
              </w:rPr>
              <w:t>表三：考核支付表</w:t>
            </w:r>
          </w:p>
        </w:tc>
      </w:tr>
      <w:tr>
        <w:tblPrEx>
          <w:tblLayout w:type="fixed"/>
          <w:tblCellMar>
            <w:top w:w="15" w:type="dxa"/>
            <w:left w:w="15" w:type="dxa"/>
            <w:bottom w:w="15" w:type="dxa"/>
            <w:right w:w="15" w:type="dxa"/>
          </w:tblCellMar>
        </w:tblPrEx>
        <w:trPr>
          <w:trHeight w:val="600" w:hRule="atLeast"/>
          <w:jc w:val="center"/>
        </w:trPr>
        <w:tc>
          <w:tcPr>
            <w:tcW w:w="9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宋体"/>
                <w:b/>
                <w:color w:val="000000"/>
                <w:szCs w:val="21"/>
              </w:rPr>
            </w:pPr>
            <w:r>
              <w:rPr>
                <w:rFonts w:hint="eastAsia" w:ascii="宋体" w:hAnsi="宋体" w:cs="宋体"/>
                <w:b/>
                <w:color w:val="000000"/>
                <w:szCs w:val="21"/>
              </w:rPr>
              <w:t>考核等级</w:t>
            </w:r>
          </w:p>
        </w:tc>
        <w:tc>
          <w:tcPr>
            <w:tcW w:w="447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宋体"/>
                <w:b/>
                <w:color w:val="000000"/>
                <w:szCs w:val="21"/>
              </w:rPr>
            </w:pPr>
            <w:r>
              <w:rPr>
                <w:rFonts w:hint="eastAsia" w:ascii="宋体" w:hAnsi="宋体" w:cs="宋体"/>
                <w:b/>
                <w:color w:val="000000"/>
                <w:szCs w:val="21"/>
              </w:rPr>
              <w:t>考核标准及应用（基础分100分）</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宋体"/>
                <w:b/>
                <w:color w:val="000000"/>
                <w:szCs w:val="21"/>
              </w:rPr>
            </w:pPr>
            <w:r>
              <w:rPr>
                <w:rFonts w:hint="eastAsia" w:ascii="宋体" w:hAnsi="宋体" w:cs="宋体"/>
                <w:b/>
                <w:color w:val="000000"/>
                <w:szCs w:val="21"/>
              </w:rPr>
              <w:t>备注</w:t>
            </w:r>
          </w:p>
        </w:tc>
      </w:tr>
      <w:tr>
        <w:tblPrEx>
          <w:tblLayout w:type="fixed"/>
          <w:tblCellMar>
            <w:top w:w="15" w:type="dxa"/>
            <w:left w:w="15" w:type="dxa"/>
            <w:bottom w:w="15" w:type="dxa"/>
            <w:right w:w="15" w:type="dxa"/>
          </w:tblCellMar>
        </w:tblPrEx>
        <w:trPr>
          <w:trHeight w:val="600" w:hRule="atLeast"/>
          <w:jc w:val="center"/>
        </w:trPr>
        <w:tc>
          <w:tcPr>
            <w:tcW w:w="9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A级</w:t>
            </w:r>
          </w:p>
        </w:tc>
        <w:tc>
          <w:tcPr>
            <w:tcW w:w="447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综合考评≥90分，支付比例100%</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p>
        </w:tc>
      </w:tr>
      <w:tr>
        <w:tblPrEx>
          <w:tblLayout w:type="fixed"/>
          <w:tblCellMar>
            <w:top w:w="15" w:type="dxa"/>
            <w:left w:w="15" w:type="dxa"/>
            <w:bottom w:w="15" w:type="dxa"/>
            <w:right w:w="15" w:type="dxa"/>
          </w:tblCellMar>
        </w:tblPrEx>
        <w:trPr>
          <w:trHeight w:val="600" w:hRule="atLeast"/>
          <w:jc w:val="center"/>
        </w:trPr>
        <w:tc>
          <w:tcPr>
            <w:tcW w:w="9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B级</w:t>
            </w:r>
          </w:p>
        </w:tc>
        <w:tc>
          <w:tcPr>
            <w:tcW w:w="447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80分≤综合考评分＜90分，支付比例95%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扣每季度合同金额的5%</w:t>
            </w:r>
          </w:p>
        </w:tc>
      </w:tr>
      <w:tr>
        <w:tblPrEx>
          <w:tblLayout w:type="fixed"/>
          <w:tblCellMar>
            <w:top w:w="15" w:type="dxa"/>
            <w:left w:w="15" w:type="dxa"/>
            <w:bottom w:w="15" w:type="dxa"/>
            <w:right w:w="15" w:type="dxa"/>
          </w:tblCellMar>
        </w:tblPrEx>
        <w:trPr>
          <w:trHeight w:val="600" w:hRule="atLeast"/>
          <w:jc w:val="center"/>
        </w:trPr>
        <w:tc>
          <w:tcPr>
            <w:tcW w:w="9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C级</w:t>
            </w:r>
          </w:p>
        </w:tc>
        <w:tc>
          <w:tcPr>
            <w:tcW w:w="447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70分≤综合考评分＜80分，支付比例90%</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扣每季度合同金额的10%</w:t>
            </w:r>
          </w:p>
        </w:tc>
      </w:tr>
      <w:tr>
        <w:tblPrEx>
          <w:tblLayout w:type="fixed"/>
          <w:tblCellMar>
            <w:top w:w="15" w:type="dxa"/>
            <w:left w:w="15" w:type="dxa"/>
            <w:bottom w:w="15" w:type="dxa"/>
            <w:right w:w="15" w:type="dxa"/>
          </w:tblCellMar>
        </w:tblPrEx>
        <w:trPr>
          <w:trHeight w:val="600" w:hRule="atLeast"/>
          <w:jc w:val="center"/>
        </w:trPr>
        <w:tc>
          <w:tcPr>
            <w:tcW w:w="9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D级</w:t>
            </w:r>
          </w:p>
        </w:tc>
        <w:tc>
          <w:tcPr>
            <w:tcW w:w="447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综合考评分＜70分，支付比例80%</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扣每季度合同金额的20%</w:t>
            </w:r>
          </w:p>
        </w:tc>
      </w:tr>
      <w:tr>
        <w:tblPrEx>
          <w:tblLayout w:type="fixed"/>
          <w:tblCellMar>
            <w:top w:w="15" w:type="dxa"/>
            <w:left w:w="15" w:type="dxa"/>
            <w:bottom w:w="15" w:type="dxa"/>
            <w:right w:w="15" w:type="dxa"/>
          </w:tblCellMar>
        </w:tblPrEx>
        <w:trPr>
          <w:trHeight w:val="600" w:hRule="atLeast"/>
          <w:jc w:val="center"/>
        </w:trPr>
        <w:tc>
          <w:tcPr>
            <w:tcW w:w="9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D级</w:t>
            </w:r>
          </w:p>
        </w:tc>
        <w:tc>
          <w:tcPr>
            <w:tcW w:w="447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综合考评分＜70分，支付比例80%</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50" w:line="360" w:lineRule="auto"/>
              <w:jc w:val="center"/>
              <w:textAlignment w:val="top"/>
              <w:rPr>
                <w:rFonts w:ascii="宋体" w:hAnsi="宋体" w:cs="仿宋"/>
                <w:szCs w:val="21"/>
              </w:rPr>
            </w:pPr>
            <w:r>
              <w:rPr>
                <w:rFonts w:hint="eastAsia" w:ascii="宋体" w:hAnsi="宋体" w:cs="仿宋"/>
                <w:szCs w:val="21"/>
              </w:rPr>
              <w:t>扣每季度合同金额的20%</w:t>
            </w:r>
          </w:p>
        </w:tc>
      </w:tr>
    </w:tbl>
    <w:p>
      <w:pPr>
        <w:adjustRightInd w:val="0"/>
        <w:snapToGrid w:val="0"/>
        <w:spacing w:beforeLines="50" w:line="360" w:lineRule="auto"/>
        <w:ind w:firstLine="422" w:firstLineChars="200"/>
        <w:rPr>
          <w:rFonts w:ascii="宋体" w:hAnsi="宋体" w:cs="黑体"/>
          <w:b/>
          <w:bCs/>
          <w:szCs w:val="21"/>
        </w:rPr>
      </w:pPr>
      <w:bookmarkStart w:id="150" w:name="_Toc26673"/>
      <w:bookmarkStart w:id="151" w:name="_Toc14814"/>
      <w:bookmarkStart w:id="152" w:name="_Toc20752123"/>
      <w:bookmarkStart w:id="153" w:name="_Toc13543"/>
      <w:bookmarkStart w:id="154" w:name="_Toc8686"/>
      <w:bookmarkStart w:id="155" w:name="_Toc15464933"/>
      <w:bookmarkStart w:id="156" w:name="_Toc12538898"/>
      <w:r>
        <w:rPr>
          <w:rFonts w:hint="eastAsia" w:ascii="宋体" w:hAnsi="宋体" w:cs="黑体"/>
          <w:b/>
          <w:bCs/>
          <w:szCs w:val="21"/>
        </w:rPr>
        <w:t>九、其他</w:t>
      </w:r>
      <w:bookmarkEnd w:id="150"/>
      <w:bookmarkEnd w:id="151"/>
      <w:bookmarkEnd w:id="152"/>
      <w:bookmarkEnd w:id="153"/>
      <w:bookmarkEnd w:id="154"/>
      <w:bookmarkEnd w:id="155"/>
      <w:bookmarkEnd w:id="156"/>
    </w:p>
    <w:p>
      <w:pPr>
        <w:adjustRightInd w:val="0"/>
        <w:snapToGrid w:val="0"/>
        <w:spacing w:beforeLines="50" w:line="360" w:lineRule="auto"/>
        <w:ind w:firstLine="420" w:firstLineChars="200"/>
        <w:jc w:val="left"/>
        <w:rPr>
          <w:rFonts w:ascii="宋体" w:hAnsi="宋体" w:cs="楷体_GB2312"/>
          <w:color w:val="000000"/>
          <w:szCs w:val="21"/>
        </w:rPr>
      </w:pPr>
      <w:bookmarkStart w:id="157" w:name="_Toc15464934"/>
      <w:bookmarkStart w:id="158" w:name="_Toc20752124"/>
      <w:r>
        <w:rPr>
          <w:rFonts w:hint="eastAsia" w:ascii="宋体" w:hAnsi="宋体" w:cs="楷体_GB2312"/>
          <w:color w:val="000000"/>
          <w:szCs w:val="21"/>
        </w:rPr>
        <w:t>报价及说明</w:t>
      </w:r>
      <w:bookmarkEnd w:id="157"/>
      <w:bookmarkEnd w:id="158"/>
    </w:p>
    <w:p>
      <w:pPr>
        <w:pStyle w:val="195"/>
        <w:framePr w:wrap="auto" w:vAnchor="margin" w:hAnchor="text" w:yAlign="inline"/>
        <w:adjustRightInd w:val="0"/>
        <w:snapToGrid w:val="0"/>
        <w:spacing w:beforeLines="50" w:line="360" w:lineRule="auto"/>
        <w:ind w:firstLine="315" w:firstLineChars="150"/>
      </w:pPr>
      <w:r>
        <w:rPr>
          <w:rFonts w:hint="eastAsia"/>
        </w:rPr>
        <w:t>车辆维修保养报价内容，详见表四：</w:t>
      </w:r>
    </w:p>
    <w:tbl>
      <w:tblPr>
        <w:tblStyle w:val="46"/>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3013"/>
        <w:gridCol w:w="4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4" w:hRule="atLeast"/>
        </w:trPr>
        <w:tc>
          <w:tcPr>
            <w:tcW w:w="8364" w:type="dxa"/>
            <w:gridSpan w:val="3"/>
            <w:vAlign w:val="center"/>
          </w:tcPr>
          <w:p>
            <w:pPr>
              <w:adjustRightInd w:val="0"/>
              <w:snapToGrid w:val="0"/>
              <w:spacing w:beforeLines="50" w:line="360" w:lineRule="auto"/>
              <w:jc w:val="center"/>
              <w:textAlignment w:val="center"/>
              <w:rPr>
                <w:rFonts w:ascii="宋体" w:hAnsi="宋体" w:cs="宋体"/>
                <w:b/>
                <w:color w:val="000000"/>
                <w:szCs w:val="21"/>
              </w:rPr>
            </w:pPr>
            <w:r>
              <w:rPr>
                <w:rFonts w:hint="eastAsia" w:ascii="宋体" w:hAnsi="宋体" w:cs="宋体"/>
                <w:b/>
                <w:color w:val="000000"/>
                <w:szCs w:val="21"/>
              </w:rPr>
              <w:t>表四：报价表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trPr>
        <w:tc>
          <w:tcPr>
            <w:tcW w:w="851"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序号</w:t>
            </w:r>
          </w:p>
        </w:tc>
        <w:tc>
          <w:tcPr>
            <w:tcW w:w="3013"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内容</w:t>
            </w:r>
          </w:p>
        </w:tc>
        <w:tc>
          <w:tcPr>
            <w:tcW w:w="4500"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851"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1</w:t>
            </w:r>
          </w:p>
        </w:tc>
        <w:tc>
          <w:tcPr>
            <w:tcW w:w="3013"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车辆维修工时单价报价</w:t>
            </w:r>
          </w:p>
        </w:tc>
        <w:tc>
          <w:tcPr>
            <w:tcW w:w="4500"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各工种工时单价为元整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1" w:hRule="atLeast"/>
        </w:trPr>
        <w:tc>
          <w:tcPr>
            <w:tcW w:w="851"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2</w:t>
            </w:r>
          </w:p>
        </w:tc>
        <w:tc>
          <w:tcPr>
            <w:tcW w:w="3013"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维修材料管理费</w:t>
            </w:r>
          </w:p>
          <w:p>
            <w:pPr>
              <w:adjustRightInd w:val="0"/>
              <w:snapToGrid w:val="0"/>
              <w:spacing w:beforeLines="50" w:line="360" w:lineRule="auto"/>
              <w:jc w:val="center"/>
              <w:rPr>
                <w:rFonts w:ascii="宋体" w:hAnsi="宋体"/>
                <w:szCs w:val="21"/>
              </w:rPr>
            </w:pPr>
            <w:r>
              <w:rPr>
                <w:rFonts w:hint="eastAsia" w:ascii="宋体" w:hAnsi="宋体"/>
                <w:szCs w:val="21"/>
              </w:rPr>
              <w:t>（即配件进销差价）收费比例</w:t>
            </w:r>
          </w:p>
        </w:tc>
        <w:tc>
          <w:tcPr>
            <w:tcW w:w="4500"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按维修材料费的％计算</w:t>
            </w:r>
          </w:p>
        </w:tc>
      </w:tr>
    </w:tbl>
    <w:p>
      <w:pPr>
        <w:adjustRightInd w:val="0"/>
        <w:snapToGrid w:val="0"/>
        <w:spacing w:beforeLines="50" w:line="360" w:lineRule="auto"/>
        <w:rPr>
          <w:rFonts w:ascii="宋体" w:hAnsi="宋体"/>
          <w:szCs w:val="21"/>
        </w:rPr>
      </w:pPr>
      <w:r>
        <w:rPr>
          <w:rFonts w:hint="eastAsia" w:ascii="宋体" w:hAnsi="宋体"/>
          <w:szCs w:val="21"/>
        </w:rPr>
        <w:t>备注：</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1.本次谈判为一次性报价，以人民币报价，以元为单位，并保留小数点后两位。</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2.车辆维修工时单价报价不得超过15元，维修材料管理费报价不得超过15％。</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3.上述报价是包含了所有隐含的管理费、税金和利润等其他费用。</w:t>
      </w:r>
    </w:p>
    <w:p>
      <w:pPr>
        <w:spacing w:beforeLines="50" w:line="360" w:lineRule="auto"/>
        <w:ind w:firstLine="420" w:firstLineChars="200"/>
        <w:jc w:val="left"/>
        <w:rPr>
          <w:rFonts w:ascii="宋体" w:hAnsi="宋体"/>
        </w:rPr>
        <w:sectPr>
          <w:headerReference r:id="rId6" w:type="default"/>
          <w:footerReference r:id="rId7" w:type="default"/>
          <w:pgSz w:w="11906" w:h="16838"/>
          <w:pgMar w:top="1440" w:right="1797" w:bottom="1440" w:left="1797" w:header="851" w:footer="851" w:gutter="0"/>
          <w:cols w:space="720" w:num="1"/>
          <w:docGrid w:linePitch="312" w:charSpace="0"/>
        </w:sectPr>
      </w:pPr>
    </w:p>
    <w:p>
      <w:pPr>
        <w:pStyle w:val="3"/>
        <w:keepNext w:val="0"/>
        <w:rPr>
          <w:rFonts w:ascii="宋体" w:hAnsi="宋体"/>
          <w:bCs w:val="0"/>
          <w:sz w:val="32"/>
          <w:szCs w:val="32"/>
        </w:rPr>
      </w:pPr>
      <w:bookmarkStart w:id="159" w:name="_Toc20753195"/>
      <w:bookmarkStart w:id="160" w:name="_Toc20753092"/>
      <w:r>
        <w:rPr>
          <w:rFonts w:hint="eastAsia" w:ascii="宋体" w:hAnsi="宋体"/>
          <w:bCs w:val="0"/>
          <w:sz w:val="32"/>
          <w:szCs w:val="32"/>
        </w:rPr>
        <w:t>第五章 合同格式条款</w:t>
      </w:r>
      <w:bookmarkEnd w:id="159"/>
      <w:bookmarkEnd w:id="160"/>
    </w:p>
    <w:p>
      <w:pPr>
        <w:adjustRightInd w:val="0"/>
        <w:snapToGrid w:val="0"/>
        <w:spacing w:line="360" w:lineRule="auto"/>
        <w:ind w:firstLine="2880" w:firstLineChars="1200"/>
        <w:jc w:val="right"/>
        <w:rPr>
          <w:rFonts w:ascii="仿宋" w:hAnsi="仿宋" w:eastAsia="仿宋"/>
          <w:sz w:val="22"/>
          <w:szCs w:val="18"/>
        </w:rPr>
      </w:pPr>
      <w:r>
        <w:rPr>
          <w:rFonts w:hint="eastAsia" w:ascii="仿宋_GB2312" w:hAnsi="仿宋_GB2312" w:eastAsia="仿宋_GB2312" w:cs="仿宋_GB2312"/>
          <w:sz w:val="24"/>
        </w:rPr>
        <w:t>合同编号:长轨运</w:t>
      </w:r>
      <w:r>
        <w:rPr>
          <w:rFonts w:hint="eastAsia" w:ascii="仿宋_GB2312" w:hAnsi="仿宋_GB2312" w:cs="仿宋_GB2312"/>
          <w:sz w:val="24"/>
        </w:rPr>
        <w:t>服</w:t>
      </w:r>
      <w:r>
        <w:rPr>
          <w:rFonts w:hint="eastAsia" w:ascii="仿宋_GB2312" w:hAnsi="仿宋_GB2312" w:eastAsia="仿宋_GB2312" w:cs="仿宋_GB2312"/>
          <w:sz w:val="24"/>
        </w:rPr>
        <w:t>合[20  ]号</w:t>
      </w: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pacing w:val="20"/>
          <w:sz w:val="52"/>
          <w:szCs w:val="52"/>
        </w:rPr>
        <w:t>服务项目合同</w:t>
      </w: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ind w:firstLine="562" w:firstLineChars="200"/>
        <w:jc w:val="left"/>
        <w:rPr>
          <w:rFonts w:ascii="仿宋_GB2312" w:hAnsi="仿宋_GB2312" w:cs="仿宋_GB2312"/>
          <w:b/>
          <w:sz w:val="28"/>
          <w:szCs w:val="28"/>
          <w:u w:val="dotted"/>
        </w:rPr>
      </w:pPr>
      <w:r>
        <w:rPr>
          <w:rFonts w:hint="eastAsia" w:ascii="仿宋_GB2312" w:hAnsi="仿宋_GB2312" w:eastAsia="仿宋_GB2312" w:cs="仿宋_GB2312"/>
          <w:b/>
          <w:sz w:val="28"/>
          <w:szCs w:val="28"/>
        </w:rPr>
        <w:t>项目名称：</w:t>
      </w:r>
      <w:r>
        <w:rPr>
          <w:rFonts w:hint="eastAsia" w:ascii="仿宋_GB2312" w:hAnsi="仿宋_GB2312" w:cs="仿宋_GB2312"/>
          <w:b/>
          <w:sz w:val="28"/>
          <w:szCs w:val="28"/>
          <w:u w:val="dotted"/>
        </w:rPr>
        <w:t xml:space="preserve"> 长沙市轨道1、2、3、4号线一期工程运营期公务用车</w:t>
      </w:r>
    </w:p>
    <w:p>
      <w:pPr>
        <w:adjustRightInd w:val="0"/>
        <w:snapToGrid w:val="0"/>
        <w:spacing w:line="360" w:lineRule="auto"/>
        <w:ind w:firstLine="1968" w:firstLineChars="700"/>
        <w:jc w:val="left"/>
        <w:rPr>
          <w:rFonts w:ascii="仿宋_GB2312" w:hAnsi="仿宋_GB2312" w:eastAsia="仿宋_GB2312" w:cs="仿宋_GB2312"/>
          <w:b/>
          <w:sz w:val="28"/>
          <w:szCs w:val="28"/>
        </w:rPr>
      </w:pPr>
      <w:r>
        <w:rPr>
          <w:rFonts w:hint="eastAsia" w:ascii="仿宋_GB2312" w:hAnsi="仿宋_GB2312" w:cs="仿宋_GB2312"/>
          <w:b/>
          <w:sz w:val="28"/>
          <w:szCs w:val="28"/>
          <w:u w:val="dotted"/>
        </w:rPr>
        <w:t>维修定点服务项目</w:t>
      </w: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湖南省长沙市</w:t>
      </w: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甲方：</w:t>
      </w: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beforeLines="50"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w:t>
      </w:r>
      <w:r>
        <w:rPr>
          <w:rFonts w:hint="eastAsia"/>
        </w:rPr>
        <w:br w:type="page"/>
      </w:r>
    </w:p>
    <w:p>
      <w:pPr>
        <w:adjustRightInd w:val="0"/>
        <w:snapToGrid w:val="0"/>
        <w:spacing w:line="360" w:lineRule="auto"/>
        <w:jc w:val="center"/>
        <w:rPr>
          <w:rFonts w:ascii="宋体" w:hAnsi="宋体" w:cs="宋体"/>
          <w:b/>
          <w:szCs w:val="21"/>
        </w:rPr>
      </w:pPr>
      <w:bookmarkStart w:id="161" w:name="_Toc20752126"/>
      <w:bookmarkStart w:id="162" w:name="_Toc30639"/>
      <w:bookmarkStart w:id="163" w:name="_Toc29208"/>
      <w:r>
        <w:rPr>
          <w:rFonts w:hint="eastAsia" w:ascii="宋体" w:hAnsi="宋体" w:cs="宋体"/>
          <w:b/>
          <w:szCs w:val="21"/>
        </w:rPr>
        <w:t>第一部分 合同协议书</w:t>
      </w:r>
      <w:bookmarkEnd w:id="161"/>
    </w:p>
    <w:p>
      <w:pPr>
        <w:adjustRightInd w:val="0"/>
        <w:snapToGrid w:val="0"/>
        <w:spacing w:line="360" w:lineRule="auto"/>
        <w:rPr>
          <w:rFonts w:ascii="宋体" w:hAnsi="宋体" w:cs="宋体"/>
          <w:szCs w:val="21"/>
          <w:u w:val="single"/>
        </w:rPr>
      </w:pPr>
      <w:r>
        <w:rPr>
          <w:rFonts w:hint="eastAsia" w:ascii="宋体" w:hAnsi="宋体" w:cs="宋体"/>
          <w:szCs w:val="21"/>
        </w:rPr>
        <w:t xml:space="preserve">甲方（委托方）： </w:t>
      </w:r>
    </w:p>
    <w:p>
      <w:pPr>
        <w:adjustRightInd w:val="0"/>
        <w:snapToGrid w:val="0"/>
        <w:spacing w:line="360" w:lineRule="auto"/>
        <w:rPr>
          <w:rFonts w:ascii="宋体" w:hAnsi="宋体" w:cs="宋体"/>
          <w:szCs w:val="21"/>
        </w:rPr>
      </w:pPr>
      <w:r>
        <w:rPr>
          <w:rFonts w:hint="eastAsia" w:ascii="宋体" w:hAnsi="宋体" w:cs="宋体"/>
          <w:szCs w:val="21"/>
        </w:rPr>
        <w:t xml:space="preserve">乙方（受托方）： </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为了保护甲、乙双方合法权益，根据《中华人民共和国合同法》及其他有关法律法规、规章的规定，双方经过平等协商，在真实、充分地表达各自意愿的基础上，达成如下协议，并由双方共同恪守。</w:t>
      </w:r>
    </w:p>
    <w:p>
      <w:pPr>
        <w:widowControl/>
        <w:autoSpaceDE w:val="0"/>
        <w:autoSpaceDN w:val="0"/>
        <w:adjustRightInd w:val="0"/>
        <w:snapToGrid w:val="0"/>
        <w:spacing w:beforeLines="50" w:line="360" w:lineRule="auto"/>
        <w:jc w:val="left"/>
        <w:rPr>
          <w:rFonts w:ascii="宋体" w:hAnsi="宋体" w:cs="宋体"/>
          <w:b/>
          <w:bCs/>
          <w:szCs w:val="21"/>
        </w:rPr>
      </w:pPr>
      <w:bookmarkStart w:id="164" w:name="_Toc20752127"/>
      <w:bookmarkStart w:id="165" w:name="_Toc32742"/>
      <w:bookmarkStart w:id="166" w:name="_Toc26896"/>
      <w:bookmarkStart w:id="167" w:name="_Toc17907"/>
      <w:bookmarkStart w:id="168" w:name="_Toc26171"/>
      <w:r>
        <w:rPr>
          <w:rFonts w:hint="eastAsia" w:ascii="宋体" w:hAnsi="宋体" w:cs="宋体"/>
          <w:b/>
          <w:bCs/>
          <w:szCs w:val="21"/>
        </w:rPr>
        <w:t>一、项目概况</w:t>
      </w:r>
      <w:bookmarkEnd w:id="164"/>
      <w:bookmarkEnd w:id="165"/>
      <w:bookmarkEnd w:id="166"/>
      <w:bookmarkEnd w:id="167"/>
      <w:bookmarkEnd w:id="168"/>
    </w:p>
    <w:p>
      <w:pPr>
        <w:widowControl/>
        <w:autoSpaceDE w:val="0"/>
        <w:autoSpaceDN w:val="0"/>
        <w:adjustRightInd w:val="0"/>
        <w:snapToGrid w:val="0"/>
        <w:spacing w:line="360" w:lineRule="auto"/>
        <w:ind w:firstLine="411" w:firstLineChars="196"/>
        <w:jc w:val="left"/>
        <w:rPr>
          <w:rFonts w:ascii="宋体" w:hAnsi="宋体" w:cs="宋体"/>
          <w:bCs/>
          <w:szCs w:val="21"/>
        </w:rPr>
      </w:pPr>
      <w:r>
        <w:rPr>
          <w:rFonts w:hint="eastAsia" w:ascii="宋体" w:hAnsi="宋体" w:cs="宋体"/>
          <w:bCs/>
          <w:szCs w:val="21"/>
        </w:rPr>
        <w:t>1、项目名称：</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bCs/>
          <w:szCs w:val="21"/>
        </w:rPr>
        <w:t>2、项目地点：</w:t>
      </w:r>
    </w:p>
    <w:p>
      <w:pPr>
        <w:adjustRightInd w:val="0"/>
        <w:snapToGrid w:val="0"/>
        <w:spacing w:line="360" w:lineRule="auto"/>
        <w:rPr>
          <w:rFonts w:ascii="宋体" w:hAnsi="宋体" w:cs="宋体"/>
          <w:b/>
          <w:bCs/>
          <w:szCs w:val="21"/>
        </w:rPr>
      </w:pPr>
      <w:r>
        <w:rPr>
          <w:rFonts w:hint="eastAsia" w:ascii="宋体" w:hAnsi="宋体" w:cs="宋体"/>
          <w:b/>
          <w:bCs/>
          <w:szCs w:val="21"/>
        </w:rPr>
        <w:t>二、合同范围</w:t>
      </w:r>
    </w:p>
    <w:p>
      <w:pPr>
        <w:adjustRightInd w:val="0"/>
        <w:snapToGrid w:val="0"/>
        <w:spacing w:line="360" w:lineRule="auto"/>
        <w:ind w:firstLine="420" w:firstLineChars="200"/>
        <w:rPr>
          <w:rFonts w:ascii="宋体" w:hAnsi="宋体" w:cs="宋体"/>
          <w:szCs w:val="21"/>
        </w:rPr>
      </w:pPr>
      <w:r>
        <w:rPr>
          <w:rFonts w:hint="eastAsia" w:ascii="宋体" w:hAnsi="宋体" w:cs="宋体"/>
          <w:szCs w:val="21"/>
          <w:u w:val="single"/>
        </w:rPr>
        <w:t>具体以用户需求书/技术规格书为准。</w:t>
      </w:r>
    </w:p>
    <w:p>
      <w:pPr>
        <w:numPr>
          <w:ilvl w:val="0"/>
          <w:numId w:val="2"/>
        </w:numPr>
        <w:adjustRightInd w:val="0"/>
        <w:snapToGrid w:val="0"/>
        <w:spacing w:line="360" w:lineRule="auto"/>
        <w:rPr>
          <w:rFonts w:ascii="宋体" w:hAnsi="宋体" w:cs="宋体"/>
          <w:b/>
          <w:bCs/>
          <w:szCs w:val="21"/>
        </w:rPr>
      </w:pPr>
      <w:r>
        <w:rPr>
          <w:rFonts w:hint="eastAsia" w:ascii="宋体" w:hAnsi="宋体" w:cs="宋体"/>
          <w:b/>
          <w:bCs/>
          <w:szCs w:val="21"/>
        </w:rPr>
        <w:t>合同服务期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u w:val="single"/>
        </w:rPr>
        <w:t>具体以用户需求书/技术规格书为准。</w:t>
      </w:r>
    </w:p>
    <w:p>
      <w:pPr>
        <w:numPr>
          <w:ilvl w:val="0"/>
          <w:numId w:val="2"/>
        </w:numPr>
        <w:adjustRightInd w:val="0"/>
        <w:snapToGrid w:val="0"/>
        <w:spacing w:line="360" w:lineRule="auto"/>
        <w:rPr>
          <w:rFonts w:ascii="宋体" w:hAnsi="宋体" w:cs="宋体"/>
          <w:b/>
          <w:bCs/>
          <w:szCs w:val="21"/>
        </w:rPr>
      </w:pPr>
      <w:r>
        <w:rPr>
          <w:rFonts w:hint="eastAsia" w:ascii="宋体" w:hAnsi="宋体" w:cs="宋体"/>
          <w:b/>
          <w:bCs/>
          <w:szCs w:val="21"/>
        </w:rPr>
        <w:t>签约合同价及维修费用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1.签约合同价为人民币元（大写金额：）。</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2.本合同的维修费用据实结算，但最终的维修费用不得超过签约合同价，具体分项价格详见合同附件之签约合同价清单。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3.维修费用包括工时费、维修材料费、维修材料管理费等履行合同标的全过程的所有成本和费用以及乙方应承担的一切税费。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4.针对事故车辆，经交警部门认定后属于保险赔付范围的，由承保保险公司按相关赔付标准予以赔付/支付，不属于保险赔付范围或者超出保险赔付额度的部分按本项目规定价格计算办法进行最终结算。</w:t>
      </w:r>
    </w:p>
    <w:p>
      <w:pPr>
        <w:widowControl/>
        <w:autoSpaceDE w:val="0"/>
        <w:autoSpaceDN w:val="0"/>
        <w:adjustRightInd w:val="0"/>
        <w:snapToGrid w:val="0"/>
        <w:spacing w:beforeLines="50" w:line="360" w:lineRule="auto"/>
        <w:jc w:val="left"/>
        <w:rPr>
          <w:rFonts w:ascii="宋体" w:hAnsi="宋体" w:cs="宋体"/>
          <w:b/>
          <w:color w:val="000000"/>
          <w:szCs w:val="21"/>
        </w:rPr>
      </w:pPr>
      <w:bookmarkStart w:id="169" w:name="_Toc27578"/>
      <w:bookmarkStart w:id="170" w:name="_Toc25652"/>
      <w:bookmarkStart w:id="171" w:name="_Toc7501"/>
      <w:bookmarkStart w:id="172" w:name="_Toc10509"/>
      <w:bookmarkStart w:id="173" w:name="_Toc20752128"/>
      <w:r>
        <w:rPr>
          <w:rFonts w:hint="eastAsia" w:ascii="宋体" w:hAnsi="宋体" w:cs="宋体"/>
          <w:b/>
          <w:color w:val="000000"/>
          <w:szCs w:val="21"/>
        </w:rPr>
        <w:t>五、合同文件</w:t>
      </w:r>
      <w:bookmarkEnd w:id="169"/>
      <w:bookmarkEnd w:id="170"/>
      <w:bookmarkEnd w:id="171"/>
      <w:bookmarkEnd w:id="172"/>
      <w:r>
        <w:rPr>
          <w:rFonts w:hint="eastAsia" w:ascii="宋体" w:hAnsi="宋体" w:cs="宋体"/>
          <w:b/>
          <w:color w:val="000000"/>
          <w:szCs w:val="21"/>
        </w:rPr>
        <w:t>构成</w:t>
      </w:r>
      <w:bookmarkEnd w:id="173"/>
    </w:p>
    <w:p>
      <w:pPr>
        <w:tabs>
          <w:tab w:val="left" w:pos="1248"/>
        </w:tabs>
        <w:adjustRightInd w:val="0"/>
        <w:snapToGrid w:val="0"/>
        <w:spacing w:line="360" w:lineRule="auto"/>
        <w:ind w:firstLine="420" w:firstLineChars="200"/>
        <w:rPr>
          <w:rFonts w:ascii="宋体" w:hAnsi="宋体" w:cs="宋体"/>
          <w:szCs w:val="21"/>
        </w:rPr>
      </w:pPr>
      <w:bookmarkStart w:id="174" w:name="OLE_LINK10"/>
      <w:bookmarkStart w:id="175" w:name="OLE_LINK11"/>
      <w:r>
        <w:rPr>
          <w:rFonts w:hint="eastAsia" w:ascii="宋体" w:hAnsi="宋体" w:cs="宋体"/>
          <w:szCs w:val="21"/>
        </w:rPr>
        <w:t>（1）</w:t>
      </w:r>
      <w:bookmarkEnd w:id="174"/>
      <w:bookmarkEnd w:id="175"/>
      <w:r>
        <w:rPr>
          <w:rFonts w:hint="eastAsia" w:ascii="宋体" w:hAnsi="宋体" w:cs="宋体"/>
          <w:szCs w:val="21"/>
        </w:rPr>
        <w:t>补充协议（</w:t>
      </w:r>
      <w:bookmarkStart w:id="176" w:name="OLE_LINK12"/>
      <w:r>
        <w:rPr>
          <w:rFonts w:hint="eastAsia" w:ascii="宋体" w:hAnsi="宋体" w:cs="宋体"/>
          <w:szCs w:val="21"/>
        </w:rPr>
        <w:t>如果有</w:t>
      </w:r>
      <w:bookmarkEnd w:id="176"/>
      <w:r>
        <w:rPr>
          <w:rFonts w:hint="eastAsia" w:ascii="宋体" w:hAnsi="宋体" w:cs="宋体"/>
          <w:szCs w:val="21"/>
        </w:rPr>
        <w:t>）；</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（2）合同协议书；</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（3）中选通知书；</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（4）合同条款；</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（5）技术规格书；</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（6）价格清单；</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（7）合同其他附件及乙方按合同附录格式及要求出具的文件；</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（8）自主竞争性谈判文件、澄清与答疑文件及其它补充资料；</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（9）响应文件、澄清文件及其它补充资料；</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（10）其他构成本合同的文件。</w:t>
      </w:r>
    </w:p>
    <w:p>
      <w:pPr>
        <w:adjustRightInd w:val="0"/>
        <w:snapToGrid w:val="0"/>
        <w:spacing w:line="360" w:lineRule="auto"/>
        <w:ind w:firstLine="465"/>
        <w:rPr>
          <w:rFonts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w:t>
      </w:r>
    </w:p>
    <w:p>
      <w:pPr>
        <w:adjustRightInd w:val="0"/>
        <w:snapToGrid w:val="0"/>
        <w:spacing w:line="360" w:lineRule="auto"/>
        <w:rPr>
          <w:rFonts w:ascii="宋体" w:hAnsi="宋体" w:cs="宋体"/>
          <w:b/>
          <w:bCs/>
          <w:szCs w:val="21"/>
        </w:rPr>
      </w:pPr>
      <w:r>
        <w:rPr>
          <w:rFonts w:hint="eastAsia" w:ascii="宋体" w:hAnsi="宋体" w:cs="宋体"/>
          <w:b/>
          <w:bCs/>
          <w:szCs w:val="21"/>
        </w:rPr>
        <w:t>六、词语定义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本合同协议书中词语含义与合同条款中的词语含义相同。</w:t>
      </w:r>
    </w:p>
    <w:p>
      <w:pPr>
        <w:adjustRightInd w:val="0"/>
        <w:snapToGrid w:val="0"/>
        <w:spacing w:line="360" w:lineRule="auto"/>
        <w:rPr>
          <w:rFonts w:ascii="宋体" w:hAnsi="宋体" w:cs="宋体"/>
          <w:b/>
          <w:bCs/>
          <w:szCs w:val="21"/>
        </w:rPr>
      </w:pPr>
      <w:bookmarkStart w:id="177" w:name="_Toc20743"/>
      <w:bookmarkStart w:id="178" w:name="_Toc20080"/>
      <w:bookmarkStart w:id="179" w:name="_Toc18851"/>
      <w:bookmarkStart w:id="180" w:name="_Toc16969"/>
      <w:bookmarkStart w:id="181" w:name="_Toc20752129"/>
      <w:r>
        <w:rPr>
          <w:rFonts w:hint="eastAsia" w:ascii="宋体" w:hAnsi="宋体" w:cs="宋体"/>
          <w:b/>
          <w:bCs/>
          <w:szCs w:val="21"/>
        </w:rPr>
        <w:t>七、</w:t>
      </w:r>
      <w:bookmarkEnd w:id="177"/>
      <w:bookmarkEnd w:id="178"/>
      <w:bookmarkEnd w:id="179"/>
      <w:bookmarkEnd w:id="180"/>
      <w:r>
        <w:rPr>
          <w:rFonts w:hint="eastAsia" w:ascii="宋体" w:hAnsi="宋体" w:cs="宋体"/>
          <w:b/>
          <w:bCs/>
          <w:szCs w:val="21"/>
        </w:rPr>
        <w:t>签订时间</w:t>
      </w:r>
      <w:bookmarkEnd w:id="181"/>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本合同于年月日签订。</w:t>
      </w:r>
    </w:p>
    <w:p>
      <w:pPr>
        <w:adjustRightInd w:val="0"/>
        <w:snapToGrid w:val="0"/>
        <w:spacing w:line="360" w:lineRule="auto"/>
        <w:rPr>
          <w:rFonts w:ascii="宋体" w:hAnsi="宋体" w:cs="宋体"/>
          <w:b/>
          <w:bCs/>
          <w:szCs w:val="21"/>
        </w:rPr>
      </w:pPr>
      <w:r>
        <w:rPr>
          <w:rFonts w:hint="eastAsia" w:ascii="宋体" w:hAnsi="宋体" w:cs="宋体"/>
          <w:b/>
          <w:bCs/>
          <w:szCs w:val="21"/>
        </w:rPr>
        <w:t>八、签订地点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本合同在</w:t>
      </w:r>
      <w:r>
        <w:rPr>
          <w:rFonts w:hint="eastAsia" w:ascii="宋体" w:hAnsi="宋体" w:cs="宋体"/>
          <w:szCs w:val="21"/>
          <w:u w:val="single"/>
        </w:rPr>
        <w:t>湖南省长沙市长沙县黄兴镇</w:t>
      </w:r>
      <w:r>
        <w:rPr>
          <w:rFonts w:hint="eastAsia" w:ascii="宋体" w:hAnsi="宋体" w:cs="宋体"/>
          <w:szCs w:val="21"/>
        </w:rPr>
        <w:t>签订</w:t>
      </w:r>
    </w:p>
    <w:p>
      <w:pPr>
        <w:tabs>
          <w:tab w:val="left" w:pos="1248"/>
        </w:tabs>
        <w:adjustRightInd w:val="0"/>
        <w:snapToGrid w:val="0"/>
        <w:spacing w:line="360" w:lineRule="auto"/>
        <w:rPr>
          <w:rFonts w:ascii="宋体" w:hAnsi="宋体" w:cs="宋体"/>
          <w:b/>
          <w:szCs w:val="21"/>
        </w:rPr>
      </w:pPr>
      <w:bookmarkStart w:id="182" w:name="_Toc10412"/>
      <w:bookmarkStart w:id="183" w:name="_Toc28722"/>
      <w:bookmarkStart w:id="184" w:name="_Toc29493"/>
      <w:bookmarkStart w:id="185" w:name="_Toc29235"/>
      <w:bookmarkStart w:id="186" w:name="_Toc20752130"/>
      <w:r>
        <w:rPr>
          <w:rFonts w:hint="eastAsia" w:ascii="宋体" w:hAnsi="宋体" w:cs="宋体"/>
          <w:b/>
          <w:szCs w:val="21"/>
        </w:rPr>
        <w:t>九、</w:t>
      </w:r>
      <w:bookmarkEnd w:id="182"/>
      <w:bookmarkEnd w:id="183"/>
      <w:bookmarkEnd w:id="184"/>
      <w:bookmarkEnd w:id="185"/>
      <w:r>
        <w:rPr>
          <w:rFonts w:hint="eastAsia" w:ascii="宋体" w:hAnsi="宋体" w:cs="宋体"/>
          <w:b/>
          <w:szCs w:val="21"/>
        </w:rPr>
        <w:t>合同生效</w:t>
      </w:r>
      <w:bookmarkEnd w:id="186"/>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本合同自</w:t>
      </w:r>
      <w:r>
        <w:rPr>
          <w:rFonts w:hint="eastAsia" w:ascii="宋体" w:hAnsi="宋体" w:cs="宋体"/>
          <w:szCs w:val="21"/>
          <w:u w:val="single"/>
        </w:rPr>
        <w:t>合同双方法定代表人或其授权代表签字并加盖合同专用章/公章</w:t>
      </w:r>
      <w:r>
        <w:rPr>
          <w:rFonts w:hint="eastAsia" w:ascii="宋体" w:hAnsi="宋体" w:cs="宋体"/>
          <w:szCs w:val="21"/>
        </w:rPr>
        <w:t>生效。</w:t>
      </w:r>
    </w:p>
    <w:p>
      <w:pPr>
        <w:adjustRightInd w:val="0"/>
        <w:snapToGrid w:val="0"/>
        <w:spacing w:line="360" w:lineRule="auto"/>
        <w:rPr>
          <w:rFonts w:ascii="宋体" w:hAnsi="宋体" w:cs="宋体"/>
          <w:b/>
          <w:bCs/>
          <w:szCs w:val="21"/>
        </w:rPr>
      </w:pPr>
      <w:r>
        <w:rPr>
          <w:rFonts w:hint="eastAsia" w:ascii="宋体" w:hAnsi="宋体" w:cs="宋体"/>
          <w:b/>
          <w:bCs/>
          <w:szCs w:val="21"/>
        </w:rPr>
        <w:t>十、合同份数</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本合同正本</w:t>
      </w:r>
      <w:r>
        <w:rPr>
          <w:rFonts w:hint="eastAsia" w:ascii="宋体" w:hAnsi="宋体" w:cs="宋体"/>
          <w:szCs w:val="21"/>
          <w:u w:val="single"/>
        </w:rPr>
        <w:t>二</w:t>
      </w:r>
      <w:r>
        <w:rPr>
          <w:rFonts w:hint="eastAsia" w:ascii="宋体" w:hAnsi="宋体" w:cs="宋体"/>
          <w:szCs w:val="21"/>
        </w:rPr>
        <w:t>份、副本</w:t>
      </w:r>
      <w:r>
        <w:rPr>
          <w:rFonts w:hint="eastAsia" w:ascii="宋体" w:hAnsi="宋体" w:cs="宋体"/>
          <w:szCs w:val="21"/>
          <w:u w:val="single"/>
        </w:rPr>
        <w:t>六</w:t>
      </w:r>
      <w:r>
        <w:rPr>
          <w:rFonts w:hint="eastAsia" w:ascii="宋体" w:hAnsi="宋体" w:cs="宋体"/>
          <w:szCs w:val="21"/>
        </w:rPr>
        <w:t>份，持正本</w:t>
      </w:r>
      <w:r>
        <w:rPr>
          <w:rFonts w:hint="eastAsia" w:ascii="宋体" w:hAnsi="宋体" w:cs="宋体"/>
          <w:szCs w:val="21"/>
          <w:u w:val="single"/>
        </w:rPr>
        <w:t>一</w:t>
      </w:r>
      <w:r>
        <w:rPr>
          <w:rFonts w:hint="eastAsia" w:ascii="宋体" w:hAnsi="宋体" w:cs="宋体"/>
          <w:szCs w:val="21"/>
        </w:rPr>
        <w:t>份、副本</w:t>
      </w:r>
      <w:r>
        <w:rPr>
          <w:rFonts w:hint="eastAsia" w:ascii="宋体" w:hAnsi="宋体" w:cs="宋体"/>
          <w:szCs w:val="21"/>
          <w:u w:val="single"/>
        </w:rPr>
        <w:t>五</w:t>
      </w:r>
      <w:r>
        <w:rPr>
          <w:rFonts w:hint="eastAsia" w:ascii="宋体" w:hAnsi="宋体" w:cs="宋体"/>
          <w:szCs w:val="21"/>
        </w:rPr>
        <w:t>份，乙方持正本</w:t>
      </w:r>
      <w:r>
        <w:rPr>
          <w:rFonts w:hint="eastAsia" w:ascii="宋体" w:hAnsi="宋体" w:cs="宋体"/>
          <w:szCs w:val="21"/>
          <w:u w:val="single"/>
        </w:rPr>
        <w:t>一</w:t>
      </w:r>
      <w:r>
        <w:rPr>
          <w:rFonts w:hint="eastAsia" w:ascii="宋体" w:hAnsi="宋体" w:cs="宋体"/>
          <w:szCs w:val="21"/>
        </w:rPr>
        <w:t>份、副本</w:t>
      </w:r>
      <w:r>
        <w:rPr>
          <w:rFonts w:hint="eastAsia" w:ascii="宋体" w:hAnsi="宋体" w:cs="宋体"/>
          <w:szCs w:val="21"/>
          <w:u w:val="single"/>
        </w:rPr>
        <w:t>一</w:t>
      </w:r>
      <w:r>
        <w:rPr>
          <w:rFonts w:hint="eastAsia" w:ascii="宋体" w:hAnsi="宋体" w:cs="宋体"/>
          <w:szCs w:val="21"/>
        </w:rPr>
        <w:t>份。合同正本与副本具有同等效力，当合同副本与正本之间存有差异时，以合同正本为准。</w:t>
      </w:r>
    </w:p>
    <w:tbl>
      <w:tblPr>
        <w:tblStyle w:val="46"/>
        <w:tblW w:w="7780" w:type="dxa"/>
        <w:jc w:val="center"/>
        <w:tblInd w:w="0" w:type="dxa"/>
        <w:tblLayout w:type="fixed"/>
        <w:tblCellMar>
          <w:top w:w="0" w:type="dxa"/>
          <w:left w:w="108" w:type="dxa"/>
          <w:bottom w:w="0" w:type="dxa"/>
          <w:right w:w="108" w:type="dxa"/>
        </w:tblCellMar>
      </w:tblPr>
      <w:tblGrid>
        <w:gridCol w:w="3986"/>
        <w:gridCol w:w="3794"/>
      </w:tblGrid>
      <w:tr>
        <w:tblPrEx>
          <w:tblLayout w:type="fixed"/>
          <w:tblCellMar>
            <w:top w:w="0" w:type="dxa"/>
            <w:left w:w="108" w:type="dxa"/>
            <w:bottom w:w="0" w:type="dxa"/>
            <w:right w:w="108" w:type="dxa"/>
          </w:tblCellMar>
        </w:tblPrEx>
        <w:trPr>
          <w:trHeight w:val="539" w:hRule="atLeast"/>
          <w:jc w:val="center"/>
        </w:trPr>
        <w:tc>
          <w:tcPr>
            <w:tcW w:w="3986" w:type="dxa"/>
            <w:tcBorders>
              <w:top w:val="nil"/>
              <w:left w:val="nil"/>
              <w:bottom w:val="nil"/>
              <w:right w:val="nil"/>
            </w:tcBorders>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甲方：(盖章)</w:t>
            </w:r>
          </w:p>
        </w:tc>
        <w:tc>
          <w:tcPr>
            <w:tcW w:w="3794" w:type="dxa"/>
            <w:tcBorders>
              <w:top w:val="nil"/>
              <w:left w:val="nil"/>
              <w:bottom w:val="nil"/>
              <w:right w:val="nil"/>
            </w:tcBorders>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乙方：（盖章）</w:t>
            </w:r>
          </w:p>
        </w:tc>
      </w:tr>
      <w:tr>
        <w:tblPrEx>
          <w:tblLayout w:type="fixed"/>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tcPr>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法定代表人或其授权代表：</w:t>
            </w:r>
          </w:p>
        </w:tc>
        <w:tc>
          <w:tcPr>
            <w:tcW w:w="3794" w:type="dxa"/>
            <w:tcBorders>
              <w:top w:val="nil"/>
              <w:left w:val="nil"/>
              <w:bottom w:val="nil"/>
              <w:right w:val="nil"/>
            </w:tcBorders>
          </w:tcPr>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法定代表人或其授权代表：</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tcPr>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地址： </w:t>
            </w:r>
          </w:p>
        </w:tc>
        <w:tc>
          <w:tcPr>
            <w:tcW w:w="3794" w:type="dxa"/>
            <w:tcBorders>
              <w:top w:val="nil"/>
              <w:left w:val="nil"/>
              <w:bottom w:val="nil"/>
              <w:right w:val="nil"/>
            </w:tcBorders>
          </w:tcPr>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地址：</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 xml:space="preserve">邮编： </w:t>
            </w:r>
          </w:p>
        </w:tc>
        <w:tc>
          <w:tcPr>
            <w:tcW w:w="3794"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邮编：</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 xml:space="preserve">电话： </w:t>
            </w:r>
          </w:p>
        </w:tc>
        <w:tc>
          <w:tcPr>
            <w:tcW w:w="3794"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电话：</w:t>
            </w:r>
          </w:p>
        </w:tc>
      </w:tr>
      <w:tr>
        <w:tblPrEx>
          <w:tblLayout w:type="fixed"/>
          <w:tblCellMar>
            <w:top w:w="0" w:type="dxa"/>
            <w:left w:w="108" w:type="dxa"/>
            <w:bottom w:w="0" w:type="dxa"/>
            <w:right w:w="108" w:type="dxa"/>
          </w:tblCellMar>
        </w:tblPrEx>
        <w:trPr>
          <w:trHeight w:val="1286" w:hRule="atLeast"/>
          <w:jc w:val="center"/>
        </w:trPr>
        <w:tc>
          <w:tcPr>
            <w:tcW w:w="3986"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 xml:space="preserve">传真： </w:t>
            </w:r>
          </w:p>
          <w:p>
            <w:pPr>
              <w:spacing w:line="360" w:lineRule="auto"/>
              <w:rPr>
                <w:rFonts w:ascii="宋体" w:hAnsi="宋体" w:cs="宋体"/>
                <w:szCs w:val="21"/>
              </w:rPr>
            </w:pPr>
            <w:r>
              <w:rPr>
                <w:rFonts w:hint="eastAsia" w:ascii="宋体" w:hAnsi="宋体" w:cs="宋体"/>
                <w:szCs w:val="21"/>
              </w:rPr>
              <w:t>电子邮箱：</w:t>
            </w:r>
          </w:p>
        </w:tc>
        <w:tc>
          <w:tcPr>
            <w:tcW w:w="3794"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传真：</w:t>
            </w:r>
          </w:p>
          <w:p>
            <w:pPr>
              <w:spacing w:line="360" w:lineRule="auto"/>
              <w:rPr>
                <w:rFonts w:ascii="宋体" w:hAnsi="宋体" w:cs="宋体"/>
                <w:szCs w:val="21"/>
              </w:rPr>
            </w:pPr>
            <w:r>
              <w:rPr>
                <w:rFonts w:hint="eastAsia" w:ascii="宋体" w:hAnsi="宋体" w:cs="宋体"/>
                <w:szCs w:val="21"/>
              </w:rPr>
              <w:t>电子邮箱：</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 xml:space="preserve">开户银行： </w:t>
            </w:r>
          </w:p>
        </w:tc>
        <w:tc>
          <w:tcPr>
            <w:tcW w:w="3794"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开户银行：</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 xml:space="preserve">账号： </w:t>
            </w:r>
          </w:p>
        </w:tc>
        <w:tc>
          <w:tcPr>
            <w:tcW w:w="3794"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账号：</w:t>
            </w:r>
          </w:p>
        </w:tc>
      </w:tr>
      <w:tr>
        <w:tblPrEx>
          <w:tblLayout w:type="fixed"/>
          <w:tblCellMar>
            <w:top w:w="0" w:type="dxa"/>
            <w:left w:w="108" w:type="dxa"/>
            <w:bottom w:w="0" w:type="dxa"/>
            <w:right w:w="108" w:type="dxa"/>
          </w:tblCellMar>
        </w:tblPrEx>
        <w:trPr>
          <w:trHeight w:val="507" w:hRule="atLeast"/>
          <w:jc w:val="center"/>
        </w:trPr>
        <w:tc>
          <w:tcPr>
            <w:tcW w:w="3986"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 xml:space="preserve">税号： </w:t>
            </w:r>
          </w:p>
        </w:tc>
        <w:tc>
          <w:tcPr>
            <w:tcW w:w="3794" w:type="dxa"/>
            <w:tcBorders>
              <w:top w:val="nil"/>
              <w:left w:val="nil"/>
              <w:bottom w:val="nil"/>
              <w:right w:val="nil"/>
            </w:tcBorders>
          </w:tcPr>
          <w:p>
            <w:pPr>
              <w:spacing w:line="360" w:lineRule="auto"/>
              <w:rPr>
                <w:rFonts w:ascii="宋体" w:hAnsi="宋体" w:cs="宋体"/>
                <w:szCs w:val="21"/>
              </w:rPr>
            </w:pPr>
            <w:r>
              <w:rPr>
                <w:rFonts w:hint="eastAsia" w:ascii="宋体" w:hAnsi="宋体" w:cs="宋体"/>
                <w:szCs w:val="21"/>
              </w:rPr>
              <w:t>税号：</w:t>
            </w:r>
          </w:p>
        </w:tc>
      </w:tr>
      <w:bookmarkEnd w:id="162"/>
      <w:bookmarkEnd w:id="163"/>
    </w:tbl>
    <w:p>
      <w:pPr>
        <w:spacing w:line="360" w:lineRule="auto"/>
        <w:jc w:val="center"/>
        <w:rPr>
          <w:rFonts w:ascii="宋体" w:hAnsi="宋体" w:cs="宋体"/>
          <w:b/>
          <w:szCs w:val="21"/>
        </w:rPr>
      </w:pPr>
      <w:bookmarkStart w:id="187" w:name="_Toc2245"/>
      <w:bookmarkStart w:id="188" w:name="_Toc368066684"/>
      <w:bookmarkStart w:id="189" w:name="_Toc11675"/>
      <w:r>
        <w:rPr>
          <w:rFonts w:hint="eastAsia" w:ascii="宋体" w:hAnsi="宋体" w:cs="宋体"/>
          <w:b/>
          <w:szCs w:val="21"/>
        </w:rPr>
        <w:br w:type="page"/>
      </w:r>
      <w:bookmarkStart w:id="190" w:name="_Toc20752131"/>
      <w:r>
        <w:rPr>
          <w:rFonts w:hint="eastAsia" w:ascii="宋体" w:hAnsi="宋体" w:cs="宋体"/>
          <w:b/>
          <w:szCs w:val="21"/>
        </w:rPr>
        <w:t>第二部分 中选通知书</w:t>
      </w:r>
      <w:bookmarkEnd w:id="187"/>
      <w:bookmarkEnd w:id="188"/>
      <w:bookmarkEnd w:id="189"/>
      <w:bookmarkEnd w:id="190"/>
    </w:p>
    <w:p>
      <w:pPr>
        <w:pStyle w:val="13"/>
        <w:rPr>
          <w:rFonts w:ascii="宋体" w:hAnsi="宋体" w:cs="宋体"/>
          <w:szCs w:val="21"/>
        </w:rPr>
      </w:pPr>
    </w:p>
    <w:p>
      <w:pPr>
        <w:adjustRightInd w:val="0"/>
        <w:snapToGrid w:val="0"/>
        <w:spacing w:line="360" w:lineRule="auto"/>
        <w:jc w:val="center"/>
        <w:rPr>
          <w:rFonts w:ascii="宋体" w:hAnsi="宋体" w:cs="宋体"/>
          <w:b/>
          <w:szCs w:val="21"/>
        </w:rPr>
      </w:pPr>
      <w:bookmarkStart w:id="191" w:name="_Toc10635"/>
      <w:bookmarkStart w:id="192" w:name="_Toc1724"/>
      <w:bookmarkStart w:id="193" w:name="_Toc31260"/>
      <w:bookmarkStart w:id="194" w:name="_Toc28738"/>
      <w:bookmarkStart w:id="195" w:name="_Toc20752132"/>
      <w:r>
        <w:rPr>
          <w:rFonts w:hint="eastAsia" w:ascii="宋体" w:hAnsi="宋体" w:cs="宋体"/>
          <w:b/>
          <w:szCs w:val="21"/>
        </w:rPr>
        <w:t>第三部分 合同条款</w:t>
      </w:r>
      <w:bookmarkEnd w:id="191"/>
      <w:bookmarkEnd w:id="192"/>
      <w:bookmarkEnd w:id="193"/>
      <w:bookmarkEnd w:id="194"/>
      <w:bookmarkEnd w:id="195"/>
    </w:p>
    <w:p>
      <w:pPr>
        <w:adjustRightInd w:val="0"/>
        <w:snapToGrid w:val="0"/>
        <w:spacing w:line="360" w:lineRule="auto"/>
        <w:rPr>
          <w:rFonts w:ascii="宋体" w:hAnsi="宋体" w:cs="宋体"/>
          <w:b/>
          <w:bCs/>
          <w:szCs w:val="21"/>
        </w:rPr>
      </w:pPr>
      <w:bookmarkStart w:id="196" w:name="_Toc22585"/>
      <w:bookmarkStart w:id="197" w:name="_Toc29904"/>
      <w:bookmarkStart w:id="198" w:name="_Toc20752133"/>
      <w:r>
        <w:rPr>
          <w:rFonts w:hint="eastAsia" w:ascii="宋体" w:hAnsi="宋体" w:cs="宋体"/>
          <w:b/>
          <w:bCs/>
          <w:szCs w:val="21"/>
        </w:rPr>
        <w:t>一、</w:t>
      </w:r>
      <w:bookmarkEnd w:id="196"/>
      <w:bookmarkEnd w:id="197"/>
      <w:r>
        <w:rPr>
          <w:rFonts w:hint="eastAsia" w:ascii="宋体" w:hAnsi="宋体" w:cs="宋体"/>
          <w:b/>
          <w:bCs/>
          <w:szCs w:val="21"/>
        </w:rPr>
        <w:t>定义</w:t>
      </w:r>
      <w:bookmarkEnd w:id="198"/>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1.“合同”是指甲乙双方签署的、合同格式中载明的甲乙双方所达成的协议，包括合同协议书、合同条款及合同附件、合同附录和上述文件所提到的构成合同的所有文件。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2.“签约合同价”是指和乙方在合同协议书中确定的最高合同价格。</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3.“维修费用”是指根据本合同规定乙方在正确地完全履行合同义务后，经甲方审定的结算价格。</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4.“服务”是指根据本合同规定乙方在本项目中应承担所有工作和一切义务。</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5.“甲方”是指委托服务的一方以及其合法继承人，即合同协议书中所述的甲方。</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6.“乙方”是指承担服务的一方以及其合法继承人，即合同协议书中所述的乙方。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7.“现场”是指合同协议书中明确的履行服务的现场。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8.“日”是指任何一天零时至第二天零时的时间段。</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9.“月”是指根据公历从一个月份中任何一天开始到下一个月相应日期的前一天的时间段。</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10.“管理规定”是指行政主管部门及对本项目的管理制度、程序、流程、规定、文件、通知、决定、指示、同意、批准、书面文件、电报、传真等书面内容的要求。行政主管部门及在项目管理过程中下发的项目管理规定作为本合同的组成部分，乙方在合同履行过程中应严格遵照执行。</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11.“书面形式”是指合同书、信件和数据电文（包括电报、电传、传真、电子数据交换和电子邮件）等可以有形地表现所载内容的形式。</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12.“不可抗力”是指和乙方在订立本合同时不可预见，在合同履行过程中不可避免并不能克服的自然灾害和社会性突发事件，如地震、海啸、瘟疫、水灾、骚乱、暴动、战争等情形。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13.临时修复时间：如果由于条件限制，维修人员暂时无法使设备、设施达到原有技术指标的情况下，采取临时性措施，尽量减少故障的影响范围的时限。此时限是指接报故障到采取措施临时修复完毕。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14.完全修复时间：通过维修使有问题设备、设施回复到原来技术指标及状态的期限。此时限是指接报故障到设备完全修复完毕。</w:t>
      </w:r>
    </w:p>
    <w:p>
      <w:pPr>
        <w:adjustRightInd w:val="0"/>
        <w:snapToGrid w:val="0"/>
        <w:spacing w:line="360" w:lineRule="auto"/>
        <w:rPr>
          <w:rFonts w:ascii="宋体" w:hAnsi="宋体" w:cs="宋体"/>
          <w:b/>
          <w:bCs/>
          <w:szCs w:val="21"/>
        </w:rPr>
      </w:pPr>
      <w:bookmarkStart w:id="199" w:name="_Toc20752134"/>
      <w:r>
        <w:rPr>
          <w:rFonts w:hint="eastAsia" w:ascii="宋体" w:hAnsi="宋体" w:cs="宋体"/>
          <w:b/>
          <w:bCs/>
          <w:szCs w:val="21"/>
        </w:rPr>
        <w:t>二、双方的权利与义务</w:t>
      </w:r>
      <w:bookmarkEnd w:id="199"/>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2.1甲方的权利与义务</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（1）有权获得优先服务;</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（2）对已完工车辆，如质量保证期内发现不合格或与《车辆维修保养申请单》不符，甲方有权要求乙方无偿返修直至符合甲方要求。在质保期内，按乙方在合同约定的车辆保证期限或质量保证里程执行;</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（3）谈判文件规定的其他权利；</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（4）除车辆故障需乙方采取拖车救援服务外，甲方应将待修车辆送到乙方维修场所维修；</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（5）必须及时接收已完工车辆；</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（6）必须按时与乙方结算车辆维修费用；</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（7）不得向乙方提出除修车以外的其它要求；</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（8）竞争性谈判文件规定的其他义务。</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2.2乙方的权利与义务</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（1）有权要求甲方签订《车辆维修保养申请单》；</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（2）有权要求按时结清车辆维修费用;</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（3）谈判文件规定的其他权利；</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（4）乙方应免费提供拖车救援服务；</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（5）优先为甲方的送修车辆提供维修服务；</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（6）乙方不得将送修车辆擅自转厂维修；</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（7）必须按《车辆维修保养申请单》上的规定按时完成维修工作；</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（8）保证送修车辆的安全;</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（9）保证维修质量，并为每辆定点维修车辆建立维修档案；</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（10）保证所用配件是符合国家质量标准的全新配件，不得以次充好或随意更换汽车配件;</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（11）已完工车辆，乙方应使用电脑打印“维修结算清单”，注明完工时间、维修项目、工时费、维修材料配件项目及其进货价格和管理费;</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（12）所有更换的维修旧材料，由甲方自行带回单位处理，同时乙方必须做好登记;若没有拿走维修旧材料，乙方必须严格保存、记录，随时接受甲方的检查及回收。</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（13）服务期限内应妥善保管好所有的维修单据资料（合同服务期结束后，纸质版与电子数据资料仍应继续保存1年），随时接受甲方的检查。</w:t>
      </w:r>
    </w:p>
    <w:p>
      <w:pPr>
        <w:pStyle w:val="13"/>
        <w:rPr>
          <w:rFonts w:ascii="宋体" w:hAnsi="宋体" w:cs="宋体"/>
          <w:szCs w:val="21"/>
        </w:rPr>
      </w:pPr>
    </w:p>
    <w:p>
      <w:pPr>
        <w:widowControl/>
        <w:autoSpaceDE w:val="0"/>
        <w:autoSpaceDN w:val="0"/>
        <w:adjustRightInd w:val="0"/>
        <w:snapToGrid w:val="0"/>
        <w:spacing w:line="360" w:lineRule="auto"/>
        <w:jc w:val="left"/>
        <w:rPr>
          <w:rFonts w:ascii="宋体" w:hAnsi="宋体" w:cs="宋体"/>
          <w:b/>
          <w:szCs w:val="21"/>
        </w:rPr>
      </w:pPr>
      <w:bookmarkStart w:id="200" w:name="_Toc31897"/>
      <w:bookmarkStart w:id="201" w:name="_Toc20752135"/>
      <w:r>
        <w:rPr>
          <w:rFonts w:hint="eastAsia" w:ascii="宋体" w:hAnsi="宋体" w:cs="宋体"/>
          <w:b/>
          <w:szCs w:val="21"/>
        </w:rPr>
        <w:t>三、</w:t>
      </w:r>
      <w:bookmarkEnd w:id="200"/>
      <w:r>
        <w:rPr>
          <w:rFonts w:hint="eastAsia" w:ascii="宋体" w:hAnsi="宋体" w:cs="宋体"/>
          <w:b/>
          <w:szCs w:val="21"/>
        </w:rPr>
        <w:t>支付方式</w:t>
      </w:r>
      <w:bookmarkEnd w:id="201"/>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3.1付款周期：按季度支付一次，乙方每个付款周期按合同规定完成履约，且收到乙方提交经甲方审批同意的支付申请及增值税专用税务发票、有效期内的履约担保复印件等相关资料后28个工作日内，由甲方向乙方支付。</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3.2每次支付金额为当期计量金额综合当期检查考评结果后的金额。最后一个付款周期的款项需在履约验收完成后支付。</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履约验收完成付款：乙方按合同规定完成履约，且收到乙方提交经甲方审批同意的支付申请及增值税专用税务发票、有效期内的履约担保复印件等相关资料后28个工作日内，支付至维修费用的100%。项目履约验收按甲方相关规定执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3.4甲方（包括长沙市轨道交通运营有限公司、一号线建设发展有限公司、三号线建设发展有限公司、四号线建设发展有限公司）根据实际清单各自承担支付及开具发票。</w:t>
      </w:r>
    </w:p>
    <w:p>
      <w:pPr>
        <w:widowControl/>
        <w:autoSpaceDE w:val="0"/>
        <w:autoSpaceDN w:val="0"/>
        <w:adjustRightInd w:val="0"/>
        <w:snapToGrid w:val="0"/>
        <w:spacing w:line="360" w:lineRule="auto"/>
        <w:jc w:val="left"/>
        <w:rPr>
          <w:rFonts w:ascii="宋体" w:hAnsi="宋体" w:cs="宋体"/>
          <w:b/>
          <w:szCs w:val="21"/>
        </w:rPr>
      </w:pPr>
      <w:bookmarkStart w:id="202" w:name="_Toc20752136"/>
      <w:r>
        <w:rPr>
          <w:rFonts w:hint="eastAsia" w:ascii="宋体" w:hAnsi="宋体" w:cs="宋体"/>
          <w:b/>
          <w:szCs w:val="21"/>
        </w:rPr>
        <w:t>四、履约</w:t>
      </w:r>
      <w:bookmarkStart w:id="203" w:name="_Toc443208225"/>
      <w:bookmarkStart w:id="204" w:name="_Toc443376818"/>
      <w:r>
        <w:rPr>
          <w:rFonts w:hint="eastAsia" w:ascii="宋体" w:hAnsi="宋体" w:cs="宋体"/>
          <w:b/>
          <w:szCs w:val="21"/>
        </w:rPr>
        <w:t>担保</w:t>
      </w:r>
      <w:bookmarkEnd w:id="202"/>
    </w:p>
    <w:p>
      <w:pPr>
        <w:pStyle w:val="34"/>
        <w:spacing w:before="0" w:after="0" w:line="400" w:lineRule="exact"/>
        <w:ind w:firstLine="420" w:firstLineChars="200"/>
        <w:jc w:val="left"/>
        <w:outlineLvl w:val="9"/>
        <w:rPr>
          <w:rFonts w:ascii="宋体" w:hAnsi="宋体" w:eastAsia="宋体" w:cs="宋体"/>
          <w:sz w:val="21"/>
          <w:szCs w:val="21"/>
        </w:rPr>
      </w:pPr>
      <w:bookmarkStart w:id="205" w:name="_Toc20752137"/>
      <w:bookmarkStart w:id="206" w:name="_Toc20753093"/>
      <w:bookmarkStart w:id="207" w:name="_Toc20753196"/>
      <w:r>
        <w:rPr>
          <w:rFonts w:hint="eastAsia" w:ascii="宋体" w:hAnsi="宋体" w:eastAsia="宋体" w:cs="宋体"/>
          <w:sz w:val="21"/>
          <w:szCs w:val="21"/>
        </w:rPr>
        <w:t>4.1 履约担保是办理付款的必要条件之一，乙方应在本合同签订后15个工作日内提供履约担保。</w:t>
      </w:r>
      <w:bookmarkEnd w:id="205"/>
      <w:bookmarkEnd w:id="206"/>
      <w:bookmarkEnd w:id="207"/>
    </w:p>
    <w:p>
      <w:pPr>
        <w:pStyle w:val="34"/>
        <w:spacing w:before="0" w:after="0" w:line="400" w:lineRule="exact"/>
        <w:ind w:firstLine="420" w:firstLineChars="200"/>
        <w:jc w:val="left"/>
        <w:outlineLvl w:val="9"/>
        <w:rPr>
          <w:rFonts w:ascii="宋体" w:hAnsi="宋体" w:eastAsia="宋体" w:cs="宋体"/>
          <w:sz w:val="21"/>
          <w:szCs w:val="21"/>
        </w:rPr>
      </w:pPr>
      <w:bookmarkStart w:id="208" w:name="_Toc20752138"/>
      <w:bookmarkStart w:id="209" w:name="_Toc20753094"/>
      <w:bookmarkStart w:id="210" w:name="_Toc20753197"/>
      <w:r>
        <w:rPr>
          <w:rFonts w:hint="eastAsia" w:ascii="宋体" w:hAnsi="宋体" w:eastAsia="宋体" w:cs="宋体"/>
          <w:sz w:val="21"/>
          <w:szCs w:val="21"/>
        </w:rPr>
        <w:t>4.2 履约担保用于补偿因乙方不能完成其合同义务而蒙受的损失。</w:t>
      </w:r>
      <w:bookmarkEnd w:id="208"/>
      <w:bookmarkEnd w:id="209"/>
      <w:bookmarkEnd w:id="210"/>
    </w:p>
    <w:p>
      <w:pPr>
        <w:pStyle w:val="34"/>
        <w:spacing w:before="0" w:after="0" w:line="400" w:lineRule="exact"/>
        <w:ind w:firstLine="420" w:firstLineChars="200"/>
        <w:jc w:val="left"/>
        <w:outlineLvl w:val="9"/>
        <w:rPr>
          <w:rFonts w:ascii="宋体" w:hAnsi="宋体" w:eastAsia="宋体" w:cs="宋体"/>
          <w:sz w:val="21"/>
          <w:szCs w:val="21"/>
        </w:rPr>
      </w:pPr>
      <w:bookmarkStart w:id="211" w:name="_Toc20752139"/>
      <w:bookmarkStart w:id="212" w:name="_Toc20753095"/>
      <w:bookmarkStart w:id="213" w:name="_Toc20753198"/>
      <w:r>
        <w:rPr>
          <w:rFonts w:hint="eastAsia" w:ascii="宋体" w:hAnsi="宋体" w:eastAsia="宋体" w:cs="宋体"/>
          <w:sz w:val="21"/>
          <w:szCs w:val="21"/>
        </w:rPr>
        <w:t>4.3 乙方提供履约担保的形式、金额及期限可采用以下方式之一：</w:t>
      </w:r>
      <w:bookmarkEnd w:id="211"/>
      <w:bookmarkEnd w:id="212"/>
      <w:bookmarkEnd w:id="213"/>
    </w:p>
    <w:p>
      <w:pPr>
        <w:pStyle w:val="34"/>
        <w:spacing w:before="0" w:after="0" w:line="400" w:lineRule="exact"/>
        <w:ind w:firstLine="420" w:firstLineChars="200"/>
        <w:jc w:val="left"/>
        <w:outlineLvl w:val="9"/>
        <w:rPr>
          <w:rFonts w:ascii="宋体" w:hAnsi="宋体" w:eastAsia="宋体" w:cs="宋体"/>
          <w:sz w:val="21"/>
          <w:szCs w:val="21"/>
        </w:rPr>
      </w:pPr>
      <w:bookmarkStart w:id="214" w:name="_Toc20752140"/>
      <w:bookmarkStart w:id="215" w:name="_Toc20753096"/>
      <w:bookmarkStart w:id="216" w:name="_Toc20753199"/>
      <w:r>
        <w:rPr>
          <w:rFonts w:hint="eastAsia" w:ascii="宋体" w:hAnsi="宋体" w:eastAsia="宋体" w:cs="宋体"/>
          <w:sz w:val="21"/>
          <w:szCs w:val="21"/>
        </w:rPr>
        <w:t>（1）采用银行履约保函形式，银行履约保函的担保额度为</w:t>
      </w:r>
      <w:r>
        <w:rPr>
          <w:rFonts w:hint="eastAsia" w:ascii="宋体" w:hAnsi="宋体" w:eastAsia="宋体" w:cs="宋体"/>
          <w:sz w:val="21"/>
          <w:szCs w:val="21"/>
          <w:u w:val="single"/>
        </w:rPr>
        <w:t>贰万元整</w:t>
      </w:r>
      <w:r>
        <w:rPr>
          <w:rFonts w:hint="eastAsia" w:ascii="宋体" w:hAnsi="宋体" w:eastAsia="宋体" w:cs="宋体"/>
          <w:sz w:val="21"/>
          <w:szCs w:val="21"/>
        </w:rPr>
        <w:t>，担保期限为自保函生效之日起，至服务期满之日止。银行履约保函应为在中国境内注册和营业的银行出具的、以为受益人首次申请即作为无条件付款的保函，银行履约保函格式具体详见合同附录。</w:t>
      </w:r>
      <w:bookmarkEnd w:id="214"/>
      <w:bookmarkEnd w:id="215"/>
      <w:bookmarkEnd w:id="216"/>
    </w:p>
    <w:p>
      <w:pPr>
        <w:pStyle w:val="34"/>
        <w:spacing w:before="0" w:after="0" w:line="400" w:lineRule="exact"/>
        <w:ind w:firstLine="420" w:firstLineChars="200"/>
        <w:jc w:val="left"/>
        <w:outlineLvl w:val="9"/>
        <w:rPr>
          <w:rFonts w:ascii="宋体" w:hAnsi="宋体" w:eastAsia="宋体" w:cs="宋体"/>
          <w:sz w:val="21"/>
          <w:szCs w:val="21"/>
        </w:rPr>
      </w:pPr>
      <w:bookmarkStart w:id="217" w:name="_Toc20752141"/>
      <w:bookmarkStart w:id="218" w:name="_Toc20753097"/>
      <w:bookmarkStart w:id="219" w:name="_Toc20753200"/>
      <w:r>
        <w:rPr>
          <w:rFonts w:hint="eastAsia" w:ascii="宋体" w:hAnsi="宋体" w:eastAsia="宋体" w:cs="宋体"/>
          <w:sz w:val="21"/>
          <w:szCs w:val="21"/>
        </w:rPr>
        <w:t>（2）采用现金形式，现金担保额度为</w:t>
      </w:r>
      <w:r>
        <w:rPr>
          <w:rFonts w:hint="eastAsia" w:ascii="宋体" w:hAnsi="宋体" w:eastAsia="宋体" w:cs="宋体"/>
          <w:sz w:val="21"/>
          <w:szCs w:val="21"/>
          <w:u w:val="single"/>
        </w:rPr>
        <w:t>贰万元整</w:t>
      </w:r>
      <w:r>
        <w:rPr>
          <w:rFonts w:hint="eastAsia" w:ascii="宋体" w:hAnsi="宋体" w:eastAsia="宋体" w:cs="宋体"/>
          <w:sz w:val="21"/>
          <w:szCs w:val="21"/>
        </w:rPr>
        <w:t>，担保期限为履约保证金到账之日起，至服务期满之日止。履约担保以现金形式提交的，乙方应从其公司账户通过转帐或电汇至指定的账户。</w:t>
      </w:r>
      <w:r>
        <w:rPr>
          <w:rFonts w:hint="eastAsia" w:ascii="宋体" w:hAnsi="宋体" w:eastAsia="宋体" w:cs="宋体"/>
          <w:sz w:val="21"/>
          <w:szCs w:val="21"/>
          <w:u w:val="single"/>
        </w:rPr>
        <w:t>户名        ；开户行：           账号：         。</w:t>
      </w:r>
      <w:bookmarkEnd w:id="217"/>
      <w:bookmarkEnd w:id="218"/>
      <w:bookmarkEnd w:id="219"/>
    </w:p>
    <w:p>
      <w:pPr>
        <w:pStyle w:val="34"/>
        <w:spacing w:before="0" w:after="0" w:line="400" w:lineRule="exact"/>
        <w:ind w:firstLine="420" w:firstLineChars="200"/>
        <w:jc w:val="left"/>
        <w:outlineLvl w:val="9"/>
        <w:rPr>
          <w:rFonts w:ascii="宋体" w:hAnsi="宋体" w:eastAsia="宋体" w:cs="宋体"/>
          <w:sz w:val="21"/>
          <w:szCs w:val="21"/>
        </w:rPr>
      </w:pPr>
      <w:bookmarkStart w:id="220" w:name="_Toc20752142"/>
      <w:bookmarkStart w:id="221" w:name="_Toc20753201"/>
      <w:bookmarkStart w:id="222" w:name="_Toc20753098"/>
      <w:r>
        <w:rPr>
          <w:rFonts w:hint="eastAsia" w:ascii="宋体" w:hAnsi="宋体" w:eastAsia="宋体" w:cs="宋体"/>
          <w:sz w:val="21"/>
          <w:szCs w:val="21"/>
        </w:rPr>
        <w:t>4.4 在乙方完成其合同义务包括任何保证义务后，将把履约担保无息退还乙方。</w:t>
      </w:r>
      <w:bookmarkEnd w:id="220"/>
      <w:bookmarkEnd w:id="221"/>
      <w:bookmarkEnd w:id="222"/>
    </w:p>
    <w:p>
      <w:pPr>
        <w:adjustRightInd w:val="0"/>
        <w:snapToGrid w:val="0"/>
        <w:spacing w:line="360" w:lineRule="auto"/>
        <w:rPr>
          <w:rFonts w:ascii="宋体" w:hAnsi="宋体" w:cs="宋体"/>
          <w:b/>
          <w:bCs/>
          <w:szCs w:val="21"/>
        </w:rPr>
      </w:pPr>
      <w:bookmarkStart w:id="223" w:name="_Toc15383"/>
      <w:r>
        <w:rPr>
          <w:rFonts w:hint="eastAsia" w:ascii="宋体" w:hAnsi="宋体" w:cs="宋体"/>
          <w:b/>
          <w:bCs/>
          <w:szCs w:val="21"/>
        </w:rPr>
        <w:t>五、项目实施要求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u w:val="single"/>
        </w:rPr>
        <w:t>以用户需求书/技术规格书为准。</w:t>
      </w:r>
    </w:p>
    <w:p>
      <w:pPr>
        <w:adjustRightInd w:val="0"/>
        <w:snapToGrid w:val="0"/>
        <w:spacing w:line="360" w:lineRule="auto"/>
        <w:rPr>
          <w:rFonts w:ascii="宋体" w:hAnsi="宋体" w:cs="宋体"/>
          <w:b/>
          <w:bCs/>
          <w:szCs w:val="21"/>
        </w:rPr>
      </w:pPr>
      <w:r>
        <w:rPr>
          <w:rFonts w:hint="eastAsia" w:ascii="宋体" w:hAnsi="宋体" w:cs="宋体"/>
          <w:b/>
          <w:bCs/>
          <w:szCs w:val="21"/>
        </w:rPr>
        <w:t>六、项目验收</w:t>
      </w:r>
    </w:p>
    <w:p>
      <w:pPr>
        <w:widowControl/>
        <w:autoSpaceDE w:val="0"/>
        <w:autoSpaceDN w:val="0"/>
        <w:adjustRightInd w:val="0"/>
        <w:snapToGrid w:val="0"/>
        <w:spacing w:line="360" w:lineRule="auto"/>
        <w:ind w:firstLine="420" w:firstLineChars="200"/>
        <w:jc w:val="left"/>
        <w:rPr>
          <w:rFonts w:ascii="宋体" w:hAnsi="宋体" w:cs="宋体"/>
          <w:szCs w:val="21"/>
        </w:rPr>
      </w:pPr>
      <w:bookmarkStart w:id="224" w:name="_Toc20752143"/>
      <w:r>
        <w:rPr>
          <w:rFonts w:hint="eastAsia" w:ascii="宋体" w:hAnsi="宋体" w:cs="宋体"/>
          <w:szCs w:val="21"/>
          <w:u w:val="single"/>
        </w:rPr>
        <w:t>以用户需求书/技术规格书为准。</w:t>
      </w:r>
      <w:bookmarkEnd w:id="223"/>
      <w:bookmarkEnd w:id="224"/>
    </w:p>
    <w:bookmarkEnd w:id="203"/>
    <w:bookmarkEnd w:id="204"/>
    <w:p>
      <w:pPr>
        <w:adjustRightInd w:val="0"/>
        <w:snapToGrid w:val="0"/>
        <w:spacing w:line="360" w:lineRule="auto"/>
        <w:rPr>
          <w:rFonts w:ascii="宋体" w:hAnsi="宋体" w:cs="宋体"/>
          <w:b/>
          <w:bCs/>
          <w:szCs w:val="21"/>
        </w:rPr>
      </w:pPr>
      <w:r>
        <w:rPr>
          <w:rFonts w:hint="eastAsia" w:ascii="宋体" w:hAnsi="宋体" w:cs="宋体"/>
          <w:b/>
          <w:bCs/>
          <w:szCs w:val="21"/>
        </w:rPr>
        <w:t>七、违约责任</w:t>
      </w:r>
    </w:p>
    <w:p>
      <w:pPr>
        <w:pStyle w:val="34"/>
        <w:spacing w:before="0" w:after="0" w:line="400" w:lineRule="exact"/>
        <w:ind w:firstLine="420" w:firstLineChars="200"/>
        <w:jc w:val="left"/>
        <w:outlineLvl w:val="9"/>
        <w:rPr>
          <w:rFonts w:ascii="宋体" w:hAnsi="宋体" w:eastAsia="宋体" w:cs="宋体"/>
          <w:sz w:val="21"/>
          <w:szCs w:val="21"/>
        </w:rPr>
      </w:pPr>
      <w:bookmarkStart w:id="225" w:name="_Toc20752144"/>
      <w:bookmarkStart w:id="226" w:name="_Toc20753099"/>
      <w:bookmarkStart w:id="227" w:name="_Toc20753202"/>
      <w:r>
        <w:rPr>
          <w:rFonts w:hint="eastAsia" w:ascii="宋体" w:hAnsi="宋体" w:eastAsia="宋体" w:cs="宋体"/>
          <w:sz w:val="21"/>
          <w:szCs w:val="21"/>
        </w:rPr>
        <w:t>7.1乙方应按《车辆维修保养申请单》规定的期限完成维修工作，逾期未能完成维修工作的，乙方应以逾期交付车辆应支付车辆维修费的5%/日向甲方支付违约金。逾期超过15天，甲方有权解除合同。</w:t>
      </w:r>
      <w:bookmarkEnd w:id="225"/>
      <w:bookmarkEnd w:id="226"/>
      <w:bookmarkEnd w:id="227"/>
    </w:p>
    <w:p>
      <w:pPr>
        <w:pStyle w:val="34"/>
        <w:spacing w:before="0" w:after="0" w:line="400" w:lineRule="exact"/>
        <w:ind w:firstLine="420" w:firstLineChars="200"/>
        <w:jc w:val="left"/>
        <w:outlineLvl w:val="9"/>
        <w:rPr>
          <w:rFonts w:ascii="宋体" w:hAnsi="宋体" w:eastAsia="宋体" w:cs="宋体"/>
          <w:sz w:val="21"/>
          <w:szCs w:val="21"/>
        </w:rPr>
      </w:pPr>
      <w:bookmarkStart w:id="228" w:name="_Toc20752145"/>
      <w:bookmarkStart w:id="229" w:name="_Toc20753100"/>
      <w:bookmarkStart w:id="230" w:name="_Toc20753203"/>
      <w:r>
        <w:rPr>
          <w:rFonts w:hint="eastAsia" w:ascii="宋体" w:hAnsi="宋体" w:eastAsia="宋体" w:cs="宋体"/>
          <w:sz w:val="21"/>
          <w:szCs w:val="21"/>
        </w:rPr>
        <w:t>7.2如送修车辆在乙方维修期间出现丢失或损毁的，乙方应承担全部偿责任。</w:t>
      </w:r>
      <w:bookmarkEnd w:id="228"/>
      <w:bookmarkEnd w:id="229"/>
      <w:bookmarkEnd w:id="230"/>
    </w:p>
    <w:p>
      <w:pPr>
        <w:pStyle w:val="34"/>
        <w:spacing w:before="0" w:after="0" w:line="400" w:lineRule="exact"/>
        <w:ind w:firstLine="420" w:firstLineChars="200"/>
        <w:jc w:val="left"/>
        <w:outlineLvl w:val="9"/>
        <w:rPr>
          <w:rFonts w:ascii="宋体" w:hAnsi="宋体" w:eastAsia="宋体" w:cs="宋体"/>
          <w:sz w:val="21"/>
          <w:szCs w:val="21"/>
        </w:rPr>
      </w:pPr>
      <w:bookmarkStart w:id="231" w:name="_Toc20752146"/>
      <w:bookmarkStart w:id="232" w:name="_Toc20753101"/>
      <w:bookmarkStart w:id="233" w:name="_Toc20753204"/>
      <w:r>
        <w:rPr>
          <w:rFonts w:hint="eastAsia" w:ascii="宋体" w:hAnsi="宋体" w:eastAsia="宋体" w:cs="宋体"/>
          <w:sz w:val="21"/>
          <w:szCs w:val="21"/>
        </w:rPr>
        <w:t>7.3如因乙方维修车辆质量造成甲方或第三方人身、财产损失的，乙方应承担全部赔偿责任。</w:t>
      </w:r>
      <w:bookmarkEnd w:id="231"/>
      <w:bookmarkEnd w:id="232"/>
      <w:bookmarkEnd w:id="233"/>
    </w:p>
    <w:p>
      <w:pPr>
        <w:pStyle w:val="34"/>
        <w:spacing w:before="0" w:after="0" w:line="400" w:lineRule="exact"/>
        <w:ind w:firstLine="420" w:firstLineChars="200"/>
        <w:jc w:val="left"/>
        <w:outlineLvl w:val="9"/>
        <w:rPr>
          <w:rFonts w:ascii="宋体" w:hAnsi="宋体" w:eastAsia="宋体" w:cs="宋体"/>
          <w:sz w:val="21"/>
          <w:szCs w:val="21"/>
        </w:rPr>
      </w:pPr>
      <w:bookmarkStart w:id="234" w:name="_Toc20752147"/>
      <w:bookmarkStart w:id="235" w:name="_Toc20753102"/>
      <w:bookmarkStart w:id="236" w:name="_Toc20753205"/>
      <w:r>
        <w:rPr>
          <w:rFonts w:hint="eastAsia" w:ascii="宋体" w:hAnsi="宋体" w:eastAsia="宋体" w:cs="宋体"/>
          <w:sz w:val="21"/>
          <w:szCs w:val="21"/>
        </w:rPr>
        <w:t>7.4如有下列任何一种情况出现，甲方有权扣除乙方的履约保证金(扣除后乙方还应补足履约保证金，否则甲方有权单方解除合同)，如履约保证金不足以弥补甲方损失的，甲方有权追偿。情节严重的将取消定点维修资格，若给甲方造成损失的将向乙方追究经济赔偿。</w:t>
      </w:r>
      <w:bookmarkEnd w:id="234"/>
      <w:bookmarkEnd w:id="235"/>
      <w:bookmarkEnd w:id="236"/>
    </w:p>
    <w:p>
      <w:pPr>
        <w:pStyle w:val="34"/>
        <w:spacing w:before="0" w:after="0" w:line="400" w:lineRule="exact"/>
        <w:ind w:firstLine="420" w:firstLineChars="200"/>
        <w:jc w:val="left"/>
        <w:outlineLvl w:val="9"/>
        <w:rPr>
          <w:rFonts w:ascii="宋体" w:hAnsi="宋体" w:eastAsia="宋体" w:cs="宋体"/>
          <w:sz w:val="21"/>
          <w:szCs w:val="21"/>
        </w:rPr>
      </w:pPr>
      <w:bookmarkStart w:id="237" w:name="_Toc20752148"/>
      <w:bookmarkStart w:id="238" w:name="_Toc20753103"/>
      <w:bookmarkStart w:id="239" w:name="_Toc20753206"/>
      <w:r>
        <w:rPr>
          <w:rFonts w:hint="eastAsia" w:ascii="宋体" w:hAnsi="宋体" w:eastAsia="宋体" w:cs="宋体"/>
          <w:sz w:val="21"/>
          <w:szCs w:val="21"/>
        </w:rPr>
        <w:t>（1）没有按照价格优惠要求，擅自抬高收费价格，经查实的；</w:t>
      </w:r>
      <w:bookmarkEnd w:id="237"/>
      <w:bookmarkEnd w:id="238"/>
      <w:bookmarkEnd w:id="239"/>
    </w:p>
    <w:p>
      <w:pPr>
        <w:pStyle w:val="34"/>
        <w:spacing w:before="0" w:after="0" w:line="400" w:lineRule="exact"/>
        <w:ind w:firstLine="420" w:firstLineChars="200"/>
        <w:jc w:val="left"/>
        <w:outlineLvl w:val="9"/>
        <w:rPr>
          <w:rFonts w:ascii="宋体" w:hAnsi="宋体" w:eastAsia="宋体" w:cs="宋体"/>
          <w:sz w:val="21"/>
          <w:szCs w:val="21"/>
        </w:rPr>
      </w:pPr>
      <w:bookmarkStart w:id="240" w:name="_Toc20752149"/>
      <w:bookmarkStart w:id="241" w:name="_Toc20753104"/>
      <w:bookmarkStart w:id="242" w:name="_Toc20753207"/>
      <w:r>
        <w:rPr>
          <w:rFonts w:hint="eastAsia" w:ascii="宋体" w:hAnsi="宋体" w:eastAsia="宋体" w:cs="宋体"/>
          <w:sz w:val="21"/>
          <w:szCs w:val="21"/>
        </w:rPr>
        <w:t>（2）因质量、服务问题被投诉3次以上，经查实的；</w:t>
      </w:r>
      <w:bookmarkEnd w:id="240"/>
      <w:bookmarkEnd w:id="241"/>
      <w:bookmarkEnd w:id="242"/>
    </w:p>
    <w:p>
      <w:pPr>
        <w:pStyle w:val="34"/>
        <w:spacing w:before="0" w:after="0" w:line="400" w:lineRule="exact"/>
        <w:ind w:firstLine="420" w:firstLineChars="200"/>
        <w:jc w:val="left"/>
        <w:outlineLvl w:val="9"/>
        <w:rPr>
          <w:rFonts w:ascii="宋体" w:hAnsi="宋体" w:eastAsia="宋体" w:cs="宋体"/>
          <w:sz w:val="21"/>
          <w:szCs w:val="21"/>
        </w:rPr>
      </w:pPr>
      <w:bookmarkStart w:id="243" w:name="_Toc20752150"/>
      <w:bookmarkStart w:id="244" w:name="_Toc20753105"/>
      <w:bookmarkStart w:id="245" w:name="_Toc20753208"/>
      <w:r>
        <w:rPr>
          <w:rFonts w:hint="eastAsia" w:ascii="宋体" w:hAnsi="宋体" w:eastAsia="宋体" w:cs="宋体"/>
          <w:sz w:val="21"/>
          <w:szCs w:val="21"/>
        </w:rPr>
        <w:t>（3）未经甲方同意，乙方将送修车辆交由他厂维修；</w:t>
      </w:r>
      <w:bookmarkEnd w:id="243"/>
      <w:bookmarkEnd w:id="244"/>
      <w:bookmarkEnd w:id="245"/>
    </w:p>
    <w:p>
      <w:pPr>
        <w:pStyle w:val="34"/>
        <w:spacing w:before="0" w:after="0" w:line="400" w:lineRule="exact"/>
        <w:ind w:firstLine="420" w:firstLineChars="200"/>
        <w:jc w:val="left"/>
        <w:outlineLvl w:val="9"/>
        <w:rPr>
          <w:rFonts w:ascii="宋体" w:hAnsi="宋体" w:eastAsia="宋体" w:cs="宋体"/>
          <w:sz w:val="21"/>
          <w:szCs w:val="21"/>
        </w:rPr>
      </w:pPr>
      <w:bookmarkStart w:id="246" w:name="_Toc20752151"/>
      <w:bookmarkStart w:id="247" w:name="_Toc20753106"/>
      <w:bookmarkStart w:id="248" w:name="_Toc20753209"/>
      <w:r>
        <w:rPr>
          <w:rFonts w:hint="eastAsia" w:ascii="宋体" w:hAnsi="宋体" w:eastAsia="宋体" w:cs="宋体"/>
          <w:sz w:val="21"/>
          <w:szCs w:val="21"/>
        </w:rPr>
        <w:t>（4）通过向相关人员给回扣或变相回扣的方式招揽业务，经查实的；</w:t>
      </w:r>
      <w:bookmarkEnd w:id="246"/>
      <w:bookmarkEnd w:id="247"/>
      <w:bookmarkEnd w:id="248"/>
    </w:p>
    <w:p>
      <w:pPr>
        <w:pStyle w:val="34"/>
        <w:spacing w:before="0" w:after="0" w:line="400" w:lineRule="exact"/>
        <w:ind w:firstLine="420" w:firstLineChars="200"/>
        <w:jc w:val="left"/>
        <w:outlineLvl w:val="9"/>
        <w:rPr>
          <w:rFonts w:ascii="宋体" w:hAnsi="宋体" w:eastAsia="宋体" w:cs="宋体"/>
          <w:sz w:val="21"/>
          <w:szCs w:val="21"/>
        </w:rPr>
      </w:pPr>
      <w:bookmarkStart w:id="249" w:name="_Toc20752152"/>
      <w:bookmarkStart w:id="250" w:name="_Toc20753107"/>
      <w:bookmarkStart w:id="251" w:name="_Toc20753210"/>
      <w:r>
        <w:rPr>
          <w:rFonts w:hint="eastAsia" w:ascii="宋体" w:hAnsi="宋体" w:eastAsia="宋体" w:cs="宋体"/>
          <w:sz w:val="21"/>
          <w:szCs w:val="21"/>
        </w:rPr>
        <w:t>（5）因乙方维修质量问题，导致甲方车辆出现事故造成损失的；</w:t>
      </w:r>
      <w:bookmarkEnd w:id="249"/>
      <w:bookmarkEnd w:id="250"/>
      <w:bookmarkEnd w:id="251"/>
    </w:p>
    <w:p>
      <w:pPr>
        <w:pStyle w:val="34"/>
        <w:spacing w:before="0" w:after="0" w:line="400" w:lineRule="exact"/>
        <w:ind w:firstLine="420" w:firstLineChars="200"/>
        <w:jc w:val="left"/>
        <w:outlineLvl w:val="9"/>
        <w:rPr>
          <w:rFonts w:ascii="宋体" w:hAnsi="宋体" w:eastAsia="宋体" w:cs="宋体"/>
          <w:sz w:val="21"/>
          <w:szCs w:val="21"/>
        </w:rPr>
      </w:pPr>
      <w:bookmarkStart w:id="252" w:name="_Toc20753211"/>
      <w:bookmarkStart w:id="253" w:name="_Toc20752153"/>
      <w:bookmarkStart w:id="254" w:name="_Toc20753108"/>
      <w:r>
        <w:rPr>
          <w:rFonts w:hint="eastAsia" w:ascii="宋体" w:hAnsi="宋体" w:eastAsia="宋体" w:cs="宋体"/>
          <w:sz w:val="21"/>
          <w:szCs w:val="21"/>
        </w:rPr>
        <w:t>（6）未经甲方书面同意，维修逾期超过15天，有权扣除乙方的履约保证金。</w:t>
      </w:r>
      <w:bookmarkEnd w:id="252"/>
      <w:bookmarkEnd w:id="253"/>
      <w:bookmarkEnd w:id="254"/>
    </w:p>
    <w:p>
      <w:pPr>
        <w:pStyle w:val="34"/>
        <w:spacing w:before="0" w:after="0" w:line="400" w:lineRule="exact"/>
        <w:ind w:firstLine="420" w:firstLineChars="200"/>
        <w:jc w:val="left"/>
        <w:outlineLvl w:val="9"/>
        <w:rPr>
          <w:rFonts w:ascii="宋体" w:hAnsi="宋体" w:eastAsia="宋体" w:cs="宋体"/>
          <w:sz w:val="21"/>
          <w:szCs w:val="21"/>
        </w:rPr>
      </w:pPr>
      <w:bookmarkStart w:id="255" w:name="_Toc20752154"/>
      <w:bookmarkStart w:id="256" w:name="_Toc20753109"/>
      <w:bookmarkStart w:id="257" w:name="_Toc20753212"/>
      <w:r>
        <w:rPr>
          <w:rFonts w:hint="eastAsia" w:ascii="宋体" w:hAnsi="宋体" w:eastAsia="宋体" w:cs="宋体"/>
          <w:sz w:val="21"/>
          <w:szCs w:val="21"/>
        </w:rPr>
        <w:t>（7）本项目合同约定的其他情况。</w:t>
      </w:r>
      <w:bookmarkEnd w:id="255"/>
      <w:bookmarkEnd w:id="256"/>
      <w:bookmarkEnd w:id="257"/>
    </w:p>
    <w:p>
      <w:pPr>
        <w:pStyle w:val="34"/>
        <w:spacing w:before="0" w:after="0" w:line="400" w:lineRule="exact"/>
        <w:ind w:firstLine="420" w:firstLineChars="200"/>
        <w:jc w:val="left"/>
        <w:outlineLvl w:val="9"/>
        <w:rPr>
          <w:rFonts w:ascii="宋体" w:hAnsi="宋体" w:eastAsia="宋体" w:cs="宋体"/>
          <w:sz w:val="21"/>
          <w:szCs w:val="21"/>
        </w:rPr>
      </w:pPr>
      <w:bookmarkStart w:id="258" w:name="_Toc20752155"/>
      <w:bookmarkStart w:id="259" w:name="_Toc20753110"/>
      <w:bookmarkStart w:id="260" w:name="_Toc20753213"/>
      <w:r>
        <w:rPr>
          <w:rFonts w:hint="eastAsia" w:ascii="宋体" w:hAnsi="宋体" w:eastAsia="宋体" w:cs="宋体"/>
          <w:sz w:val="21"/>
          <w:szCs w:val="21"/>
        </w:rPr>
        <w:t>7.5乙方有下列情况之一的，甲方有权将其缴纳的履约保证金扣除，并有权单方面解除合同：</w:t>
      </w:r>
      <w:bookmarkEnd w:id="258"/>
      <w:bookmarkEnd w:id="259"/>
      <w:bookmarkEnd w:id="260"/>
    </w:p>
    <w:p>
      <w:pPr>
        <w:pStyle w:val="34"/>
        <w:spacing w:before="0" w:after="0" w:line="400" w:lineRule="exact"/>
        <w:ind w:firstLine="420" w:firstLineChars="200"/>
        <w:jc w:val="left"/>
        <w:outlineLvl w:val="9"/>
        <w:rPr>
          <w:rFonts w:ascii="宋体" w:hAnsi="宋体" w:eastAsia="宋体" w:cs="宋体"/>
          <w:sz w:val="21"/>
          <w:szCs w:val="21"/>
        </w:rPr>
      </w:pPr>
      <w:bookmarkStart w:id="261" w:name="_Toc20753214"/>
      <w:bookmarkStart w:id="262" w:name="_Toc20752156"/>
      <w:bookmarkStart w:id="263" w:name="_Toc20753111"/>
      <w:r>
        <w:rPr>
          <w:rFonts w:hint="eastAsia" w:ascii="宋体" w:hAnsi="宋体" w:eastAsia="宋体" w:cs="宋体"/>
          <w:sz w:val="21"/>
          <w:szCs w:val="21"/>
        </w:rPr>
        <w:t>（1）实际的维修厂房设备、停车场、客户接待区及相关设施与合同要求严重不符的；</w:t>
      </w:r>
      <w:bookmarkEnd w:id="261"/>
      <w:bookmarkEnd w:id="262"/>
      <w:bookmarkEnd w:id="263"/>
    </w:p>
    <w:p>
      <w:pPr>
        <w:pStyle w:val="34"/>
        <w:spacing w:before="0" w:after="0" w:line="400" w:lineRule="exact"/>
        <w:ind w:firstLine="420" w:firstLineChars="200"/>
        <w:jc w:val="left"/>
        <w:outlineLvl w:val="9"/>
        <w:rPr>
          <w:rFonts w:ascii="宋体" w:hAnsi="宋体" w:eastAsia="宋体" w:cs="宋体"/>
          <w:sz w:val="21"/>
          <w:szCs w:val="21"/>
        </w:rPr>
      </w:pPr>
      <w:bookmarkStart w:id="264" w:name="_Toc20752157"/>
      <w:bookmarkStart w:id="265" w:name="_Toc20753112"/>
      <w:bookmarkStart w:id="266" w:name="_Toc20753215"/>
      <w:r>
        <w:rPr>
          <w:rFonts w:hint="eastAsia" w:ascii="宋体" w:hAnsi="宋体" w:eastAsia="宋体" w:cs="宋体"/>
          <w:sz w:val="21"/>
          <w:szCs w:val="21"/>
        </w:rPr>
        <w:t>（2）不按合同要求提供应承担的维保服务的；</w:t>
      </w:r>
      <w:bookmarkEnd w:id="264"/>
      <w:bookmarkEnd w:id="265"/>
      <w:bookmarkEnd w:id="266"/>
    </w:p>
    <w:p>
      <w:pPr>
        <w:pStyle w:val="34"/>
        <w:spacing w:before="0" w:after="0" w:line="400" w:lineRule="exact"/>
        <w:ind w:firstLine="420" w:firstLineChars="200"/>
        <w:jc w:val="left"/>
        <w:outlineLvl w:val="9"/>
        <w:rPr>
          <w:rFonts w:ascii="宋体" w:hAnsi="宋体" w:eastAsia="宋体" w:cs="宋体"/>
          <w:sz w:val="21"/>
          <w:szCs w:val="21"/>
        </w:rPr>
      </w:pPr>
      <w:bookmarkStart w:id="267" w:name="_Toc20752158"/>
      <w:bookmarkStart w:id="268" w:name="_Toc20753113"/>
      <w:bookmarkStart w:id="269" w:name="_Toc20753216"/>
      <w:r>
        <w:rPr>
          <w:rFonts w:hint="eastAsia" w:ascii="宋体" w:hAnsi="宋体" w:eastAsia="宋体" w:cs="宋体"/>
          <w:sz w:val="21"/>
          <w:szCs w:val="21"/>
        </w:rPr>
        <w:t>（3）所用维修材料不符合国家质量标准的；</w:t>
      </w:r>
      <w:bookmarkEnd w:id="267"/>
      <w:bookmarkEnd w:id="268"/>
      <w:bookmarkEnd w:id="269"/>
    </w:p>
    <w:p>
      <w:pPr>
        <w:pStyle w:val="34"/>
        <w:spacing w:before="0" w:after="0" w:line="400" w:lineRule="exact"/>
        <w:ind w:firstLine="420" w:firstLineChars="200"/>
        <w:jc w:val="left"/>
        <w:outlineLvl w:val="9"/>
        <w:rPr>
          <w:rFonts w:ascii="宋体" w:hAnsi="宋体" w:eastAsia="宋体" w:cs="宋体"/>
          <w:sz w:val="21"/>
          <w:szCs w:val="21"/>
        </w:rPr>
      </w:pPr>
      <w:bookmarkStart w:id="270" w:name="_Toc20752159"/>
      <w:bookmarkStart w:id="271" w:name="_Toc20753114"/>
      <w:bookmarkStart w:id="272" w:name="_Toc20753217"/>
      <w:r>
        <w:rPr>
          <w:rFonts w:hint="eastAsia" w:ascii="宋体" w:hAnsi="宋体" w:eastAsia="宋体" w:cs="宋体"/>
          <w:sz w:val="21"/>
          <w:szCs w:val="21"/>
        </w:rPr>
        <w:t>（4）不按照合同约定计费的；</w:t>
      </w:r>
      <w:bookmarkEnd w:id="270"/>
      <w:bookmarkEnd w:id="271"/>
      <w:bookmarkEnd w:id="272"/>
    </w:p>
    <w:p>
      <w:pPr>
        <w:pStyle w:val="34"/>
        <w:spacing w:before="0" w:after="0" w:line="400" w:lineRule="exact"/>
        <w:ind w:firstLine="420" w:firstLineChars="200"/>
        <w:jc w:val="left"/>
        <w:outlineLvl w:val="9"/>
        <w:rPr>
          <w:rFonts w:ascii="宋体" w:hAnsi="宋体" w:eastAsia="宋体" w:cs="宋体"/>
          <w:sz w:val="21"/>
          <w:szCs w:val="21"/>
        </w:rPr>
      </w:pPr>
      <w:bookmarkStart w:id="273" w:name="_Toc20752160"/>
      <w:bookmarkStart w:id="274" w:name="_Toc20753115"/>
      <w:bookmarkStart w:id="275" w:name="_Toc20753218"/>
      <w:r>
        <w:rPr>
          <w:rFonts w:hint="eastAsia" w:ascii="宋体" w:hAnsi="宋体" w:eastAsia="宋体" w:cs="宋体"/>
          <w:sz w:val="21"/>
          <w:szCs w:val="21"/>
        </w:rPr>
        <w:t>（5）车辆维修结算时给予司机或单位回扣、赠送礼品及报销其它费用的；</w:t>
      </w:r>
      <w:bookmarkEnd w:id="273"/>
      <w:bookmarkEnd w:id="274"/>
      <w:bookmarkEnd w:id="275"/>
    </w:p>
    <w:p>
      <w:pPr>
        <w:pStyle w:val="34"/>
        <w:spacing w:before="0" w:after="0" w:line="400" w:lineRule="exact"/>
        <w:ind w:firstLine="420" w:firstLineChars="200"/>
        <w:jc w:val="left"/>
        <w:outlineLvl w:val="9"/>
        <w:rPr>
          <w:rFonts w:ascii="宋体" w:hAnsi="宋体" w:eastAsia="宋体" w:cs="宋体"/>
          <w:sz w:val="21"/>
          <w:szCs w:val="21"/>
        </w:rPr>
      </w:pPr>
      <w:bookmarkStart w:id="276" w:name="_Toc20752161"/>
      <w:bookmarkStart w:id="277" w:name="_Toc20753116"/>
      <w:bookmarkStart w:id="278" w:name="_Toc20753219"/>
      <w:r>
        <w:rPr>
          <w:rFonts w:hint="eastAsia" w:ascii="宋体" w:hAnsi="宋体" w:eastAsia="宋体" w:cs="宋体"/>
          <w:sz w:val="21"/>
          <w:szCs w:val="21"/>
        </w:rPr>
        <w:t>（6）拒绝接受检查，不如实反映情况或提供虚假材料的；</w:t>
      </w:r>
      <w:bookmarkEnd w:id="276"/>
      <w:bookmarkEnd w:id="277"/>
      <w:bookmarkEnd w:id="278"/>
    </w:p>
    <w:p>
      <w:pPr>
        <w:pStyle w:val="34"/>
        <w:spacing w:before="0" w:after="0" w:line="400" w:lineRule="exact"/>
        <w:ind w:firstLine="420" w:firstLineChars="200"/>
        <w:jc w:val="left"/>
        <w:outlineLvl w:val="9"/>
        <w:rPr>
          <w:rFonts w:ascii="宋体" w:hAnsi="宋体" w:eastAsia="宋体" w:cs="宋体"/>
          <w:sz w:val="21"/>
          <w:szCs w:val="21"/>
        </w:rPr>
      </w:pPr>
      <w:bookmarkStart w:id="279" w:name="_Toc20752162"/>
      <w:bookmarkStart w:id="280" w:name="_Toc20753117"/>
      <w:bookmarkStart w:id="281" w:name="_Toc20753220"/>
      <w:r>
        <w:rPr>
          <w:rFonts w:hint="eastAsia" w:ascii="宋体" w:hAnsi="宋体" w:eastAsia="宋体" w:cs="宋体"/>
          <w:sz w:val="21"/>
          <w:szCs w:val="21"/>
        </w:rPr>
        <w:t>（7）无正当理由拒修的；</w:t>
      </w:r>
      <w:bookmarkEnd w:id="279"/>
      <w:bookmarkEnd w:id="280"/>
      <w:bookmarkEnd w:id="281"/>
    </w:p>
    <w:p>
      <w:pPr>
        <w:pStyle w:val="34"/>
        <w:spacing w:before="0" w:after="0" w:line="400" w:lineRule="exact"/>
        <w:ind w:firstLine="420" w:firstLineChars="200"/>
        <w:jc w:val="left"/>
        <w:outlineLvl w:val="9"/>
        <w:rPr>
          <w:rFonts w:ascii="宋体" w:hAnsi="宋体" w:eastAsia="宋体" w:cs="宋体"/>
          <w:sz w:val="21"/>
          <w:szCs w:val="21"/>
        </w:rPr>
      </w:pPr>
      <w:bookmarkStart w:id="282" w:name="_Toc20753221"/>
      <w:bookmarkStart w:id="283" w:name="_Toc20752163"/>
      <w:bookmarkStart w:id="284" w:name="_Toc20753118"/>
      <w:r>
        <w:rPr>
          <w:rFonts w:hint="eastAsia" w:ascii="宋体" w:hAnsi="宋体" w:eastAsia="宋体" w:cs="宋体"/>
          <w:sz w:val="21"/>
          <w:szCs w:val="21"/>
        </w:rPr>
        <w:t>（8）保修期内确因维修质量问题拒绝免费返修的；</w:t>
      </w:r>
      <w:bookmarkEnd w:id="282"/>
      <w:bookmarkEnd w:id="283"/>
      <w:bookmarkEnd w:id="284"/>
    </w:p>
    <w:p>
      <w:pPr>
        <w:pStyle w:val="34"/>
        <w:spacing w:before="0" w:after="0" w:line="400" w:lineRule="exact"/>
        <w:ind w:firstLine="420" w:firstLineChars="200"/>
        <w:jc w:val="left"/>
        <w:outlineLvl w:val="9"/>
        <w:rPr>
          <w:rFonts w:ascii="宋体" w:hAnsi="宋体" w:eastAsia="宋体" w:cs="宋体"/>
          <w:sz w:val="21"/>
          <w:szCs w:val="21"/>
        </w:rPr>
      </w:pPr>
      <w:bookmarkStart w:id="285" w:name="_Toc20752164"/>
      <w:bookmarkStart w:id="286" w:name="_Toc20753119"/>
      <w:bookmarkStart w:id="287" w:name="_Toc20753222"/>
      <w:r>
        <w:rPr>
          <w:rFonts w:hint="eastAsia" w:ascii="宋体" w:hAnsi="宋体" w:eastAsia="宋体" w:cs="宋体"/>
          <w:sz w:val="21"/>
          <w:szCs w:val="21"/>
        </w:rPr>
        <w:t>（9）弄虚作假、虚报维修项目和维修费用的；</w:t>
      </w:r>
      <w:bookmarkEnd w:id="285"/>
      <w:bookmarkEnd w:id="286"/>
      <w:bookmarkEnd w:id="287"/>
    </w:p>
    <w:p>
      <w:pPr>
        <w:pStyle w:val="34"/>
        <w:spacing w:before="0" w:after="0" w:line="400" w:lineRule="exact"/>
        <w:ind w:firstLine="420" w:firstLineChars="200"/>
        <w:jc w:val="left"/>
        <w:outlineLvl w:val="9"/>
        <w:rPr>
          <w:rFonts w:ascii="宋体" w:hAnsi="宋体" w:eastAsia="宋体" w:cs="宋体"/>
          <w:sz w:val="21"/>
          <w:szCs w:val="21"/>
        </w:rPr>
      </w:pPr>
      <w:bookmarkStart w:id="288" w:name="_Toc20752165"/>
      <w:bookmarkStart w:id="289" w:name="_Toc20753120"/>
      <w:bookmarkStart w:id="290" w:name="_Toc20753223"/>
      <w:r>
        <w:rPr>
          <w:rFonts w:hint="eastAsia" w:ascii="宋体" w:hAnsi="宋体" w:eastAsia="宋体" w:cs="宋体"/>
          <w:sz w:val="21"/>
          <w:szCs w:val="21"/>
        </w:rPr>
        <w:t>（10）采用不正当手段竞争的。</w:t>
      </w:r>
      <w:bookmarkEnd w:id="288"/>
      <w:bookmarkEnd w:id="289"/>
      <w:bookmarkEnd w:id="290"/>
    </w:p>
    <w:p>
      <w:pPr>
        <w:pStyle w:val="34"/>
        <w:spacing w:before="0" w:after="0" w:line="400" w:lineRule="exact"/>
        <w:ind w:firstLine="420" w:firstLineChars="200"/>
        <w:jc w:val="left"/>
        <w:outlineLvl w:val="9"/>
        <w:rPr>
          <w:rFonts w:ascii="宋体" w:hAnsi="宋体" w:eastAsia="宋体" w:cs="宋体"/>
          <w:sz w:val="21"/>
          <w:szCs w:val="21"/>
        </w:rPr>
      </w:pPr>
      <w:bookmarkStart w:id="291" w:name="_Toc20752166"/>
      <w:bookmarkStart w:id="292" w:name="_Toc20753121"/>
      <w:bookmarkStart w:id="293" w:name="_Toc20753224"/>
      <w:r>
        <w:rPr>
          <w:rFonts w:hint="eastAsia" w:ascii="宋体" w:hAnsi="宋体" w:eastAsia="宋体" w:cs="宋体"/>
          <w:sz w:val="21"/>
          <w:szCs w:val="21"/>
        </w:rPr>
        <w:t>7.6乙方未在本合同签订后15个工作日内提供履约担保的，每延迟一天乙方应按签约合同价的5‰向甲方缴纳违约金，违约金最高不超过签约合同价的10%。</w:t>
      </w:r>
      <w:bookmarkEnd w:id="291"/>
      <w:bookmarkEnd w:id="292"/>
      <w:bookmarkEnd w:id="293"/>
    </w:p>
    <w:p>
      <w:pPr>
        <w:pStyle w:val="34"/>
        <w:spacing w:before="0" w:after="0" w:line="400" w:lineRule="exact"/>
        <w:ind w:firstLine="420" w:firstLineChars="200"/>
        <w:jc w:val="left"/>
        <w:outlineLvl w:val="9"/>
        <w:rPr>
          <w:rFonts w:ascii="宋体" w:hAnsi="宋体" w:eastAsia="宋体" w:cs="宋体"/>
          <w:sz w:val="21"/>
          <w:szCs w:val="21"/>
        </w:rPr>
      </w:pPr>
      <w:bookmarkStart w:id="294" w:name="_Toc20752167"/>
      <w:bookmarkStart w:id="295" w:name="_Toc20753122"/>
      <w:bookmarkStart w:id="296" w:name="_Toc20753225"/>
      <w:r>
        <w:rPr>
          <w:rFonts w:hint="eastAsia" w:ascii="宋体" w:hAnsi="宋体" w:eastAsia="宋体" w:cs="宋体"/>
          <w:sz w:val="21"/>
          <w:szCs w:val="21"/>
        </w:rPr>
        <w:t>7.7违约金以现金或转账方式缴纳或从合同应付款项中扣除。甲方开具收款收据、不提供发票，乙方不得因此冲减增值税专用发票金额。</w:t>
      </w:r>
      <w:bookmarkEnd w:id="294"/>
      <w:bookmarkEnd w:id="295"/>
      <w:bookmarkEnd w:id="296"/>
    </w:p>
    <w:p>
      <w:pPr>
        <w:adjustRightInd w:val="0"/>
        <w:snapToGrid w:val="0"/>
        <w:spacing w:line="360" w:lineRule="auto"/>
        <w:rPr>
          <w:rFonts w:ascii="宋体" w:hAnsi="宋体" w:cs="宋体"/>
          <w:b/>
          <w:bCs/>
          <w:szCs w:val="21"/>
        </w:rPr>
      </w:pPr>
      <w:r>
        <w:rPr>
          <w:rFonts w:hint="eastAsia" w:ascii="宋体" w:hAnsi="宋体" w:cs="宋体"/>
          <w:b/>
          <w:bCs/>
          <w:szCs w:val="21"/>
        </w:rPr>
        <w:t>八、合同解除</w:t>
      </w:r>
    </w:p>
    <w:p>
      <w:pPr>
        <w:pStyle w:val="239"/>
        <w:adjustRightInd w:val="0"/>
        <w:snapToGrid w:val="0"/>
        <w:spacing w:line="360" w:lineRule="auto"/>
        <w:jc w:val="left"/>
        <w:rPr>
          <w:rFonts w:ascii="宋体" w:hAnsi="宋体" w:cs="宋体"/>
        </w:rPr>
      </w:pPr>
      <w:r>
        <w:rPr>
          <w:rFonts w:hint="eastAsia" w:ascii="宋体" w:hAnsi="宋体" w:cs="宋体"/>
        </w:rPr>
        <w:t>8.1有下列情形之一的，合同当事人一方或双方可以解除合同：</w:t>
      </w:r>
    </w:p>
    <w:p>
      <w:pPr>
        <w:pStyle w:val="45"/>
        <w:adjustRightInd w:val="0"/>
        <w:snapToGrid w:val="0"/>
        <w:spacing w:after="0" w:line="360" w:lineRule="auto"/>
        <w:jc w:val="left"/>
        <w:rPr>
          <w:rFonts w:ascii="宋体" w:hAnsi="宋体" w:cs="宋体"/>
          <w:szCs w:val="21"/>
        </w:rPr>
      </w:pPr>
      <w:r>
        <w:rPr>
          <w:rFonts w:hint="eastAsia" w:ascii="宋体" w:hAnsi="宋体" w:cs="宋体"/>
          <w:szCs w:val="21"/>
        </w:rPr>
        <w:t>（1）乙方将本合同约定的工作全部或部分转包给他人，有权解除合同；</w:t>
      </w:r>
    </w:p>
    <w:p>
      <w:pPr>
        <w:pStyle w:val="239"/>
        <w:adjustRightInd w:val="0"/>
        <w:snapToGrid w:val="0"/>
        <w:spacing w:line="360" w:lineRule="auto"/>
        <w:jc w:val="left"/>
        <w:rPr>
          <w:rFonts w:ascii="宋体" w:hAnsi="宋体" w:cs="宋体"/>
        </w:rPr>
      </w:pPr>
      <w:r>
        <w:rPr>
          <w:rFonts w:hint="eastAsia" w:ascii="宋体" w:hAnsi="宋体" w:cs="宋体"/>
        </w:rPr>
        <w:t>（2）因不可抗力致使合同无法履行；</w:t>
      </w:r>
    </w:p>
    <w:p>
      <w:pPr>
        <w:pStyle w:val="45"/>
        <w:adjustRightInd w:val="0"/>
        <w:snapToGrid w:val="0"/>
        <w:spacing w:after="0" w:line="360" w:lineRule="auto"/>
        <w:jc w:val="left"/>
        <w:rPr>
          <w:rFonts w:ascii="宋体" w:hAnsi="宋体" w:cs="宋体"/>
          <w:szCs w:val="21"/>
        </w:rPr>
      </w:pPr>
      <w:r>
        <w:rPr>
          <w:rFonts w:hint="eastAsia" w:ascii="宋体" w:hAnsi="宋体" w:cs="宋体"/>
          <w:szCs w:val="21"/>
        </w:rPr>
        <w:t>（3）因一方违约致使合同无法实际履行或实际履行已无必要；</w:t>
      </w:r>
    </w:p>
    <w:p>
      <w:pPr>
        <w:pStyle w:val="239"/>
        <w:adjustRightInd w:val="0"/>
        <w:snapToGrid w:val="0"/>
        <w:spacing w:line="360" w:lineRule="auto"/>
        <w:jc w:val="left"/>
        <w:rPr>
          <w:rFonts w:ascii="宋体" w:hAnsi="宋体" w:cs="宋体"/>
        </w:rPr>
      </w:pPr>
      <w:r>
        <w:rPr>
          <w:rFonts w:hint="eastAsia" w:ascii="宋体" w:hAnsi="宋体" w:cs="宋体"/>
        </w:rPr>
        <w:t>（4）违约金总额超过合同签约价的20%，有权解除合同。</w:t>
      </w:r>
    </w:p>
    <w:p>
      <w:pPr>
        <w:pStyle w:val="239"/>
        <w:adjustRightInd w:val="0"/>
        <w:snapToGrid w:val="0"/>
        <w:spacing w:line="360" w:lineRule="auto"/>
        <w:jc w:val="left"/>
        <w:rPr>
          <w:rFonts w:ascii="宋体" w:hAnsi="宋体" w:cs="宋体"/>
        </w:rPr>
      </w:pPr>
      <w:r>
        <w:rPr>
          <w:rFonts w:hint="eastAsia" w:ascii="宋体" w:hAnsi="宋体" w:cs="宋体"/>
        </w:rPr>
        <w:t>8.2乙方因其违约行为已向甲方承担违约责任，但该次违约行为一直持续、未停止或乙方未采取任何手段和方式对其行为进行改进、修正的，甲方有权解除合同。</w:t>
      </w:r>
    </w:p>
    <w:p>
      <w:pPr>
        <w:adjustRightInd w:val="0"/>
        <w:snapToGrid w:val="0"/>
        <w:spacing w:line="360" w:lineRule="auto"/>
        <w:ind w:firstLine="480"/>
        <w:rPr>
          <w:rFonts w:ascii="宋体" w:hAnsi="宋体" w:cs="宋体"/>
          <w:szCs w:val="21"/>
        </w:rPr>
      </w:pPr>
      <w:r>
        <w:rPr>
          <w:rFonts w:hint="eastAsia" w:ascii="宋体" w:hAnsi="宋体" w:cs="宋体"/>
          <w:szCs w:val="21"/>
        </w:rPr>
        <w:t>8.3任何一方提出解除合同的，应提前15天书面通知对方。若因乙方违约，造成行使解除合同权时不受此约束。</w:t>
      </w:r>
    </w:p>
    <w:p>
      <w:pPr>
        <w:adjustRightInd w:val="0"/>
        <w:snapToGrid w:val="0"/>
        <w:spacing w:line="360" w:lineRule="auto"/>
        <w:ind w:firstLine="480"/>
        <w:rPr>
          <w:rFonts w:ascii="宋体" w:hAnsi="宋体" w:cs="宋体"/>
          <w:szCs w:val="21"/>
        </w:rPr>
      </w:pPr>
      <w:r>
        <w:rPr>
          <w:rFonts w:hint="eastAsia" w:ascii="宋体" w:hAnsi="宋体" w:cs="宋体"/>
          <w:szCs w:val="21"/>
        </w:rPr>
        <w:t>8.4本合同解除后，本合同约定的有关保密、结算、争议解决方式的条款仍然有效。</w:t>
      </w:r>
    </w:p>
    <w:p>
      <w:pPr>
        <w:adjustRightInd w:val="0"/>
        <w:snapToGrid w:val="0"/>
        <w:spacing w:line="360" w:lineRule="auto"/>
        <w:rPr>
          <w:rFonts w:ascii="宋体" w:hAnsi="宋体" w:cs="宋体"/>
          <w:b/>
          <w:bCs/>
          <w:szCs w:val="21"/>
        </w:rPr>
      </w:pPr>
      <w:r>
        <w:rPr>
          <w:rFonts w:hint="eastAsia" w:ascii="宋体" w:hAnsi="宋体" w:cs="宋体"/>
          <w:b/>
          <w:bCs/>
          <w:szCs w:val="21"/>
        </w:rPr>
        <w:t>九、不可抗力</w:t>
      </w:r>
    </w:p>
    <w:p>
      <w:pPr>
        <w:widowControl/>
        <w:adjustRightInd w:val="0"/>
        <w:snapToGrid w:val="0"/>
        <w:spacing w:line="360" w:lineRule="auto"/>
        <w:ind w:firstLine="420" w:firstLineChars="200"/>
        <w:jc w:val="left"/>
        <w:rPr>
          <w:rFonts w:ascii="宋体" w:hAnsi="宋体" w:cs="宋体"/>
          <w:szCs w:val="21"/>
          <w:shd w:val="clear" w:color="auto" w:fill="FFFFFF"/>
        </w:rPr>
      </w:pPr>
      <w:bookmarkStart w:id="297" w:name="_Toc351203608"/>
      <w:r>
        <w:rPr>
          <w:rFonts w:hint="eastAsia" w:ascii="宋体" w:hAnsi="宋体" w:cs="宋体"/>
          <w:szCs w:val="21"/>
          <w:shd w:val="clear" w:color="auto" w:fill="FFFFFF"/>
        </w:rPr>
        <w:t>9.1</w:t>
      </w:r>
      <w:bookmarkEnd w:id="297"/>
      <w:r>
        <w:rPr>
          <w:rFonts w:hint="eastAsia" w:ascii="宋体" w:hAnsi="宋体" w:cs="宋体"/>
          <w:szCs w:val="21"/>
          <w:shd w:val="clear" w:color="auto" w:fill="FFFFFF"/>
        </w:rPr>
        <w:t>不可抗力的确认</w:t>
      </w:r>
    </w:p>
    <w:p>
      <w:pPr>
        <w:widowControl/>
        <w:adjustRightInd w:val="0"/>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不可抗力发生后，合同当事人应收集证明不可抗力发生及不可抗力造成损失的证据，并及时认真统计所造成的损失。合同当事人对是否属于不可抗力或其损失发生争议时，按第十一条的约定处理。</w:t>
      </w:r>
    </w:p>
    <w:p>
      <w:pPr>
        <w:widowControl/>
        <w:adjustRightInd w:val="0"/>
        <w:snapToGrid w:val="0"/>
        <w:spacing w:line="360" w:lineRule="auto"/>
        <w:ind w:firstLine="420" w:firstLineChars="200"/>
        <w:jc w:val="left"/>
        <w:rPr>
          <w:rFonts w:ascii="宋体" w:hAnsi="宋体" w:cs="宋体"/>
          <w:szCs w:val="21"/>
          <w:shd w:val="clear" w:color="auto" w:fill="FFFFFF"/>
        </w:rPr>
      </w:pPr>
      <w:bookmarkStart w:id="298" w:name="_Toc296346619"/>
      <w:bookmarkEnd w:id="298"/>
      <w:bookmarkStart w:id="299" w:name="_Toc296503118"/>
      <w:bookmarkEnd w:id="299"/>
      <w:bookmarkStart w:id="300" w:name="_Toc337558825"/>
      <w:bookmarkEnd w:id="300"/>
      <w:bookmarkStart w:id="301" w:name="_Toc351203609"/>
      <w:r>
        <w:rPr>
          <w:rFonts w:hint="eastAsia" w:ascii="宋体" w:hAnsi="宋体" w:cs="宋体"/>
          <w:szCs w:val="21"/>
          <w:shd w:val="clear" w:color="auto" w:fill="FFFFFF"/>
        </w:rPr>
        <w:t>9.2</w:t>
      </w:r>
      <w:bookmarkEnd w:id="301"/>
      <w:r>
        <w:rPr>
          <w:rFonts w:hint="eastAsia" w:ascii="宋体" w:hAnsi="宋体" w:cs="宋体"/>
          <w:szCs w:val="21"/>
          <w:shd w:val="clear" w:color="auto" w:fill="FFFFFF"/>
        </w:rPr>
        <w:t>不可抗力的通知</w:t>
      </w:r>
    </w:p>
    <w:p>
      <w:pPr>
        <w:widowControl/>
        <w:adjustRightInd w:val="0"/>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adjustRightInd w:val="0"/>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adjustRightInd w:val="0"/>
        <w:snapToGrid w:val="0"/>
        <w:spacing w:line="360" w:lineRule="auto"/>
        <w:ind w:firstLine="420" w:firstLineChars="200"/>
        <w:jc w:val="left"/>
        <w:rPr>
          <w:rFonts w:ascii="宋体" w:hAnsi="宋体" w:cs="宋体"/>
          <w:szCs w:val="21"/>
          <w:shd w:val="clear" w:color="auto" w:fill="FFFFFF"/>
        </w:rPr>
      </w:pPr>
      <w:bookmarkStart w:id="302" w:name="_Toc296346620"/>
      <w:bookmarkEnd w:id="302"/>
      <w:bookmarkStart w:id="303" w:name="_Toc337558826"/>
      <w:bookmarkEnd w:id="303"/>
      <w:bookmarkStart w:id="304" w:name="_Toc296503119"/>
      <w:bookmarkEnd w:id="304"/>
      <w:bookmarkStart w:id="305" w:name="_Toc351203610"/>
      <w:r>
        <w:rPr>
          <w:rFonts w:hint="eastAsia" w:ascii="宋体" w:hAnsi="宋体" w:cs="宋体"/>
          <w:szCs w:val="21"/>
          <w:shd w:val="clear" w:color="auto" w:fill="FFFFFF"/>
        </w:rPr>
        <w:t>9.3</w:t>
      </w:r>
      <w:bookmarkEnd w:id="305"/>
      <w:r>
        <w:rPr>
          <w:rFonts w:hint="eastAsia" w:ascii="宋体" w:hAnsi="宋体" w:cs="宋体"/>
          <w:szCs w:val="21"/>
          <w:shd w:val="clear" w:color="auto" w:fill="FFFFFF"/>
        </w:rPr>
        <w:t>不可抗力后果的承担</w:t>
      </w:r>
    </w:p>
    <w:p>
      <w:pPr>
        <w:widowControl/>
        <w:adjustRightInd w:val="0"/>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不可抗力引起的后果及造成的损失由合同当事人按照法律规定及合同约定各自承担。不可抗力发生前已完成的监测工作应当按照合同约定进行支付。</w:t>
      </w:r>
    </w:p>
    <w:p>
      <w:pPr>
        <w:widowControl/>
        <w:adjustRightInd w:val="0"/>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不可抗力发生后，合同当事人均应采取措施尽量避免和减少损失的扩大，任何一方当事人没有采取有效措施导致损失扩大的，应对扩大的损失承担责任。</w:t>
      </w:r>
    </w:p>
    <w:p>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shd w:val="clear" w:color="auto" w:fill="FFFFFF"/>
        </w:rPr>
        <w:t>因合同一方迟延履行合同义务，在迟延履行期间遭遇不可抗力的，不免除其违约责任。</w:t>
      </w:r>
    </w:p>
    <w:p>
      <w:pPr>
        <w:adjustRightInd w:val="0"/>
        <w:snapToGrid w:val="0"/>
        <w:spacing w:line="360" w:lineRule="auto"/>
        <w:rPr>
          <w:rFonts w:ascii="宋体" w:hAnsi="宋体" w:cs="宋体"/>
          <w:b/>
          <w:bCs/>
          <w:szCs w:val="21"/>
        </w:rPr>
      </w:pPr>
      <w:r>
        <w:rPr>
          <w:rFonts w:hint="eastAsia" w:ascii="宋体" w:hAnsi="宋体" w:cs="宋体"/>
          <w:b/>
          <w:bCs/>
          <w:szCs w:val="21"/>
        </w:rPr>
        <w:t>十、合同终止</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10.1乙方履行合同全部义务，合同价款支付完毕，本合同即告终止。</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10.2合同的权利义务终止后，合同当事人应遵循诚实信用原则，履行通知、协助和保密等义务。</w:t>
      </w:r>
    </w:p>
    <w:p>
      <w:pPr>
        <w:adjustRightInd w:val="0"/>
        <w:snapToGrid w:val="0"/>
        <w:spacing w:line="360" w:lineRule="auto"/>
        <w:rPr>
          <w:rFonts w:ascii="宋体" w:hAnsi="宋体" w:cs="宋体"/>
          <w:b/>
          <w:bCs/>
          <w:szCs w:val="21"/>
        </w:rPr>
      </w:pPr>
      <w:r>
        <w:rPr>
          <w:rFonts w:hint="eastAsia" w:ascii="宋体" w:hAnsi="宋体" w:cs="宋体"/>
          <w:b/>
          <w:bCs/>
          <w:szCs w:val="21"/>
        </w:rPr>
        <w:t>十一、争议解决</w:t>
      </w:r>
    </w:p>
    <w:p>
      <w:pPr>
        <w:pStyle w:val="41"/>
        <w:adjustRightInd w:val="0"/>
        <w:snapToGrid w:val="0"/>
        <w:spacing w:before="0" w:beforeAutospacing="0" w:after="0" w:afterAutospacing="0" w:line="360" w:lineRule="auto"/>
        <w:ind w:firstLine="420" w:firstLineChars="200"/>
        <w:rPr>
          <w:sz w:val="21"/>
          <w:szCs w:val="21"/>
        </w:rPr>
      </w:pPr>
      <w:r>
        <w:rPr>
          <w:rFonts w:hint="eastAsia"/>
          <w:sz w:val="21"/>
          <w:szCs w:val="21"/>
        </w:rPr>
        <w:t>双方因履行本合同而发生的争议，应协商、调解解决。协商、调解不成的，确定按以下第</w:t>
      </w:r>
      <w:r>
        <w:rPr>
          <w:rFonts w:hint="eastAsia"/>
          <w:sz w:val="21"/>
          <w:szCs w:val="21"/>
          <w:u w:val="single"/>
        </w:rPr>
        <w:t>（2）</w:t>
      </w:r>
      <w:r>
        <w:rPr>
          <w:rFonts w:hint="eastAsia"/>
          <w:sz w:val="21"/>
          <w:szCs w:val="21"/>
        </w:rPr>
        <w:t>种方式处理：</w:t>
      </w:r>
    </w:p>
    <w:p>
      <w:pPr>
        <w:pStyle w:val="41"/>
        <w:adjustRightInd w:val="0"/>
        <w:snapToGrid w:val="0"/>
        <w:spacing w:before="0" w:beforeAutospacing="0" w:after="0" w:afterAutospacing="0" w:line="360" w:lineRule="auto"/>
        <w:ind w:firstLine="420" w:firstLineChars="200"/>
        <w:rPr>
          <w:sz w:val="21"/>
          <w:szCs w:val="21"/>
        </w:rPr>
      </w:pPr>
      <w:r>
        <w:rPr>
          <w:rFonts w:hint="eastAsia"/>
          <w:sz w:val="21"/>
          <w:szCs w:val="21"/>
        </w:rPr>
        <w:t>（1）提交</w:t>
      </w:r>
      <w:r>
        <w:rPr>
          <w:rFonts w:hint="eastAsia"/>
          <w:sz w:val="21"/>
          <w:szCs w:val="21"/>
          <w:u w:val="single"/>
        </w:rPr>
        <w:t>长沙</w:t>
      </w:r>
      <w:r>
        <w:rPr>
          <w:rFonts w:hint="eastAsia"/>
          <w:sz w:val="21"/>
          <w:szCs w:val="21"/>
        </w:rPr>
        <w:t>仲裁委员会仲裁；</w:t>
      </w:r>
    </w:p>
    <w:p>
      <w:pPr>
        <w:pStyle w:val="41"/>
        <w:adjustRightInd w:val="0"/>
        <w:snapToGrid w:val="0"/>
        <w:spacing w:before="0" w:beforeAutospacing="0" w:after="0" w:afterAutospacing="0" w:line="360" w:lineRule="auto"/>
        <w:ind w:firstLine="420" w:firstLineChars="200"/>
        <w:rPr>
          <w:sz w:val="21"/>
          <w:szCs w:val="21"/>
        </w:rPr>
      </w:pPr>
      <w:r>
        <w:rPr>
          <w:rFonts w:hint="eastAsia"/>
          <w:sz w:val="21"/>
          <w:szCs w:val="21"/>
        </w:rPr>
        <w:t>（2）依法向</w:t>
      </w:r>
      <w:r>
        <w:rPr>
          <w:rFonts w:hint="eastAsia"/>
          <w:sz w:val="21"/>
          <w:szCs w:val="21"/>
          <w:u w:val="single"/>
        </w:rPr>
        <w:t>甲方所在地</w:t>
      </w:r>
      <w:r>
        <w:rPr>
          <w:rFonts w:hint="eastAsia"/>
          <w:sz w:val="21"/>
          <w:szCs w:val="21"/>
        </w:rPr>
        <w:t>人民法院起诉。</w:t>
      </w:r>
    </w:p>
    <w:p>
      <w:pPr>
        <w:adjustRightInd w:val="0"/>
        <w:snapToGrid w:val="0"/>
        <w:spacing w:line="360" w:lineRule="auto"/>
        <w:rPr>
          <w:rFonts w:ascii="宋体" w:hAnsi="宋体" w:cs="宋体"/>
          <w:b/>
          <w:bCs/>
          <w:szCs w:val="21"/>
        </w:rPr>
      </w:pPr>
      <w:r>
        <w:rPr>
          <w:rFonts w:hint="eastAsia" w:ascii="宋体" w:hAnsi="宋体" w:cs="宋体"/>
          <w:b/>
          <w:bCs/>
          <w:szCs w:val="21"/>
        </w:rPr>
        <w:t>十二、双方约定的其他事项</w:t>
      </w:r>
    </w:p>
    <w:p>
      <w:pPr>
        <w:pStyle w:val="41"/>
        <w:adjustRightInd w:val="0"/>
        <w:snapToGrid w:val="0"/>
        <w:spacing w:before="0" w:beforeAutospacing="0" w:after="0" w:afterAutospacing="0" w:line="360" w:lineRule="auto"/>
        <w:ind w:firstLine="420" w:firstLineChars="200"/>
        <w:rPr>
          <w:sz w:val="21"/>
          <w:szCs w:val="21"/>
          <w:u w:val="single"/>
        </w:rPr>
      </w:pPr>
    </w:p>
    <w:p>
      <w:pPr>
        <w:adjustRightInd w:val="0"/>
        <w:snapToGrid w:val="0"/>
        <w:spacing w:line="360" w:lineRule="auto"/>
        <w:jc w:val="center"/>
        <w:rPr>
          <w:rFonts w:ascii="宋体" w:hAnsi="宋体" w:cs="宋体"/>
          <w:b/>
          <w:szCs w:val="21"/>
        </w:rPr>
      </w:pPr>
      <w:bookmarkStart w:id="306" w:name="_Toc7715"/>
      <w:bookmarkStart w:id="307" w:name="_Toc21133"/>
      <w:r>
        <w:rPr>
          <w:rFonts w:hint="eastAsia" w:ascii="宋体" w:hAnsi="宋体" w:cs="宋体"/>
          <w:b/>
          <w:szCs w:val="21"/>
        </w:rPr>
        <w:br w:type="page"/>
      </w:r>
      <w:bookmarkStart w:id="308" w:name="_Toc20752168"/>
      <w:r>
        <w:rPr>
          <w:rFonts w:hint="eastAsia" w:ascii="宋体" w:hAnsi="宋体" w:cs="宋体"/>
          <w:b/>
          <w:szCs w:val="21"/>
        </w:rPr>
        <w:t>第四部分 合同附件</w:t>
      </w:r>
      <w:bookmarkEnd w:id="306"/>
      <w:bookmarkEnd w:id="307"/>
      <w:bookmarkEnd w:id="308"/>
    </w:p>
    <w:p>
      <w:pPr>
        <w:tabs>
          <w:tab w:val="left" w:pos="540"/>
        </w:tabs>
        <w:adjustRightInd w:val="0"/>
        <w:snapToGrid w:val="0"/>
        <w:spacing w:line="360" w:lineRule="auto"/>
        <w:rPr>
          <w:rFonts w:ascii="宋体" w:hAnsi="宋体" w:cs="宋体"/>
          <w:b/>
          <w:bCs/>
          <w:szCs w:val="21"/>
        </w:rPr>
      </w:pPr>
      <w:bookmarkStart w:id="309" w:name="_Toc9430"/>
      <w:bookmarkStart w:id="310" w:name="_Toc7498"/>
      <w:bookmarkStart w:id="311" w:name="_Toc17542"/>
      <w:bookmarkStart w:id="312" w:name="_Toc27581"/>
      <w:bookmarkStart w:id="313" w:name="_Toc20493"/>
      <w:bookmarkStart w:id="314" w:name="_Toc15723"/>
      <w:bookmarkStart w:id="315" w:name="_Toc5645"/>
      <w:bookmarkStart w:id="316" w:name="_Toc28040"/>
      <w:bookmarkStart w:id="317" w:name="_Toc28100"/>
      <w:bookmarkStart w:id="318" w:name="_Toc10296"/>
      <w:bookmarkStart w:id="319" w:name="_Toc17490"/>
      <w:bookmarkStart w:id="320" w:name="_Toc24647"/>
      <w:bookmarkStart w:id="321" w:name="_Toc19384"/>
      <w:bookmarkStart w:id="322" w:name="_Toc20752169"/>
      <w:r>
        <w:rPr>
          <w:rFonts w:hint="eastAsia" w:ascii="宋体" w:hAnsi="宋体" w:cs="宋体"/>
          <w:b/>
          <w:bCs/>
          <w:szCs w:val="21"/>
        </w:rPr>
        <w:t>附件1：廉政合同</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adjustRightInd w:val="0"/>
        <w:snapToGrid w:val="0"/>
        <w:spacing w:line="360" w:lineRule="auto"/>
        <w:jc w:val="center"/>
        <w:rPr>
          <w:rFonts w:ascii="宋体" w:hAnsi="宋体" w:cs="宋体"/>
          <w:b/>
          <w:szCs w:val="21"/>
        </w:rPr>
      </w:pPr>
      <w:bookmarkStart w:id="323" w:name="_Toc20752170"/>
      <w:bookmarkStart w:id="324" w:name="_Toc23736"/>
      <w:bookmarkStart w:id="325" w:name="_Toc20995"/>
      <w:r>
        <w:rPr>
          <w:rFonts w:hint="eastAsia" w:ascii="宋体" w:hAnsi="宋体" w:cs="宋体"/>
          <w:b/>
          <w:szCs w:val="21"/>
        </w:rPr>
        <w:t>廉政合同</w:t>
      </w:r>
      <w:bookmarkEnd w:id="323"/>
      <w:bookmarkEnd w:id="324"/>
      <w:bookmarkEnd w:id="325"/>
    </w:p>
    <w:p>
      <w:pPr>
        <w:adjustRightInd w:val="0"/>
        <w:snapToGrid w:val="0"/>
        <w:spacing w:line="360" w:lineRule="auto"/>
        <w:ind w:firstLine="420" w:firstLineChars="200"/>
        <w:jc w:val="left"/>
        <w:rPr>
          <w:rFonts w:ascii="宋体" w:hAnsi="宋体" w:cs="宋体"/>
          <w:szCs w:val="21"/>
        </w:rPr>
      </w:pPr>
      <w:bookmarkStart w:id="326" w:name="_Toc59896701"/>
      <w:bookmarkStart w:id="327" w:name="_Toc59900969"/>
      <w:r>
        <w:rPr>
          <w:rFonts w:hint="eastAsia" w:ascii="宋体" w:hAnsi="宋体" w:cs="宋体"/>
          <w:szCs w:val="21"/>
        </w:rPr>
        <w:t>根据国家法律、法规以及有关项目建设、廉政建设的规定，为做好项目建设中的党风廉政建设，保证项目建设高效优质，保证项目资金的安全和有效使用，的项目法人 (以下称)与（以下称乙方），特订立如下合同：</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第一条 甲乙双方的权利和义务</w:t>
      </w:r>
      <w:bookmarkEnd w:id="326"/>
      <w:bookmarkEnd w:id="327"/>
    </w:p>
    <w:p>
      <w:pPr>
        <w:tabs>
          <w:tab w:val="left" w:pos="2115"/>
        </w:tabs>
        <w:adjustRightInd w:val="0"/>
        <w:snapToGrid w:val="0"/>
        <w:spacing w:line="360" w:lineRule="auto"/>
        <w:ind w:firstLine="420" w:firstLineChars="200"/>
        <w:rPr>
          <w:rFonts w:ascii="宋体" w:hAnsi="宋体" w:cs="宋体"/>
          <w:szCs w:val="21"/>
        </w:rPr>
      </w:pPr>
      <w:r>
        <w:rPr>
          <w:rFonts w:hint="eastAsia" w:ascii="宋体" w:hAnsi="宋体" w:cs="宋体"/>
          <w:szCs w:val="21"/>
        </w:rPr>
        <w:t>（一）严格遵守党和国家有关法律法规及湖南省、长沙市的相关规定。</w:t>
      </w:r>
    </w:p>
    <w:p>
      <w:pPr>
        <w:tabs>
          <w:tab w:val="left" w:pos="2115"/>
        </w:tabs>
        <w:adjustRightInd w:val="0"/>
        <w:snapToGrid w:val="0"/>
        <w:spacing w:line="360" w:lineRule="auto"/>
        <w:ind w:firstLine="420" w:firstLineChars="200"/>
        <w:rPr>
          <w:rFonts w:ascii="宋体" w:hAnsi="宋体" w:cs="宋体"/>
          <w:szCs w:val="21"/>
        </w:rPr>
      </w:pPr>
      <w:r>
        <w:rPr>
          <w:rFonts w:hint="eastAsia" w:ascii="宋体" w:hAnsi="宋体" w:cs="宋体"/>
          <w:szCs w:val="21"/>
        </w:rPr>
        <w:t>（二）严格执行的合同文件（以下称“主合同”），自觉按合同办事。</w:t>
      </w:r>
    </w:p>
    <w:p>
      <w:pPr>
        <w:tabs>
          <w:tab w:val="left" w:pos="2115"/>
        </w:tabs>
        <w:adjustRightInd w:val="0"/>
        <w:snapToGrid w:val="0"/>
        <w:spacing w:line="360" w:lineRule="auto"/>
        <w:ind w:firstLine="420" w:firstLineChars="200"/>
        <w:rPr>
          <w:rFonts w:ascii="宋体" w:hAnsi="宋体" w:cs="宋体"/>
          <w:szCs w:val="21"/>
        </w:rPr>
      </w:pPr>
      <w:r>
        <w:rPr>
          <w:rFonts w:hint="eastAsia" w:ascii="宋体" w:hAnsi="宋体" w:cs="宋体"/>
          <w:szCs w:val="21"/>
        </w:rPr>
        <w:t>（三）双方的业务活动坚持公开、公正、诚信、透明的原则（除法律认定的商业秘密和合同文件另有规定之外），不得损害国家和集体利益，违反相关法律法规及规章制度。</w:t>
      </w:r>
    </w:p>
    <w:p>
      <w:pPr>
        <w:tabs>
          <w:tab w:val="left" w:pos="2115"/>
        </w:tabs>
        <w:adjustRightInd w:val="0"/>
        <w:snapToGrid w:val="0"/>
        <w:spacing w:line="360" w:lineRule="auto"/>
        <w:ind w:firstLine="420" w:firstLineChars="200"/>
        <w:rPr>
          <w:rFonts w:ascii="宋体" w:hAnsi="宋体" w:cs="宋体"/>
          <w:szCs w:val="21"/>
        </w:rPr>
      </w:pPr>
      <w:r>
        <w:rPr>
          <w:rFonts w:hint="eastAsia" w:ascii="宋体" w:hAnsi="宋体" w:cs="宋体"/>
          <w:szCs w:val="21"/>
        </w:rPr>
        <w:t>（四）建立健全廉政制度，开展廉政教育，设立廉政告示牌，公布举报电话，监督并认真查处违法违纪行为。</w:t>
      </w:r>
    </w:p>
    <w:p>
      <w:pPr>
        <w:tabs>
          <w:tab w:val="left" w:pos="2115"/>
        </w:tabs>
        <w:adjustRightInd w:val="0"/>
        <w:snapToGrid w:val="0"/>
        <w:spacing w:line="360" w:lineRule="auto"/>
        <w:ind w:firstLine="420" w:firstLineChars="200"/>
        <w:rPr>
          <w:rFonts w:ascii="宋体" w:hAnsi="宋体" w:cs="宋体"/>
          <w:szCs w:val="21"/>
        </w:rPr>
      </w:pPr>
      <w:r>
        <w:rPr>
          <w:rFonts w:hint="eastAsia" w:ascii="宋体" w:hAnsi="宋体" w:cs="宋体"/>
          <w:szCs w:val="21"/>
        </w:rPr>
        <w:t>（五）发现对方在业务活动中有违反廉政规定的行为，有及时提醒对方纠正的权利和义务。</w:t>
      </w:r>
    </w:p>
    <w:p>
      <w:pPr>
        <w:tabs>
          <w:tab w:val="left" w:pos="2115"/>
        </w:tabs>
        <w:adjustRightInd w:val="0"/>
        <w:snapToGrid w:val="0"/>
        <w:spacing w:line="360" w:lineRule="auto"/>
        <w:ind w:firstLine="420" w:firstLineChars="200"/>
        <w:rPr>
          <w:rFonts w:ascii="宋体" w:hAnsi="宋体" w:cs="宋体"/>
          <w:szCs w:val="21"/>
        </w:rPr>
      </w:pPr>
      <w:r>
        <w:rPr>
          <w:rFonts w:hint="eastAsia" w:ascii="宋体" w:hAnsi="宋体" w:cs="宋体"/>
          <w:szCs w:val="21"/>
        </w:rPr>
        <w:t>（六）发现对方严重违反本合同义务条款的行为，有向其上级有关部门举报、建议给予处理并要求告知处理结果的权利。</w:t>
      </w:r>
    </w:p>
    <w:p>
      <w:pPr>
        <w:adjustRightInd w:val="0"/>
        <w:snapToGrid w:val="0"/>
        <w:spacing w:line="360" w:lineRule="auto"/>
        <w:ind w:firstLine="422" w:firstLineChars="200"/>
        <w:rPr>
          <w:rFonts w:ascii="宋体" w:hAnsi="宋体" w:cs="宋体"/>
          <w:b/>
          <w:szCs w:val="21"/>
        </w:rPr>
      </w:pPr>
      <w:bookmarkStart w:id="328" w:name="_Toc59900970"/>
      <w:bookmarkStart w:id="329" w:name="_Toc59896702"/>
      <w:r>
        <w:rPr>
          <w:rFonts w:hint="eastAsia" w:ascii="宋体" w:hAnsi="宋体" w:cs="宋体"/>
          <w:b/>
          <w:szCs w:val="21"/>
        </w:rPr>
        <w:t>第二条 的义务</w:t>
      </w:r>
      <w:bookmarkEnd w:id="328"/>
      <w:bookmarkEnd w:id="329"/>
    </w:p>
    <w:p>
      <w:pPr>
        <w:tabs>
          <w:tab w:val="left" w:pos="0"/>
          <w:tab w:val="left" w:pos="2115"/>
        </w:tabs>
        <w:adjustRightInd w:val="0"/>
        <w:snapToGrid w:val="0"/>
        <w:spacing w:line="360" w:lineRule="auto"/>
        <w:ind w:firstLine="420" w:firstLineChars="200"/>
        <w:rPr>
          <w:rFonts w:ascii="宋体" w:hAnsi="宋体" w:cs="宋体"/>
          <w:szCs w:val="21"/>
        </w:rPr>
      </w:pPr>
      <w:r>
        <w:rPr>
          <w:rFonts w:hint="eastAsia" w:ascii="宋体" w:hAnsi="宋体" w:cs="宋体"/>
          <w:szCs w:val="21"/>
        </w:rPr>
        <w:t>（一）及其工作人员不得索要或接受乙方的礼金、有价证券和贵重物品，不得在乙方报销任何应由或个人支付的费用等。</w:t>
      </w:r>
    </w:p>
    <w:p>
      <w:pPr>
        <w:tabs>
          <w:tab w:val="left" w:pos="0"/>
          <w:tab w:val="left" w:pos="2115"/>
        </w:tabs>
        <w:adjustRightInd w:val="0"/>
        <w:snapToGrid w:val="0"/>
        <w:spacing w:line="360" w:lineRule="auto"/>
        <w:ind w:firstLine="420" w:firstLineChars="200"/>
        <w:rPr>
          <w:rFonts w:ascii="宋体" w:hAnsi="宋体" w:cs="宋体"/>
          <w:szCs w:val="21"/>
        </w:rPr>
      </w:pPr>
      <w:r>
        <w:rPr>
          <w:rFonts w:hint="eastAsia" w:ascii="宋体" w:hAnsi="宋体" w:cs="宋体"/>
          <w:szCs w:val="21"/>
        </w:rPr>
        <w:t>（二）工作人员不得参加乙方安排的超标准宴请和娱乐活动；不得接受乙方提供的通讯工具、交通工具和高档办公用品等。</w:t>
      </w:r>
    </w:p>
    <w:p>
      <w:pPr>
        <w:tabs>
          <w:tab w:val="left" w:pos="0"/>
          <w:tab w:val="left" w:pos="2115"/>
        </w:tabs>
        <w:adjustRightInd w:val="0"/>
        <w:snapToGrid w:val="0"/>
        <w:spacing w:line="360" w:lineRule="auto"/>
        <w:ind w:firstLine="420" w:firstLineChars="200"/>
        <w:rPr>
          <w:rFonts w:ascii="宋体" w:hAnsi="宋体" w:cs="宋体"/>
          <w:szCs w:val="21"/>
        </w:rPr>
      </w:pPr>
      <w:r>
        <w:rPr>
          <w:rFonts w:hint="eastAsia" w:ascii="宋体" w:hAnsi="宋体" w:cs="宋体"/>
          <w:szCs w:val="21"/>
        </w:rPr>
        <w:t>（三）及其工作人员不得要求或者接受乙方为其住房装修、婚丧嫁娶活动、配偶子女的工作安排以及出国出境、旅游等提供方便等。</w:t>
      </w:r>
    </w:p>
    <w:p>
      <w:pPr>
        <w:adjustRightInd w:val="0"/>
        <w:snapToGrid w:val="0"/>
        <w:spacing w:line="360" w:lineRule="auto"/>
        <w:ind w:firstLine="422" w:firstLineChars="200"/>
        <w:rPr>
          <w:rFonts w:ascii="宋体" w:hAnsi="宋体" w:cs="宋体"/>
          <w:b/>
          <w:szCs w:val="21"/>
        </w:rPr>
      </w:pPr>
      <w:bookmarkStart w:id="330" w:name="_Toc59896703"/>
      <w:bookmarkStart w:id="331" w:name="_Toc59900971"/>
      <w:r>
        <w:rPr>
          <w:rFonts w:hint="eastAsia" w:ascii="宋体" w:hAnsi="宋体" w:cs="宋体"/>
          <w:b/>
          <w:szCs w:val="21"/>
        </w:rPr>
        <w:t>第三条 乙方的义务</w:t>
      </w:r>
      <w:bookmarkEnd w:id="330"/>
      <w:bookmarkEnd w:id="331"/>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（一）乙方不得以任何理由向及其工作人员行贿或馈赠礼金、有价证券、贵重礼品。</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（二）乙方不得以任何名义为及其工作人员报销应由单位或个人支付的任何费用。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（三）乙方不得以任何理由安排工作人员参加超标准宴请及娱乐活动。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（四）乙方不得为单位和个人购置或提供通讯工具、交通工具和高档办公用品等。</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第四条 违约责任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（一）及其工作人员违反本合同第一、二条，按管理权限，依据有关规定给予党纪、政纪或组织处理，调离其工作岗位；涉嫌犯罪的，移交司法机关追究刑事责任；给乙方单位造成经济损失的，应予以赔偿。</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乙方及其工作人员违反本合同第一、三条，按管理权限，依据有关规定，给予党纪、政纪或组织处理；给单位造成经济损失的，应予以赔偿；情节严重的，可以单方终止与乙方的合同，并给予乙方三年内不得对组织的所有项目进行投标的处罚。</w:t>
      </w:r>
    </w:p>
    <w:p>
      <w:pPr>
        <w:adjustRightInd w:val="0"/>
        <w:snapToGrid w:val="0"/>
        <w:spacing w:line="360" w:lineRule="auto"/>
        <w:ind w:firstLine="422" w:firstLineChars="200"/>
        <w:rPr>
          <w:rFonts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双方约定：本合同由双方或双方上级单位的纪检监察机关负责监督执行。由或上级单位的纪检监察机关约请乙方或乙方上级单位纪检监察机关对本合同执行情况进行检查；提出在本合同约定范围内的裁定意见。</w:t>
      </w:r>
    </w:p>
    <w:p>
      <w:pPr>
        <w:adjustRightInd w:val="0"/>
        <w:snapToGrid w:val="0"/>
        <w:spacing w:line="360" w:lineRule="auto"/>
        <w:ind w:firstLine="422" w:firstLineChars="200"/>
        <w:rPr>
          <w:rFonts w:ascii="宋体" w:hAnsi="宋体" w:cs="宋体"/>
          <w:szCs w:val="21"/>
        </w:rPr>
      </w:pPr>
      <w:r>
        <w:rPr>
          <w:rFonts w:hint="eastAsia" w:ascii="宋体" w:hAnsi="宋体" w:cs="宋体"/>
          <w:b/>
          <w:szCs w:val="21"/>
        </w:rPr>
        <w:t>第六条</w:t>
      </w:r>
      <w:r>
        <w:rPr>
          <w:rFonts w:hint="eastAsia" w:ascii="宋体" w:hAnsi="宋体" w:cs="宋体"/>
          <w:szCs w:val="21"/>
        </w:rPr>
        <w:t xml:space="preserve"> 本合同有效期为甲乙双方签署之日起至主合同完全履行完毕之日止。</w:t>
      </w:r>
    </w:p>
    <w:p>
      <w:pPr>
        <w:adjustRightInd w:val="0"/>
        <w:snapToGrid w:val="0"/>
        <w:spacing w:line="360" w:lineRule="auto"/>
        <w:ind w:firstLine="422" w:firstLineChars="200"/>
        <w:rPr>
          <w:rFonts w:ascii="宋体" w:hAnsi="宋体" w:cs="宋体"/>
          <w:szCs w:val="21"/>
        </w:rPr>
      </w:pPr>
      <w:r>
        <w:rPr>
          <w:rFonts w:hint="eastAsia" w:ascii="宋体" w:hAnsi="宋体" w:cs="宋体"/>
          <w:b/>
          <w:szCs w:val="21"/>
        </w:rPr>
        <w:t>第七条</w:t>
      </w:r>
      <w:r>
        <w:rPr>
          <w:rFonts w:hint="eastAsia" w:ascii="宋体" w:hAnsi="宋体" w:cs="宋体"/>
          <w:szCs w:val="21"/>
        </w:rPr>
        <w:t xml:space="preserve"> 本合同作为主合同的附件，与主合同具有同等的法律效力，经甲乙双方及双方的监督单位签署立即生效。</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第八条</w:t>
      </w:r>
      <w:r>
        <w:rPr>
          <w:rFonts w:hint="eastAsia" w:ascii="宋体" w:hAnsi="宋体" w:cs="宋体"/>
          <w:szCs w:val="21"/>
        </w:rPr>
        <w:t>发现有违反相关要求的，可通过以下途径举报：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（1）监督举报电话（限短信方式）：</w:t>
      </w:r>
      <w:r>
        <w:rPr>
          <w:rFonts w:hint="eastAsia" w:ascii="宋体" w:hAnsi="宋体" w:cs="宋体"/>
          <w:color w:val="000000"/>
          <w:szCs w:val="21"/>
        </w:rPr>
        <w:t>15367896029，15367896120</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（2）举报邮箱：yygsjbyx2015@163.com。</w:t>
      </w:r>
    </w:p>
    <w:p>
      <w:pPr>
        <w:adjustRightInd w:val="0"/>
        <w:snapToGrid w:val="0"/>
        <w:spacing w:line="360" w:lineRule="auto"/>
        <w:rPr>
          <w:rFonts w:ascii="宋体" w:hAnsi="宋体" w:cs="宋体"/>
          <w:szCs w:val="21"/>
        </w:rPr>
      </w:pPr>
    </w:p>
    <w:p>
      <w:pPr>
        <w:adjustRightInd w:val="0"/>
        <w:snapToGrid w:val="0"/>
        <w:spacing w:line="360" w:lineRule="auto"/>
        <w:ind w:firstLine="420" w:firstLineChars="200"/>
        <w:rPr>
          <w:rFonts w:ascii="宋体" w:hAnsi="宋体" w:cs="宋体"/>
          <w:bCs/>
          <w:szCs w:val="21"/>
          <w:u w:val="single"/>
        </w:rPr>
      </w:pPr>
      <w:r>
        <w:rPr>
          <w:rFonts w:hint="eastAsia" w:ascii="宋体" w:hAnsi="宋体" w:cs="宋体"/>
          <w:bCs/>
          <w:szCs w:val="21"/>
        </w:rPr>
        <w:t>单位：</w:t>
      </w:r>
      <w:r>
        <w:rPr>
          <w:rFonts w:hint="eastAsia" w:ascii="宋体" w:hAnsi="宋体" w:cs="宋体"/>
          <w:bCs/>
          <w:szCs w:val="21"/>
          <w:u w:val="single"/>
        </w:rPr>
        <w:t xml:space="preserve">  （盖章）   </w:t>
      </w:r>
      <w:r>
        <w:rPr>
          <w:rFonts w:hint="eastAsia" w:ascii="宋体" w:hAnsi="宋体" w:cs="宋体"/>
          <w:bCs/>
          <w:szCs w:val="21"/>
        </w:rPr>
        <w:t xml:space="preserve">                   乙方单位：</w:t>
      </w:r>
      <w:r>
        <w:rPr>
          <w:rFonts w:hint="eastAsia" w:ascii="宋体" w:hAnsi="宋体" w:cs="宋体"/>
          <w:bCs/>
          <w:szCs w:val="21"/>
          <w:u w:val="single"/>
        </w:rPr>
        <w:t xml:space="preserve"> （盖章）    </w:t>
      </w:r>
    </w:p>
    <w:p>
      <w:pPr>
        <w:adjustRightInd w:val="0"/>
        <w:snapToGrid w:val="0"/>
        <w:spacing w:line="360" w:lineRule="auto"/>
        <w:ind w:firstLine="420" w:firstLineChars="200"/>
        <w:rPr>
          <w:rFonts w:ascii="宋体" w:hAnsi="宋体" w:cs="宋体"/>
          <w:bCs/>
          <w:szCs w:val="21"/>
          <w:u w:val="single"/>
        </w:rPr>
      </w:pPr>
      <w:r>
        <w:rPr>
          <w:rFonts w:hint="eastAsia" w:ascii="宋体" w:hAnsi="宋体" w:cs="宋体"/>
          <w:bCs/>
          <w:szCs w:val="21"/>
        </w:rPr>
        <w:t>法定代表人或授权代表（签字）：         法定代表人或授权代表（签字）：</w:t>
      </w:r>
    </w:p>
    <w:p>
      <w:pPr>
        <w:adjustRightInd w:val="0"/>
        <w:snapToGrid w:val="0"/>
        <w:spacing w:line="360" w:lineRule="auto"/>
        <w:ind w:firstLine="420" w:firstLineChars="200"/>
        <w:rPr>
          <w:rFonts w:ascii="宋体" w:hAnsi="宋体" w:cs="宋体"/>
          <w:bCs/>
          <w:szCs w:val="21"/>
        </w:rPr>
      </w:pPr>
    </w:p>
    <w:p>
      <w:pPr>
        <w:adjustRightInd w:val="0"/>
        <w:snapToGrid w:val="0"/>
        <w:spacing w:line="360" w:lineRule="auto"/>
        <w:ind w:firstLine="420" w:firstLineChars="200"/>
        <w:rPr>
          <w:rFonts w:ascii="宋体" w:hAnsi="宋体" w:cs="宋体"/>
          <w:bCs/>
          <w:szCs w:val="21"/>
          <w:u w:val="single"/>
        </w:rPr>
      </w:pPr>
      <w:r>
        <w:rPr>
          <w:rFonts w:hint="eastAsia" w:ascii="宋体" w:hAnsi="宋体" w:cs="宋体"/>
          <w:bCs/>
          <w:szCs w:val="21"/>
        </w:rPr>
        <w:t>电  话：                              电  话：</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监督单位：</w:t>
      </w:r>
      <w:r>
        <w:rPr>
          <w:rFonts w:hint="eastAsia" w:ascii="宋体" w:hAnsi="宋体" w:cs="宋体"/>
          <w:bCs/>
          <w:szCs w:val="21"/>
          <w:u w:val="single"/>
        </w:rPr>
        <w:t xml:space="preserve">（盖章） </w:t>
      </w:r>
      <w:r>
        <w:rPr>
          <w:rFonts w:hint="eastAsia" w:ascii="宋体" w:hAnsi="宋体" w:cs="宋体"/>
          <w:bCs/>
          <w:szCs w:val="21"/>
        </w:rPr>
        <w:t xml:space="preserve">                    乙方监督单位：</w:t>
      </w:r>
      <w:r>
        <w:rPr>
          <w:rFonts w:hint="eastAsia" w:ascii="宋体" w:hAnsi="宋体" w:cs="宋体"/>
          <w:bCs/>
          <w:szCs w:val="21"/>
          <w:u w:val="single"/>
        </w:rPr>
        <w:t xml:space="preserve">（盖章） </w:t>
      </w:r>
    </w:p>
    <w:p>
      <w:pPr>
        <w:pStyle w:val="14"/>
        <w:tabs>
          <w:tab w:val="left" w:pos="720"/>
        </w:tabs>
        <w:snapToGrid w:val="0"/>
        <w:spacing w:line="360" w:lineRule="auto"/>
        <w:ind w:firstLine="0"/>
        <w:rPr>
          <w:rFonts w:ascii="宋体" w:hAnsi="宋体" w:cs="宋体"/>
          <w:b/>
          <w:sz w:val="21"/>
          <w:szCs w:val="21"/>
        </w:rPr>
      </w:pPr>
      <w:r>
        <w:rPr>
          <w:rFonts w:hint="eastAsia" w:ascii="宋体" w:hAnsi="宋体" w:cs="宋体"/>
          <w:b/>
          <w:sz w:val="21"/>
          <w:szCs w:val="21"/>
        </w:rPr>
        <w:br w:type="page"/>
      </w:r>
      <w:bookmarkStart w:id="332" w:name="_Toc20752171"/>
      <w:bookmarkStart w:id="333" w:name="_Toc811"/>
      <w:bookmarkStart w:id="334" w:name="_Toc14943"/>
      <w:r>
        <w:rPr>
          <w:rFonts w:hint="eastAsia" w:ascii="宋体" w:hAnsi="宋体" w:cs="宋体"/>
          <w:b/>
          <w:sz w:val="21"/>
          <w:szCs w:val="21"/>
        </w:rPr>
        <w:t xml:space="preserve">附件2 </w:t>
      </w:r>
      <w:bookmarkStart w:id="335" w:name="_Toc493574715"/>
      <w:r>
        <w:rPr>
          <w:rFonts w:hint="eastAsia" w:ascii="宋体" w:hAnsi="宋体" w:cs="宋体"/>
          <w:b/>
          <w:sz w:val="21"/>
          <w:szCs w:val="21"/>
        </w:rPr>
        <w:t>签约合同价清单</w:t>
      </w:r>
      <w:bookmarkEnd w:id="332"/>
      <w:bookmarkEnd w:id="335"/>
    </w:p>
    <w:tbl>
      <w:tblPr>
        <w:tblStyle w:val="46"/>
        <w:tblW w:w="89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3588"/>
        <w:gridCol w:w="4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4" w:hRule="atLeast"/>
        </w:trPr>
        <w:tc>
          <w:tcPr>
            <w:tcW w:w="773" w:type="dxa"/>
            <w:vAlign w:val="center"/>
          </w:tcPr>
          <w:p>
            <w:pPr>
              <w:spacing w:line="0" w:lineRule="atLeast"/>
              <w:jc w:val="center"/>
              <w:rPr>
                <w:rFonts w:ascii="宋体" w:hAnsi="宋体" w:cs="宋体"/>
                <w:szCs w:val="21"/>
              </w:rPr>
            </w:pPr>
            <w:bookmarkStart w:id="336" w:name="_Toc493574717"/>
            <w:r>
              <w:rPr>
                <w:rFonts w:hint="eastAsia" w:ascii="宋体" w:hAnsi="宋体" w:cs="宋体"/>
                <w:szCs w:val="21"/>
              </w:rPr>
              <w:t>序号</w:t>
            </w:r>
          </w:p>
        </w:tc>
        <w:tc>
          <w:tcPr>
            <w:tcW w:w="3588" w:type="dxa"/>
            <w:vAlign w:val="center"/>
          </w:tcPr>
          <w:p>
            <w:pPr>
              <w:spacing w:line="0" w:lineRule="atLeast"/>
              <w:jc w:val="center"/>
              <w:rPr>
                <w:rFonts w:ascii="宋体" w:hAnsi="宋体" w:cs="宋体"/>
                <w:szCs w:val="21"/>
              </w:rPr>
            </w:pPr>
            <w:r>
              <w:rPr>
                <w:rFonts w:hint="eastAsia" w:ascii="宋体" w:hAnsi="宋体" w:cs="宋体"/>
                <w:szCs w:val="21"/>
              </w:rPr>
              <w:t>内  容</w:t>
            </w:r>
          </w:p>
        </w:tc>
        <w:tc>
          <w:tcPr>
            <w:tcW w:w="4594" w:type="dxa"/>
            <w:vAlign w:val="center"/>
          </w:tcPr>
          <w:p>
            <w:pPr>
              <w:spacing w:line="0" w:lineRule="atLeast"/>
              <w:jc w:val="center"/>
              <w:rPr>
                <w:rFonts w:ascii="宋体" w:hAnsi="宋体" w:cs="宋体"/>
                <w:szCs w:val="21"/>
              </w:rPr>
            </w:pPr>
            <w:r>
              <w:rPr>
                <w:rFonts w:hint="eastAsia" w:ascii="宋体" w:hAnsi="宋体" w:cs="宋体"/>
                <w:szCs w:val="21"/>
              </w:rPr>
              <w:t>报   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773" w:type="dxa"/>
            <w:vAlign w:val="center"/>
          </w:tcPr>
          <w:p>
            <w:pPr>
              <w:spacing w:line="0" w:lineRule="atLeast"/>
              <w:jc w:val="center"/>
              <w:rPr>
                <w:rFonts w:ascii="宋体" w:hAnsi="宋体" w:cs="宋体"/>
                <w:szCs w:val="21"/>
              </w:rPr>
            </w:pPr>
            <w:r>
              <w:rPr>
                <w:rFonts w:hint="eastAsia" w:ascii="宋体" w:hAnsi="宋体" w:cs="宋体"/>
                <w:szCs w:val="21"/>
              </w:rPr>
              <w:t>1</w:t>
            </w:r>
          </w:p>
        </w:tc>
        <w:tc>
          <w:tcPr>
            <w:tcW w:w="3588" w:type="dxa"/>
            <w:vAlign w:val="center"/>
          </w:tcPr>
          <w:p>
            <w:pPr>
              <w:spacing w:line="0" w:lineRule="atLeast"/>
              <w:jc w:val="center"/>
              <w:rPr>
                <w:rFonts w:ascii="宋体" w:hAnsi="宋体" w:cs="宋体"/>
                <w:szCs w:val="21"/>
              </w:rPr>
            </w:pPr>
            <w:r>
              <w:rPr>
                <w:rFonts w:hint="eastAsia" w:ascii="宋体" w:hAnsi="宋体" w:cs="宋体"/>
                <w:szCs w:val="21"/>
              </w:rPr>
              <w:t>车辆维修工时单价报价</w:t>
            </w:r>
          </w:p>
        </w:tc>
        <w:tc>
          <w:tcPr>
            <w:tcW w:w="4594" w:type="dxa"/>
            <w:vAlign w:val="center"/>
          </w:tcPr>
          <w:p>
            <w:pPr>
              <w:spacing w:line="0" w:lineRule="atLeast"/>
              <w:jc w:val="center"/>
              <w:rPr>
                <w:rFonts w:ascii="宋体" w:hAnsi="宋体" w:cs="宋体"/>
                <w:szCs w:val="21"/>
              </w:rPr>
            </w:pPr>
            <w:r>
              <w:rPr>
                <w:rFonts w:hint="eastAsia" w:ascii="宋体" w:hAnsi="宋体" w:cs="宋体"/>
                <w:szCs w:val="21"/>
              </w:rPr>
              <w:t>各工种工时单价为元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773" w:type="dxa"/>
            <w:vAlign w:val="center"/>
          </w:tcPr>
          <w:p>
            <w:pPr>
              <w:spacing w:line="0" w:lineRule="atLeast"/>
              <w:jc w:val="center"/>
              <w:rPr>
                <w:rFonts w:ascii="宋体" w:hAnsi="宋体" w:cs="宋体"/>
                <w:szCs w:val="21"/>
              </w:rPr>
            </w:pPr>
            <w:r>
              <w:rPr>
                <w:rFonts w:hint="eastAsia" w:ascii="宋体" w:hAnsi="宋体" w:cs="宋体"/>
                <w:szCs w:val="21"/>
              </w:rPr>
              <w:t>2</w:t>
            </w:r>
          </w:p>
        </w:tc>
        <w:tc>
          <w:tcPr>
            <w:tcW w:w="3588" w:type="dxa"/>
            <w:vAlign w:val="center"/>
          </w:tcPr>
          <w:p>
            <w:pPr>
              <w:spacing w:line="0" w:lineRule="atLeast"/>
              <w:jc w:val="center"/>
              <w:rPr>
                <w:rFonts w:ascii="宋体" w:hAnsi="宋体" w:cs="宋体"/>
                <w:szCs w:val="21"/>
              </w:rPr>
            </w:pPr>
            <w:r>
              <w:rPr>
                <w:rFonts w:hint="eastAsia" w:ascii="宋体" w:hAnsi="宋体" w:cs="宋体"/>
                <w:szCs w:val="21"/>
              </w:rPr>
              <w:t>维修材料管理费（即配件进销差价）收费比例</w:t>
            </w:r>
          </w:p>
        </w:tc>
        <w:tc>
          <w:tcPr>
            <w:tcW w:w="4594" w:type="dxa"/>
            <w:vAlign w:val="center"/>
          </w:tcPr>
          <w:p>
            <w:pPr>
              <w:spacing w:line="0" w:lineRule="atLeast"/>
              <w:jc w:val="center"/>
              <w:rPr>
                <w:rFonts w:ascii="宋体" w:hAnsi="宋体" w:cs="宋体"/>
                <w:szCs w:val="21"/>
              </w:rPr>
            </w:pPr>
            <w:r>
              <w:rPr>
                <w:rFonts w:hint="eastAsia" w:ascii="宋体" w:hAnsi="宋体" w:cs="宋体"/>
                <w:szCs w:val="21"/>
              </w:rPr>
              <w:t>按维修材料费的％计算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773" w:type="dxa"/>
            <w:vAlign w:val="center"/>
          </w:tcPr>
          <w:p>
            <w:pPr>
              <w:spacing w:line="0" w:lineRule="atLeast"/>
              <w:jc w:val="center"/>
              <w:rPr>
                <w:rFonts w:ascii="宋体" w:hAnsi="宋体" w:cs="宋体"/>
                <w:szCs w:val="21"/>
              </w:rPr>
            </w:pPr>
            <w:r>
              <w:rPr>
                <w:rFonts w:hint="eastAsia" w:ascii="宋体" w:hAnsi="宋体" w:cs="宋体"/>
                <w:szCs w:val="21"/>
              </w:rPr>
              <w:t>3</w:t>
            </w:r>
          </w:p>
        </w:tc>
        <w:tc>
          <w:tcPr>
            <w:tcW w:w="3588" w:type="dxa"/>
            <w:vAlign w:val="center"/>
          </w:tcPr>
          <w:p>
            <w:pPr>
              <w:spacing w:line="0" w:lineRule="atLeast"/>
              <w:jc w:val="center"/>
              <w:rPr>
                <w:rFonts w:ascii="宋体" w:hAnsi="宋体" w:cs="宋体"/>
                <w:szCs w:val="21"/>
              </w:rPr>
            </w:pPr>
            <w:r>
              <w:rPr>
                <w:rFonts w:hint="eastAsia" w:ascii="宋体" w:hAnsi="宋体" w:cs="宋体"/>
                <w:szCs w:val="21"/>
              </w:rPr>
              <w:t>维修材料费</w:t>
            </w:r>
          </w:p>
        </w:tc>
        <w:tc>
          <w:tcPr>
            <w:tcW w:w="4594" w:type="dxa"/>
            <w:vAlign w:val="center"/>
          </w:tcPr>
          <w:p>
            <w:pPr>
              <w:spacing w:line="0" w:lineRule="atLeast"/>
              <w:jc w:val="center"/>
              <w:rPr>
                <w:rFonts w:ascii="宋体" w:hAnsi="宋体" w:cs="宋体"/>
                <w:szCs w:val="21"/>
              </w:rPr>
            </w:pPr>
            <w:r>
              <w:rPr>
                <w:rFonts w:hint="eastAsia" w:ascii="宋体" w:hAnsi="宋体" w:cs="宋体"/>
                <w:szCs w:val="21"/>
                <w:u w:val="single"/>
              </w:rPr>
              <w:t>不高于同期市场价格</w:t>
            </w:r>
          </w:p>
        </w:tc>
      </w:tr>
    </w:tbl>
    <w:p>
      <w:pPr>
        <w:pStyle w:val="14"/>
        <w:tabs>
          <w:tab w:val="left" w:pos="720"/>
        </w:tabs>
        <w:snapToGrid w:val="0"/>
        <w:spacing w:line="360" w:lineRule="auto"/>
        <w:ind w:firstLine="0"/>
        <w:rPr>
          <w:rFonts w:ascii="宋体" w:hAnsi="宋体" w:cs="宋体"/>
          <w:b/>
          <w:sz w:val="21"/>
          <w:szCs w:val="21"/>
        </w:rPr>
      </w:pPr>
    </w:p>
    <w:p>
      <w:pPr>
        <w:pStyle w:val="14"/>
        <w:tabs>
          <w:tab w:val="left" w:pos="720"/>
        </w:tabs>
        <w:snapToGrid w:val="0"/>
        <w:spacing w:line="360" w:lineRule="auto"/>
        <w:ind w:firstLine="0"/>
        <w:rPr>
          <w:rFonts w:ascii="宋体" w:hAnsi="宋体" w:cs="宋体"/>
          <w:b/>
          <w:sz w:val="21"/>
          <w:szCs w:val="21"/>
        </w:rPr>
      </w:pPr>
      <w:bookmarkStart w:id="337" w:name="_Toc20752172"/>
      <w:r>
        <w:rPr>
          <w:rFonts w:hint="eastAsia" w:ascii="宋体" w:hAnsi="宋体" w:cs="宋体"/>
          <w:b/>
          <w:sz w:val="21"/>
          <w:szCs w:val="21"/>
        </w:rPr>
        <w:t>附件3 澄清与答疑文件（如有）</w:t>
      </w:r>
      <w:bookmarkEnd w:id="336"/>
      <w:bookmarkEnd w:id="337"/>
    </w:p>
    <w:p>
      <w:pPr>
        <w:pStyle w:val="14"/>
        <w:tabs>
          <w:tab w:val="left" w:pos="720"/>
        </w:tabs>
        <w:snapToGrid w:val="0"/>
        <w:spacing w:line="360" w:lineRule="auto"/>
        <w:ind w:firstLine="0"/>
        <w:rPr>
          <w:rFonts w:ascii="宋体" w:hAnsi="宋体" w:cs="宋体"/>
          <w:b/>
          <w:sz w:val="21"/>
          <w:szCs w:val="21"/>
        </w:rPr>
      </w:pPr>
      <w:bookmarkStart w:id="338" w:name="_Toc20752173"/>
      <w:bookmarkStart w:id="339" w:name="_Toc493574718"/>
      <w:r>
        <w:rPr>
          <w:rFonts w:hint="eastAsia" w:ascii="宋体" w:hAnsi="宋体" w:cs="宋体"/>
          <w:b/>
          <w:sz w:val="21"/>
          <w:szCs w:val="21"/>
        </w:rPr>
        <w:t>附件4 控制价公示说明（如有）</w:t>
      </w:r>
      <w:bookmarkEnd w:id="338"/>
      <w:bookmarkEnd w:id="339"/>
    </w:p>
    <w:p>
      <w:pPr>
        <w:pStyle w:val="14"/>
        <w:tabs>
          <w:tab w:val="left" w:pos="720"/>
        </w:tabs>
        <w:snapToGrid w:val="0"/>
        <w:spacing w:line="360" w:lineRule="auto"/>
        <w:ind w:firstLine="0"/>
        <w:rPr>
          <w:rFonts w:ascii="宋体" w:hAnsi="宋体" w:cs="宋体"/>
          <w:b/>
          <w:sz w:val="21"/>
          <w:szCs w:val="21"/>
        </w:rPr>
      </w:pPr>
      <w:bookmarkStart w:id="340" w:name="_Toc493574719"/>
      <w:bookmarkStart w:id="341" w:name="_Toc20752174"/>
      <w:r>
        <w:rPr>
          <w:rFonts w:hint="eastAsia" w:ascii="宋体" w:hAnsi="宋体" w:cs="宋体"/>
          <w:b/>
          <w:sz w:val="21"/>
          <w:szCs w:val="21"/>
        </w:rPr>
        <w:t>附件</w:t>
      </w:r>
      <w:bookmarkEnd w:id="340"/>
      <w:r>
        <w:rPr>
          <w:rFonts w:hint="eastAsia" w:ascii="宋体" w:hAnsi="宋体" w:cs="宋体"/>
          <w:b/>
          <w:sz w:val="21"/>
          <w:szCs w:val="21"/>
        </w:rPr>
        <w:t>5 用户需求书/技术规格书</w:t>
      </w:r>
      <w:bookmarkEnd w:id="341"/>
    </w:p>
    <w:p>
      <w:pPr>
        <w:pStyle w:val="14"/>
        <w:tabs>
          <w:tab w:val="left" w:pos="720"/>
        </w:tabs>
        <w:snapToGrid w:val="0"/>
        <w:spacing w:line="360" w:lineRule="auto"/>
        <w:ind w:firstLine="0"/>
        <w:rPr>
          <w:rFonts w:ascii="宋体" w:hAnsi="宋体" w:cs="宋体"/>
          <w:b/>
          <w:sz w:val="21"/>
          <w:szCs w:val="21"/>
        </w:rPr>
      </w:pPr>
    </w:p>
    <w:p>
      <w:pPr>
        <w:pStyle w:val="14"/>
        <w:tabs>
          <w:tab w:val="left" w:pos="720"/>
        </w:tabs>
        <w:snapToGrid w:val="0"/>
        <w:spacing w:line="360" w:lineRule="auto"/>
        <w:ind w:firstLine="0"/>
        <w:rPr>
          <w:rFonts w:ascii="宋体" w:hAnsi="宋体" w:cs="宋体"/>
          <w:b/>
          <w:sz w:val="21"/>
          <w:szCs w:val="21"/>
        </w:rPr>
        <w:sectPr>
          <w:footerReference r:id="rId9" w:type="first"/>
          <w:footerReference r:id="rId8" w:type="default"/>
          <w:pgSz w:w="11850" w:h="16783"/>
          <w:pgMar w:top="1440" w:right="1361" w:bottom="1440" w:left="1474" w:header="851" w:footer="992" w:gutter="0"/>
          <w:cols w:space="720" w:num="1"/>
          <w:titlePg/>
          <w:docGrid w:type="lines" w:linePitch="312" w:charSpace="0"/>
        </w:sectPr>
      </w:pPr>
    </w:p>
    <w:bookmarkEnd w:id="333"/>
    <w:bookmarkEnd w:id="334"/>
    <w:p>
      <w:pPr>
        <w:adjustRightInd w:val="0"/>
        <w:snapToGrid w:val="0"/>
        <w:spacing w:line="360" w:lineRule="auto"/>
        <w:jc w:val="center"/>
        <w:rPr>
          <w:rFonts w:ascii="宋体" w:hAnsi="宋体" w:cs="宋体"/>
          <w:b/>
          <w:szCs w:val="21"/>
        </w:rPr>
      </w:pPr>
      <w:bookmarkStart w:id="342" w:name="_Toc2215"/>
      <w:bookmarkStart w:id="343" w:name="_Toc13807"/>
      <w:bookmarkStart w:id="344" w:name="_Toc28250"/>
      <w:bookmarkStart w:id="345" w:name="_Toc17255"/>
      <w:bookmarkStart w:id="346" w:name="_Toc24384"/>
      <w:bookmarkStart w:id="347" w:name="_Toc20926"/>
      <w:bookmarkStart w:id="348" w:name="_Toc18966"/>
      <w:bookmarkStart w:id="349" w:name="_Toc14454"/>
      <w:bookmarkStart w:id="350" w:name="_Toc6349"/>
      <w:bookmarkStart w:id="351" w:name="_Toc9442"/>
      <w:bookmarkStart w:id="352" w:name="_Toc31412"/>
      <w:bookmarkStart w:id="353" w:name="_Toc17117"/>
      <w:bookmarkStart w:id="354" w:name="_Toc17822"/>
      <w:bookmarkStart w:id="355" w:name="_Toc20752175"/>
      <w:bookmarkStart w:id="356" w:name="_Toc319826225"/>
      <w:r>
        <w:rPr>
          <w:rFonts w:hint="eastAsia" w:ascii="宋体" w:hAnsi="宋体" w:cs="宋体"/>
          <w:b/>
          <w:szCs w:val="21"/>
        </w:rPr>
        <w:t>第五部分 合同附录</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adjustRightInd w:val="0"/>
        <w:snapToGrid w:val="0"/>
        <w:spacing w:line="360" w:lineRule="auto"/>
        <w:rPr>
          <w:rFonts w:ascii="宋体" w:hAnsi="宋体" w:cs="宋体"/>
          <w:b/>
          <w:bCs/>
          <w:szCs w:val="21"/>
        </w:rPr>
      </w:pPr>
      <w:bookmarkStart w:id="357" w:name="_Toc1243"/>
      <w:bookmarkStart w:id="358" w:name="_Toc20137"/>
      <w:bookmarkStart w:id="359" w:name="_Toc30396"/>
      <w:bookmarkStart w:id="360" w:name="_Toc27339"/>
      <w:bookmarkStart w:id="361" w:name="_Toc13541"/>
      <w:bookmarkStart w:id="362" w:name="_Toc10903"/>
      <w:bookmarkStart w:id="363" w:name="_Toc8857"/>
      <w:bookmarkStart w:id="364" w:name="_Toc20752176"/>
      <w:bookmarkStart w:id="365" w:name="_Toc8938"/>
      <w:bookmarkStart w:id="366" w:name="_Toc16747"/>
      <w:bookmarkStart w:id="367" w:name="_Toc25204"/>
      <w:bookmarkStart w:id="368" w:name="_Toc6672"/>
      <w:bookmarkStart w:id="369" w:name="_Toc20623"/>
      <w:r>
        <w:rPr>
          <w:rFonts w:hint="eastAsia" w:ascii="宋体" w:hAnsi="宋体" w:cs="宋体"/>
          <w:b/>
          <w:bCs/>
          <w:szCs w:val="21"/>
        </w:rPr>
        <w:t>附录1：授权委托书（格式）</w:t>
      </w:r>
      <w:bookmarkEnd w:id="357"/>
      <w:bookmarkEnd w:id="358"/>
      <w:bookmarkEnd w:id="359"/>
      <w:bookmarkEnd w:id="360"/>
      <w:bookmarkEnd w:id="361"/>
      <w:bookmarkEnd w:id="362"/>
      <w:bookmarkEnd w:id="363"/>
      <w:bookmarkEnd w:id="364"/>
      <w:bookmarkEnd w:id="365"/>
      <w:bookmarkEnd w:id="366"/>
      <w:bookmarkEnd w:id="367"/>
      <w:bookmarkEnd w:id="368"/>
      <w:bookmarkEnd w:id="369"/>
    </w:p>
    <w:p>
      <w:pPr>
        <w:adjustRightInd w:val="0"/>
        <w:snapToGrid w:val="0"/>
        <w:spacing w:line="360" w:lineRule="auto"/>
        <w:jc w:val="center"/>
        <w:rPr>
          <w:rFonts w:ascii="宋体" w:hAnsi="宋体" w:cs="宋体"/>
          <w:b/>
          <w:szCs w:val="21"/>
        </w:rPr>
      </w:pPr>
    </w:p>
    <w:p>
      <w:pPr>
        <w:adjustRightInd w:val="0"/>
        <w:snapToGrid w:val="0"/>
        <w:spacing w:line="360" w:lineRule="auto"/>
        <w:jc w:val="center"/>
        <w:rPr>
          <w:rFonts w:ascii="宋体" w:hAnsi="宋体" w:cs="宋体"/>
          <w:b/>
          <w:szCs w:val="21"/>
        </w:rPr>
      </w:pPr>
      <w:bookmarkStart w:id="370" w:name="_Toc20752177"/>
      <w:r>
        <w:rPr>
          <w:rFonts w:hint="eastAsia" w:ascii="宋体" w:hAnsi="宋体" w:cs="宋体"/>
          <w:b/>
          <w:szCs w:val="21"/>
        </w:rPr>
        <w:t>授权委托书</w:t>
      </w:r>
      <w:bookmarkEnd w:id="370"/>
    </w:p>
    <w:p>
      <w:pPr>
        <w:adjustRightInd w:val="0"/>
        <w:snapToGrid w:val="0"/>
        <w:spacing w:line="360" w:lineRule="auto"/>
        <w:rPr>
          <w:rFonts w:ascii="宋体" w:hAnsi="宋体" w:cs="宋体"/>
          <w:b/>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授权书声明：注册于（国家名称）的（乙方全称）在下面签字的（法定代表人姓名、职务）代表本公司授权在下面签字的（被授权人的姓名、职务）为本公司的合法代表，就合同编号为的《合同》（以下简称“合同”）的签约、执行和质量保证期服务、售后服务期服务等，并以本公司名义处理一切与之有关的事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本授权书于年月日签字生效，特此声明。</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u w:val="single"/>
        </w:rPr>
      </w:pPr>
      <w:r>
        <w:rPr>
          <w:rFonts w:hint="eastAsia" w:ascii="宋体" w:hAnsi="宋体" w:cs="宋体"/>
          <w:szCs w:val="21"/>
        </w:rPr>
        <w:t>法定代表人签字：</w:t>
      </w:r>
    </w:p>
    <w:p>
      <w:pPr>
        <w:adjustRightInd w:val="0"/>
        <w:snapToGrid w:val="0"/>
        <w:spacing w:line="360" w:lineRule="auto"/>
        <w:rPr>
          <w:rFonts w:ascii="宋体" w:hAnsi="宋体" w:cs="宋体"/>
          <w:szCs w:val="21"/>
          <w:u w:val="single"/>
        </w:rPr>
      </w:pPr>
      <w:r>
        <w:rPr>
          <w:rFonts w:hint="eastAsia" w:ascii="宋体" w:hAnsi="宋体" w:cs="宋体"/>
          <w:szCs w:val="21"/>
        </w:rPr>
        <w:t>授权代表（被授权人，即授权代理人）签字：</w:t>
      </w:r>
    </w:p>
    <w:p>
      <w:pPr>
        <w:adjustRightInd w:val="0"/>
        <w:snapToGrid w:val="0"/>
        <w:spacing w:line="360" w:lineRule="auto"/>
        <w:rPr>
          <w:rFonts w:ascii="宋体" w:hAnsi="宋体" w:cs="宋体"/>
          <w:szCs w:val="21"/>
          <w:u w:val="single"/>
        </w:rPr>
      </w:pPr>
      <w:r>
        <w:rPr>
          <w:rFonts w:hint="eastAsia" w:ascii="宋体" w:hAnsi="宋体" w:cs="宋体"/>
          <w:szCs w:val="21"/>
        </w:rPr>
        <w:t>乙方全称（公章）：</w:t>
      </w:r>
    </w:p>
    <w:p>
      <w:pPr>
        <w:adjustRightInd w:val="0"/>
        <w:snapToGrid w:val="0"/>
        <w:spacing w:line="360" w:lineRule="auto"/>
        <w:rPr>
          <w:rFonts w:ascii="宋体" w:hAnsi="宋体" w:cs="宋体"/>
          <w:szCs w:val="21"/>
          <w:u w:val="single"/>
        </w:rPr>
      </w:pPr>
      <w:r>
        <w:rPr>
          <w:rFonts w:hint="eastAsia" w:ascii="宋体" w:hAnsi="宋体" w:cs="宋体"/>
          <w:szCs w:val="21"/>
        </w:rPr>
        <w:t>乙方地址：</w:t>
      </w:r>
    </w:p>
    <w:p>
      <w:pPr>
        <w:adjustRightInd w:val="0"/>
        <w:snapToGrid w:val="0"/>
        <w:spacing w:line="360" w:lineRule="auto"/>
        <w:rPr>
          <w:rFonts w:ascii="宋体" w:hAnsi="宋体" w:cs="宋体"/>
          <w:szCs w:val="21"/>
          <w:u w:val="single"/>
        </w:rPr>
      </w:pPr>
      <w:r>
        <w:rPr>
          <w:rFonts w:hint="eastAsia" w:ascii="宋体" w:hAnsi="宋体" w:cs="宋体"/>
          <w:szCs w:val="21"/>
        </w:rPr>
        <w:t>电     话：</w:t>
      </w:r>
    </w:p>
    <w:p>
      <w:pPr>
        <w:adjustRightInd w:val="0"/>
        <w:snapToGrid w:val="0"/>
        <w:spacing w:line="360" w:lineRule="auto"/>
        <w:rPr>
          <w:rFonts w:ascii="宋体" w:hAnsi="宋体" w:cs="宋体"/>
          <w:szCs w:val="21"/>
        </w:rPr>
      </w:pPr>
      <w:r>
        <w:rPr>
          <w:rFonts w:hint="eastAsia" w:ascii="宋体" w:hAnsi="宋体" w:cs="宋体"/>
          <w:szCs w:val="21"/>
        </w:rPr>
        <w:t>传     真：</w:t>
      </w:r>
    </w:p>
    <w:p>
      <w:pPr>
        <w:adjustRightInd w:val="0"/>
        <w:snapToGrid w:val="0"/>
        <w:spacing w:line="360" w:lineRule="auto"/>
        <w:rPr>
          <w:rFonts w:ascii="宋体" w:hAnsi="宋体" w:cs="宋体"/>
          <w:szCs w:val="21"/>
          <w:u w:val="single"/>
        </w:rPr>
      </w:pPr>
    </w:p>
    <w:p>
      <w:pPr>
        <w:adjustRightInd w:val="0"/>
        <w:snapToGrid w:val="0"/>
        <w:spacing w:line="360" w:lineRule="auto"/>
        <w:rPr>
          <w:rFonts w:ascii="宋体" w:hAnsi="宋体" w:cs="宋体"/>
          <w:b/>
          <w:szCs w:val="21"/>
        </w:rPr>
      </w:pPr>
      <w:r>
        <w:rPr>
          <w:rFonts w:hint="eastAsia" w:ascii="宋体" w:hAnsi="宋体" w:cs="宋体"/>
          <w:b/>
          <w:szCs w:val="21"/>
        </w:rPr>
        <w:t>附：</w:t>
      </w:r>
      <w:r>
        <w:rPr>
          <w:rFonts w:hint="eastAsia" w:ascii="宋体" w:hAnsi="宋体" w:cs="宋体"/>
          <w:szCs w:val="21"/>
        </w:rPr>
        <w:t>授权人的法定代表人证明材料复印件（加盖单位公章）、授权人和被授权人的身份证彩色影印件（加盖单位公章）</w:t>
      </w:r>
    </w:p>
    <w:p>
      <w:pPr>
        <w:adjustRightInd w:val="0"/>
        <w:snapToGrid w:val="0"/>
        <w:spacing w:line="360" w:lineRule="auto"/>
        <w:outlineLvl w:val="1"/>
        <w:rPr>
          <w:rFonts w:ascii="宋体" w:hAnsi="宋体" w:cs="宋体"/>
          <w:b/>
          <w:bCs/>
          <w:szCs w:val="21"/>
        </w:rPr>
        <w:sectPr>
          <w:footerReference r:id="rId10" w:type="default"/>
          <w:pgSz w:w="11906" w:h="16838"/>
          <w:pgMar w:top="1440" w:right="1800" w:bottom="1440" w:left="1800" w:header="851" w:footer="992" w:gutter="0"/>
          <w:cols w:space="720" w:num="1"/>
          <w:docGrid w:type="lines" w:linePitch="312" w:charSpace="0"/>
        </w:sectPr>
      </w:pPr>
      <w:bookmarkStart w:id="371" w:name="_Toc437444977"/>
      <w:bookmarkStart w:id="372" w:name="_Toc16781"/>
      <w:bookmarkStart w:id="373" w:name="_Toc319826226"/>
      <w:bookmarkStart w:id="374" w:name="_Toc209"/>
      <w:bookmarkStart w:id="375" w:name="_Toc31338"/>
      <w:bookmarkStart w:id="376" w:name="_Toc32410"/>
      <w:bookmarkStart w:id="377" w:name="_Toc12241"/>
      <w:bookmarkStart w:id="378" w:name="_Toc16069"/>
      <w:bookmarkStart w:id="379" w:name="_Toc32593"/>
      <w:bookmarkStart w:id="380" w:name="_Toc12472"/>
      <w:bookmarkStart w:id="381" w:name="_Toc20786"/>
      <w:bookmarkStart w:id="382" w:name="_Toc6255"/>
      <w:bookmarkStart w:id="383" w:name="_Toc6815"/>
      <w:bookmarkStart w:id="384" w:name="_Toc24234"/>
    </w:p>
    <w:p>
      <w:pPr>
        <w:adjustRightInd w:val="0"/>
        <w:snapToGrid w:val="0"/>
        <w:spacing w:line="360" w:lineRule="auto"/>
        <w:rPr>
          <w:rFonts w:ascii="宋体" w:hAnsi="宋体" w:cs="宋体"/>
          <w:b/>
          <w:bCs/>
          <w:szCs w:val="21"/>
        </w:rPr>
      </w:pPr>
      <w:bookmarkStart w:id="385" w:name="_Toc6936"/>
      <w:bookmarkStart w:id="386" w:name="_Toc20752178"/>
      <w:r>
        <w:rPr>
          <w:rFonts w:hint="eastAsia" w:ascii="宋体" w:hAnsi="宋体" w:cs="宋体"/>
          <w:b/>
          <w:bCs/>
          <w:szCs w:val="21"/>
        </w:rPr>
        <w:t>附录2：银行履约保函</w:t>
      </w:r>
      <w:bookmarkEnd w:id="371"/>
      <w:bookmarkEnd w:id="372"/>
      <w:bookmarkEnd w:id="373"/>
      <w:r>
        <w:rPr>
          <w:rFonts w:hint="eastAsia" w:ascii="宋体" w:hAnsi="宋体" w:cs="宋体"/>
          <w:b/>
          <w:bCs/>
          <w:szCs w:val="21"/>
        </w:rPr>
        <w:t>（格式）</w:t>
      </w:r>
      <w:bookmarkEnd w:id="374"/>
      <w:bookmarkEnd w:id="375"/>
      <w:bookmarkEnd w:id="376"/>
      <w:bookmarkEnd w:id="377"/>
      <w:bookmarkEnd w:id="378"/>
      <w:bookmarkEnd w:id="379"/>
      <w:bookmarkEnd w:id="380"/>
      <w:bookmarkEnd w:id="381"/>
      <w:bookmarkEnd w:id="382"/>
      <w:bookmarkEnd w:id="383"/>
      <w:bookmarkEnd w:id="384"/>
      <w:bookmarkEnd w:id="385"/>
      <w:bookmarkEnd w:id="386"/>
    </w:p>
    <w:p>
      <w:pPr>
        <w:adjustRightInd w:val="0"/>
        <w:snapToGrid w:val="0"/>
        <w:spacing w:line="360" w:lineRule="auto"/>
        <w:jc w:val="center"/>
        <w:rPr>
          <w:rFonts w:ascii="宋体" w:hAnsi="宋体" w:cs="宋体"/>
          <w:b/>
          <w:szCs w:val="21"/>
        </w:rPr>
      </w:pPr>
    </w:p>
    <w:p>
      <w:pPr>
        <w:adjustRightInd w:val="0"/>
        <w:snapToGrid w:val="0"/>
        <w:spacing w:line="360" w:lineRule="auto"/>
        <w:jc w:val="center"/>
        <w:rPr>
          <w:rFonts w:ascii="宋体" w:hAnsi="宋体" w:cs="宋体"/>
          <w:b/>
          <w:szCs w:val="21"/>
        </w:rPr>
      </w:pPr>
      <w:bookmarkStart w:id="387" w:name="_Toc20752179"/>
      <w:r>
        <w:rPr>
          <w:rFonts w:hint="eastAsia" w:ascii="宋体" w:hAnsi="宋体" w:cs="宋体"/>
          <w:b/>
          <w:szCs w:val="21"/>
        </w:rPr>
        <w:t>银行履约保函</w:t>
      </w:r>
      <w:bookmarkEnd w:id="387"/>
    </w:p>
    <w:p>
      <w:pPr>
        <w:adjustRightInd w:val="0"/>
        <w:snapToGrid w:val="0"/>
        <w:spacing w:line="360" w:lineRule="auto"/>
        <w:ind w:right="480" w:firstLine="420" w:firstLineChars="200"/>
        <w:jc w:val="center"/>
        <w:rPr>
          <w:rFonts w:ascii="宋体" w:hAnsi="宋体" w:cs="宋体"/>
          <w:szCs w:val="21"/>
        </w:rPr>
      </w:pPr>
    </w:p>
    <w:p>
      <w:pPr>
        <w:adjustRightInd w:val="0"/>
        <w:snapToGrid w:val="0"/>
        <w:spacing w:line="360" w:lineRule="auto"/>
        <w:ind w:right="480"/>
        <w:jc w:val="left"/>
        <w:rPr>
          <w:rFonts w:ascii="宋体" w:hAnsi="宋体" w:cs="宋体"/>
          <w:szCs w:val="21"/>
          <w:u w:val="single"/>
        </w:rPr>
      </w:pPr>
      <w:r>
        <w:rPr>
          <w:rFonts w:hint="eastAsia" w:ascii="宋体" w:hAnsi="宋体" w:cs="宋体"/>
          <w:szCs w:val="21"/>
        </w:rPr>
        <w:t xml:space="preserve">                                              保函编号：</w:t>
      </w:r>
    </w:p>
    <w:p>
      <w:pPr>
        <w:adjustRightInd w:val="0"/>
        <w:snapToGrid w:val="0"/>
        <w:spacing w:line="360" w:lineRule="auto"/>
        <w:ind w:right="480"/>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（名称）：</w:t>
      </w:r>
    </w:p>
    <w:p>
      <w:pPr>
        <w:adjustRightInd w:val="0"/>
        <w:snapToGrid w:val="0"/>
        <w:spacing w:line="360" w:lineRule="auto"/>
        <w:ind w:left="15" w:leftChars="7"/>
        <w:rPr>
          <w:rFonts w:ascii="宋体" w:hAnsi="宋体" w:cs="宋体"/>
          <w:szCs w:val="21"/>
        </w:rPr>
      </w:pPr>
      <w:r>
        <w:rPr>
          <w:rFonts w:hint="eastAsia" w:ascii="宋体" w:hAnsi="宋体" w:cs="宋体"/>
          <w:szCs w:val="21"/>
        </w:rPr>
        <w:t xml:space="preserve">    鉴于（名称，以下简称“你方”）与 （乙方名称，以下简称“乙方”）于年月日协商一致共同签订合同编号为的《合同》（以下简称“合同”）。 我方愿意无条件地、不可撤销地就乙方履行与你方签订的合同，向你方提供连带责任担保。</w:t>
      </w:r>
    </w:p>
    <w:p>
      <w:pPr>
        <w:adjustRightInd w:val="0"/>
        <w:snapToGrid w:val="0"/>
        <w:spacing w:line="360" w:lineRule="auto"/>
        <w:ind w:left="15" w:leftChars="7"/>
        <w:rPr>
          <w:rFonts w:ascii="宋体" w:hAnsi="宋体" w:cs="宋体"/>
          <w:szCs w:val="21"/>
        </w:rPr>
      </w:pPr>
      <w:r>
        <w:rPr>
          <w:rFonts w:hint="eastAsia" w:ascii="宋体" w:hAnsi="宋体" w:cs="宋体"/>
          <w:szCs w:val="21"/>
        </w:rPr>
        <w:t xml:space="preserve">    1.担保金额为人民币（大写）元（小写：¥）。</w:t>
      </w:r>
    </w:p>
    <w:p>
      <w:pPr>
        <w:adjustRightInd w:val="0"/>
        <w:snapToGrid w:val="0"/>
        <w:spacing w:line="360" w:lineRule="auto"/>
        <w:ind w:left="15" w:leftChars="7"/>
        <w:rPr>
          <w:rFonts w:ascii="宋体" w:hAnsi="宋体" w:cs="宋体"/>
          <w:szCs w:val="21"/>
        </w:rPr>
      </w:pPr>
      <w:r>
        <w:rPr>
          <w:rFonts w:hint="eastAsia" w:ascii="宋体" w:hAnsi="宋体" w:cs="宋体"/>
          <w:szCs w:val="21"/>
        </w:rPr>
        <w:t xml:space="preserve">    2. 担保有效期自本保函生效之日起至合同约定合同工期期满止。</w:t>
      </w:r>
    </w:p>
    <w:p>
      <w:pPr>
        <w:adjustRightInd w:val="0"/>
        <w:snapToGrid w:val="0"/>
        <w:spacing w:line="360" w:lineRule="auto"/>
        <w:ind w:left="15" w:leftChars="7"/>
        <w:rPr>
          <w:rFonts w:ascii="宋体" w:hAnsi="宋体" w:cs="宋体"/>
          <w:szCs w:val="21"/>
        </w:rPr>
      </w:pPr>
      <w:r>
        <w:rPr>
          <w:rFonts w:hint="eastAsia" w:ascii="宋体" w:hAnsi="宋体" w:cs="宋体"/>
          <w:szCs w:val="21"/>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rPr>
          <w:rFonts w:ascii="宋体" w:hAnsi="宋体" w:cs="宋体"/>
          <w:szCs w:val="21"/>
        </w:rPr>
      </w:pPr>
      <w:r>
        <w:rPr>
          <w:rFonts w:hint="eastAsia" w:ascii="宋体" w:hAnsi="宋体" w:cs="宋体"/>
          <w:szCs w:val="21"/>
        </w:rPr>
        <w:t xml:space="preserve">    4.你方和乙方按合同约定变更合同时，我方承担本担保规定的义务不变。</w:t>
      </w:r>
    </w:p>
    <w:p>
      <w:pPr>
        <w:adjustRightInd w:val="0"/>
        <w:snapToGrid w:val="0"/>
        <w:spacing w:line="360" w:lineRule="auto"/>
        <w:ind w:left="15" w:leftChars="7"/>
        <w:rPr>
          <w:rFonts w:ascii="宋体" w:hAnsi="宋体" w:cs="宋体"/>
          <w:szCs w:val="21"/>
        </w:rPr>
      </w:pPr>
      <w:r>
        <w:rPr>
          <w:rFonts w:hint="eastAsia" w:ascii="宋体" w:hAnsi="宋体" w:cs="宋体"/>
          <w:szCs w:val="21"/>
        </w:rPr>
        <w:t xml:space="preserve">    5.因本保函发生的纠纷，可由双方协商解决，协商不成的，任何一方均可提请在所在地仲裁委员会仲裁。</w:t>
      </w:r>
    </w:p>
    <w:p>
      <w:pPr>
        <w:adjustRightInd w:val="0"/>
        <w:snapToGrid w:val="0"/>
        <w:spacing w:line="360" w:lineRule="auto"/>
        <w:ind w:left="15" w:leftChars="7"/>
        <w:rPr>
          <w:rFonts w:ascii="宋体" w:hAnsi="宋体" w:cs="宋体"/>
          <w:szCs w:val="21"/>
        </w:rPr>
      </w:pPr>
      <w:r>
        <w:rPr>
          <w:rFonts w:hint="eastAsia" w:ascii="宋体" w:hAnsi="宋体" w:cs="宋体"/>
          <w:szCs w:val="21"/>
        </w:rPr>
        <w:t xml:space="preserve">    6.本保函自我方法定代表人或授权代理人签字并加盖公章之日起生效。</w:t>
      </w:r>
    </w:p>
    <w:p>
      <w:pPr>
        <w:adjustRightInd w:val="0"/>
        <w:snapToGrid w:val="0"/>
        <w:spacing w:line="360" w:lineRule="auto"/>
        <w:ind w:left="15" w:leftChars="7" w:firstLine="352" w:firstLineChars="168"/>
        <w:rPr>
          <w:rFonts w:ascii="宋体" w:hAnsi="宋体" w:cs="宋体"/>
          <w:szCs w:val="21"/>
        </w:rPr>
      </w:pPr>
    </w:p>
    <w:p>
      <w:pPr>
        <w:adjustRightInd w:val="0"/>
        <w:snapToGrid w:val="0"/>
        <w:spacing w:line="360" w:lineRule="auto"/>
        <w:ind w:left="15" w:leftChars="7" w:firstLine="352" w:firstLineChars="168"/>
        <w:rPr>
          <w:rFonts w:ascii="宋体" w:hAnsi="宋体" w:cs="宋体"/>
          <w:szCs w:val="21"/>
          <w:u w:val="single"/>
        </w:rPr>
      </w:pPr>
      <w:r>
        <w:rPr>
          <w:rFonts w:hint="eastAsia" w:ascii="宋体" w:hAnsi="宋体" w:cs="宋体"/>
          <w:szCs w:val="21"/>
        </w:rPr>
        <w:t>担保人：（盖单位章）</w:t>
      </w:r>
    </w:p>
    <w:p>
      <w:pPr>
        <w:adjustRightInd w:val="0"/>
        <w:snapToGrid w:val="0"/>
        <w:spacing w:line="360" w:lineRule="auto"/>
        <w:ind w:left="15" w:leftChars="7" w:firstLine="352" w:firstLineChars="168"/>
        <w:rPr>
          <w:rFonts w:ascii="宋体" w:hAnsi="宋体" w:cs="宋体"/>
          <w:szCs w:val="21"/>
        </w:rPr>
      </w:pPr>
      <w:r>
        <w:rPr>
          <w:rFonts w:hint="eastAsia" w:ascii="宋体" w:hAnsi="宋体" w:cs="宋体"/>
          <w:szCs w:val="21"/>
        </w:rPr>
        <w:t>法定代表人或授权代理人：（签字）</w:t>
      </w:r>
    </w:p>
    <w:p>
      <w:pPr>
        <w:adjustRightInd w:val="0"/>
        <w:snapToGrid w:val="0"/>
        <w:spacing w:line="360" w:lineRule="auto"/>
        <w:ind w:left="15" w:leftChars="7" w:firstLine="352" w:firstLineChars="168"/>
        <w:rPr>
          <w:rFonts w:ascii="宋体" w:hAnsi="宋体" w:cs="宋体"/>
          <w:szCs w:val="21"/>
          <w:u w:val="single"/>
        </w:rPr>
      </w:pPr>
      <w:r>
        <w:rPr>
          <w:rFonts w:hint="eastAsia" w:ascii="宋体" w:hAnsi="宋体" w:cs="宋体"/>
          <w:szCs w:val="21"/>
        </w:rPr>
        <w:t>地址：</w:t>
      </w:r>
    </w:p>
    <w:p>
      <w:pPr>
        <w:adjustRightInd w:val="0"/>
        <w:snapToGrid w:val="0"/>
        <w:spacing w:line="360" w:lineRule="auto"/>
        <w:ind w:left="15" w:leftChars="7" w:firstLine="352" w:firstLineChars="168"/>
        <w:rPr>
          <w:rFonts w:ascii="宋体" w:hAnsi="宋体" w:cs="宋体"/>
          <w:szCs w:val="21"/>
          <w:u w:val="single"/>
        </w:rPr>
      </w:pPr>
      <w:r>
        <w:rPr>
          <w:rFonts w:hint="eastAsia" w:ascii="宋体" w:hAnsi="宋体" w:cs="宋体"/>
          <w:szCs w:val="21"/>
        </w:rPr>
        <w:t xml:space="preserve">邮政编码： </w:t>
      </w:r>
    </w:p>
    <w:p>
      <w:pPr>
        <w:adjustRightInd w:val="0"/>
        <w:snapToGrid w:val="0"/>
        <w:spacing w:line="360" w:lineRule="auto"/>
        <w:ind w:left="15" w:leftChars="7" w:firstLine="352" w:firstLineChars="168"/>
        <w:rPr>
          <w:rFonts w:ascii="宋体" w:hAnsi="宋体" w:cs="宋体"/>
          <w:szCs w:val="21"/>
          <w:u w:val="single"/>
        </w:rPr>
      </w:pPr>
      <w:r>
        <w:rPr>
          <w:rFonts w:hint="eastAsia" w:ascii="宋体" w:hAnsi="宋体" w:cs="宋体"/>
          <w:szCs w:val="21"/>
        </w:rPr>
        <w:t xml:space="preserve">电话： </w:t>
      </w:r>
    </w:p>
    <w:p>
      <w:pPr>
        <w:adjustRightInd w:val="0"/>
        <w:snapToGrid w:val="0"/>
        <w:spacing w:line="360" w:lineRule="auto"/>
        <w:ind w:left="15" w:leftChars="7" w:firstLine="352" w:firstLineChars="168"/>
        <w:rPr>
          <w:rFonts w:ascii="宋体" w:hAnsi="宋体" w:cs="宋体"/>
          <w:szCs w:val="21"/>
          <w:u w:val="single"/>
        </w:rPr>
      </w:pPr>
      <w:r>
        <w:rPr>
          <w:rFonts w:hint="eastAsia" w:ascii="宋体" w:hAnsi="宋体" w:cs="宋体"/>
          <w:szCs w:val="21"/>
        </w:rPr>
        <w:t>传真：</w:t>
      </w:r>
    </w:p>
    <w:p>
      <w:pPr>
        <w:adjustRightInd w:val="0"/>
        <w:snapToGrid w:val="0"/>
        <w:spacing w:line="360" w:lineRule="auto"/>
        <w:ind w:left="15" w:leftChars="7" w:firstLine="352" w:firstLineChars="168"/>
        <w:rPr>
          <w:rFonts w:ascii="宋体" w:hAnsi="宋体" w:cs="宋体"/>
          <w:szCs w:val="21"/>
        </w:rPr>
      </w:pPr>
      <w:r>
        <w:rPr>
          <w:rFonts w:hint="eastAsia" w:ascii="宋体" w:hAnsi="宋体" w:cs="宋体"/>
          <w:szCs w:val="21"/>
        </w:rPr>
        <w:t>年月日</w:t>
      </w:r>
    </w:p>
    <w:p>
      <w:pPr>
        <w:rPr>
          <w:rFonts w:ascii="宋体" w:hAnsi="宋体" w:cs="宋体"/>
        </w:rPr>
      </w:pPr>
    </w:p>
    <w:p>
      <w:pPr>
        <w:snapToGrid w:val="0"/>
        <w:spacing w:line="360" w:lineRule="auto"/>
        <w:rPr>
          <w:rFonts w:ascii="宋体" w:hAnsi="宋体" w:cs="宋体"/>
          <w:b/>
          <w:sz w:val="32"/>
          <w:szCs w:val="32"/>
        </w:rPr>
      </w:pPr>
    </w:p>
    <w:p>
      <w:pPr>
        <w:snapToGrid w:val="0"/>
        <w:spacing w:line="360" w:lineRule="auto"/>
        <w:jc w:val="center"/>
        <w:rPr>
          <w:rFonts w:ascii="宋体" w:hAnsi="宋体" w:cs="宋体"/>
          <w:b/>
          <w:sz w:val="32"/>
          <w:szCs w:val="32"/>
        </w:rPr>
        <w:sectPr>
          <w:pgSz w:w="11906" w:h="16838"/>
          <w:pgMar w:top="1440" w:right="1797" w:bottom="1440" w:left="1797" w:header="851" w:footer="851" w:gutter="0"/>
          <w:cols w:space="720" w:num="1"/>
          <w:docGrid w:linePitch="312" w:charSpace="0"/>
        </w:sectPr>
      </w:pPr>
    </w:p>
    <w:p>
      <w:pPr>
        <w:pStyle w:val="3"/>
        <w:keepNext w:val="0"/>
        <w:rPr>
          <w:rFonts w:ascii="宋体" w:hAnsi="宋体" w:cs="宋体"/>
          <w:bCs w:val="0"/>
          <w:sz w:val="32"/>
          <w:szCs w:val="32"/>
        </w:rPr>
      </w:pPr>
      <w:bookmarkStart w:id="388" w:name="_Toc20753123"/>
      <w:bookmarkStart w:id="389" w:name="_Toc20753226"/>
      <w:r>
        <w:rPr>
          <w:rFonts w:hint="eastAsia" w:ascii="宋体" w:hAnsi="宋体" w:cs="宋体"/>
          <w:bCs w:val="0"/>
          <w:sz w:val="32"/>
          <w:szCs w:val="32"/>
        </w:rPr>
        <w:t>第六章 响应文件组成</w:t>
      </w:r>
      <w:bookmarkEnd w:id="388"/>
      <w:bookmarkEnd w:id="389"/>
    </w:p>
    <w:p>
      <w:pPr>
        <w:jc w:val="center"/>
        <w:rPr>
          <w:rFonts w:ascii="宋体" w:hAnsi="宋体"/>
          <w:b/>
        </w:rPr>
      </w:pPr>
    </w:p>
    <w:p>
      <w:pPr>
        <w:jc w:val="center"/>
        <w:rPr>
          <w:rFonts w:ascii="宋体" w:hAnsi="宋体"/>
          <w:b/>
        </w:rPr>
      </w:pPr>
      <w:r>
        <w:pict>
          <v:shape id="_x0000_s1026" o:spid="_x0000_s1026" o:spt="202" type="#_x0000_t202" style="position:absolute;left:0pt;margin-left:333pt;margin-top:0pt;height:33pt;width:87.75pt;z-index:251669504;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jc w:val="center"/>
        <w:rPr>
          <w:rFonts w:ascii="宋体" w:hAnsi="宋体" w:cs="Courier New"/>
          <w:b/>
          <w:bCs/>
          <w:sz w:val="52"/>
          <w:szCs w:val="52"/>
        </w:rPr>
      </w:pPr>
    </w:p>
    <w:p>
      <w:pPr>
        <w:jc w:val="center"/>
        <w:rPr>
          <w:rFonts w:ascii="宋体" w:hAnsi="宋体" w:cs="Courier New"/>
          <w:b/>
          <w:bCs/>
          <w:sz w:val="52"/>
          <w:szCs w:val="52"/>
        </w:rPr>
      </w:pPr>
    </w:p>
    <w:p>
      <w:pPr>
        <w:jc w:val="center"/>
        <w:rPr>
          <w:rFonts w:ascii="宋体" w:hAnsi="宋体" w:cs="Courier New"/>
          <w:b/>
          <w:bCs/>
          <w:sz w:val="52"/>
          <w:szCs w:val="52"/>
        </w:rPr>
      </w:pPr>
    </w:p>
    <w:p>
      <w:pPr>
        <w:adjustRightInd w:val="0"/>
        <w:snapToGrid w:val="0"/>
        <w:spacing w:line="400" w:lineRule="atLeast"/>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400" w:lineRule="atLeast"/>
        <w:jc w:val="center"/>
        <w:rPr>
          <w:rFonts w:ascii="宋体" w:hAnsi="宋体"/>
          <w:b/>
          <w:bCs/>
          <w:sz w:val="52"/>
          <w:szCs w:val="52"/>
        </w:rPr>
      </w:pPr>
      <w:r>
        <w:rPr>
          <w:rFonts w:hint="eastAsia" w:ascii="宋体" w:hAnsi="宋体"/>
          <w:b/>
          <w:bCs/>
          <w:sz w:val="52"/>
          <w:szCs w:val="52"/>
        </w:rPr>
        <w:t>响应文件</w:t>
      </w:r>
    </w:p>
    <w:p>
      <w:pPr>
        <w:rPr>
          <w:rFonts w:ascii="黑体" w:hAnsi="宋体" w:eastAsia="黑体"/>
          <w:sz w:val="30"/>
          <w:szCs w:val="30"/>
        </w:rPr>
      </w:pPr>
    </w:p>
    <w:p>
      <w:pPr>
        <w:pStyle w:val="25"/>
        <w:rPr>
          <w:rFonts w:hAnsi="宋体"/>
          <w:b/>
          <w:sz w:val="32"/>
          <w:szCs w:val="32"/>
        </w:rPr>
      </w:pPr>
    </w:p>
    <w:p>
      <w:pPr>
        <w:pStyle w:val="25"/>
        <w:adjustRightInd w:val="0"/>
        <w:snapToGrid w:val="0"/>
        <w:spacing w:line="360" w:lineRule="auto"/>
        <w:ind w:left="846" w:leftChars="403" w:firstLine="157" w:firstLineChars="49"/>
        <w:rPr>
          <w:rFonts w:hAnsi="宋体"/>
          <w:b/>
          <w:bCs/>
          <w:sz w:val="32"/>
          <w:szCs w:val="32"/>
        </w:rPr>
      </w:pPr>
      <w:r>
        <w:rPr>
          <w:rFonts w:hint="eastAsia" w:hAnsi="宋体"/>
          <w:b/>
          <w:bCs/>
          <w:sz w:val="32"/>
          <w:szCs w:val="32"/>
        </w:rPr>
        <w:t>谈判项目名称：</w:t>
      </w:r>
    </w:p>
    <w:p>
      <w:pPr>
        <w:pStyle w:val="25"/>
        <w:adjustRightInd w:val="0"/>
        <w:snapToGrid w:val="0"/>
        <w:spacing w:line="360" w:lineRule="auto"/>
        <w:ind w:left="846" w:leftChars="403" w:firstLine="157" w:firstLineChars="49"/>
        <w:rPr>
          <w:rFonts w:hAnsi="宋体"/>
          <w:b/>
          <w:bCs/>
          <w:sz w:val="32"/>
          <w:szCs w:val="32"/>
        </w:rPr>
      </w:pPr>
    </w:p>
    <w:p>
      <w:pPr>
        <w:pStyle w:val="25"/>
        <w:adjustRightInd w:val="0"/>
        <w:snapToGrid w:val="0"/>
        <w:spacing w:line="360" w:lineRule="auto"/>
        <w:ind w:left="846" w:leftChars="403" w:firstLine="157" w:firstLineChars="49"/>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ind w:left="846" w:leftChars="403" w:firstLine="157" w:firstLineChars="49"/>
        <w:rPr>
          <w:rFonts w:hAnsi="宋体"/>
          <w:b/>
          <w:bCs/>
          <w:sz w:val="32"/>
          <w:szCs w:val="32"/>
          <w:u w:val="single"/>
        </w:rPr>
      </w:pPr>
    </w:p>
    <w:p>
      <w:pPr>
        <w:pStyle w:val="25"/>
        <w:adjustRightInd w:val="0"/>
        <w:snapToGrid w:val="0"/>
        <w:spacing w:line="360" w:lineRule="auto"/>
        <w:ind w:left="846" w:leftChars="403" w:firstLine="157" w:firstLineChars="49"/>
        <w:rPr>
          <w:rFonts w:hAnsi="宋体"/>
          <w:b/>
          <w:bCs/>
          <w:sz w:val="32"/>
          <w:szCs w:val="32"/>
          <w:u w:val="single"/>
        </w:rPr>
      </w:pPr>
      <w:r>
        <w:rPr>
          <w:rFonts w:hint="eastAsia" w:hAnsi="宋体"/>
          <w:b/>
          <w:bCs/>
          <w:sz w:val="32"/>
          <w:szCs w:val="32"/>
        </w:rPr>
        <w:t>谈判项目编号：</w:t>
      </w:r>
    </w:p>
    <w:p>
      <w:pPr>
        <w:pStyle w:val="25"/>
        <w:adjustRightInd w:val="0"/>
        <w:snapToGrid w:val="0"/>
        <w:spacing w:line="360" w:lineRule="auto"/>
        <w:ind w:left="846" w:leftChars="403" w:firstLine="157" w:firstLineChars="49"/>
        <w:rPr>
          <w:rFonts w:hAnsi="宋体"/>
          <w:b/>
          <w:bCs/>
          <w:sz w:val="32"/>
          <w:szCs w:val="32"/>
        </w:rPr>
      </w:pPr>
    </w:p>
    <w:p>
      <w:pPr>
        <w:pStyle w:val="25"/>
        <w:adjustRightInd w:val="0"/>
        <w:snapToGrid w:val="0"/>
        <w:spacing w:line="360" w:lineRule="auto"/>
        <w:ind w:left="846" w:leftChars="403" w:firstLine="157" w:firstLineChars="49"/>
        <w:rPr>
          <w:rFonts w:hAnsi="宋体"/>
          <w:b/>
          <w:bCs/>
          <w:sz w:val="32"/>
          <w:szCs w:val="32"/>
        </w:rPr>
      </w:pPr>
    </w:p>
    <w:p>
      <w:pPr>
        <w:pStyle w:val="25"/>
        <w:adjustRightInd w:val="0"/>
        <w:snapToGrid w:val="0"/>
        <w:spacing w:line="360" w:lineRule="auto"/>
        <w:ind w:left="846" w:leftChars="403" w:firstLine="157" w:firstLineChars="49"/>
        <w:rPr>
          <w:rFonts w:hAnsi="宋体"/>
          <w:b/>
          <w:bCs/>
          <w:sz w:val="32"/>
          <w:szCs w:val="32"/>
        </w:rPr>
      </w:pPr>
    </w:p>
    <w:p>
      <w:pPr>
        <w:pStyle w:val="25"/>
        <w:adjustRightInd w:val="0"/>
        <w:snapToGrid w:val="0"/>
        <w:spacing w:line="360" w:lineRule="auto"/>
        <w:ind w:left="846" w:leftChars="403" w:firstLine="157" w:firstLineChars="49"/>
        <w:rPr>
          <w:rFonts w:hAnsi="宋体"/>
          <w:b/>
          <w:bCs/>
          <w:sz w:val="32"/>
          <w:szCs w:val="32"/>
        </w:rPr>
      </w:pPr>
    </w:p>
    <w:p>
      <w:pPr>
        <w:pStyle w:val="25"/>
        <w:adjustRightInd w:val="0"/>
        <w:snapToGrid w:val="0"/>
        <w:spacing w:line="360" w:lineRule="auto"/>
        <w:ind w:left="846" w:leftChars="403" w:firstLine="157" w:firstLineChars="49"/>
        <w:rPr>
          <w:rFonts w:hAnsi="宋体"/>
          <w:b/>
          <w:bCs/>
          <w:sz w:val="32"/>
          <w:szCs w:val="32"/>
        </w:rPr>
      </w:pPr>
    </w:p>
    <w:p>
      <w:pPr>
        <w:pStyle w:val="25"/>
        <w:adjustRightInd w:val="0"/>
        <w:snapToGrid w:val="0"/>
        <w:spacing w:line="360" w:lineRule="auto"/>
        <w:ind w:left="846" w:leftChars="403" w:firstLine="157" w:firstLineChars="49"/>
        <w:rPr>
          <w:rFonts w:hAnsi="宋体"/>
          <w:b/>
          <w:bCs/>
          <w:sz w:val="32"/>
          <w:szCs w:val="32"/>
        </w:rPr>
      </w:pPr>
    </w:p>
    <w:p>
      <w:pPr>
        <w:pStyle w:val="25"/>
        <w:adjustRightInd w:val="0"/>
        <w:snapToGrid w:val="0"/>
        <w:spacing w:line="360" w:lineRule="auto"/>
        <w:ind w:left="846" w:leftChars="403" w:firstLine="157" w:firstLineChars="49"/>
        <w:rPr>
          <w:rFonts w:hAnsi="宋体"/>
          <w:b/>
          <w:bCs/>
          <w:sz w:val="32"/>
          <w:szCs w:val="32"/>
        </w:rPr>
      </w:pPr>
    </w:p>
    <w:p>
      <w:pPr>
        <w:pStyle w:val="25"/>
        <w:adjustRightInd w:val="0"/>
        <w:snapToGrid w:val="0"/>
        <w:spacing w:line="360" w:lineRule="auto"/>
        <w:jc w:val="center"/>
        <w:rPr>
          <w:rFonts w:hAnsi="宋体"/>
        </w:rPr>
      </w:pPr>
      <w:r>
        <w:rPr>
          <w:rFonts w:hint="eastAsia" w:hAnsi="宋体"/>
          <w:b/>
          <w:bCs/>
          <w:sz w:val="32"/>
          <w:szCs w:val="32"/>
        </w:rPr>
        <w:t>日  期：年月日</w:t>
      </w:r>
    </w:p>
    <w:p>
      <w:pPr>
        <w:widowControl/>
        <w:spacing w:line="360" w:lineRule="auto"/>
        <w:jc w:val="center"/>
        <w:rPr>
          <w:rFonts w:ascii="宋体" w:hAnsi="宋体"/>
          <w:b/>
          <w:sz w:val="44"/>
          <w:szCs w:val="44"/>
        </w:rPr>
        <w:sectPr>
          <w:pgSz w:w="11906" w:h="16838"/>
          <w:pgMar w:top="1440" w:right="1797" w:bottom="1440" w:left="1797" w:header="851" w:footer="851" w:gutter="0"/>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一、谈判承诺书</w:t>
      </w:r>
    </w:p>
    <w:p>
      <w:pPr>
        <w:adjustRightInd w:val="0"/>
        <w:snapToGrid w:val="0"/>
        <w:spacing w:line="360" w:lineRule="auto"/>
        <w:ind w:firstLine="420" w:firstLineChars="200"/>
        <w:jc w:val="left"/>
        <w:rPr>
          <w:rFonts w:ascii="宋体" w:hAnsi="宋体"/>
          <w:szCs w:val="21"/>
        </w:rPr>
      </w:pPr>
      <w:r>
        <w:rPr>
          <w:rFonts w:hint="eastAsia" w:ascii="宋体" w:hAnsi="宋体"/>
          <w:szCs w:val="21"/>
        </w:rPr>
        <w:t>二、法定代表人身份证明书</w:t>
      </w:r>
    </w:p>
    <w:p>
      <w:pPr>
        <w:adjustRightInd w:val="0"/>
        <w:snapToGrid w:val="0"/>
        <w:spacing w:line="360" w:lineRule="auto"/>
        <w:ind w:firstLine="420" w:firstLineChars="200"/>
        <w:jc w:val="left"/>
        <w:rPr>
          <w:rFonts w:ascii="宋体" w:hAnsi="宋体"/>
          <w:szCs w:val="21"/>
        </w:rPr>
      </w:pPr>
      <w:r>
        <w:rPr>
          <w:rFonts w:hint="eastAsia" w:ascii="宋体" w:hAnsi="宋体"/>
          <w:szCs w:val="21"/>
        </w:rPr>
        <w:t>三、授权委托书</w:t>
      </w:r>
    </w:p>
    <w:p>
      <w:pPr>
        <w:adjustRightInd w:val="0"/>
        <w:snapToGrid w:val="0"/>
        <w:spacing w:line="360" w:lineRule="auto"/>
        <w:ind w:firstLine="420" w:firstLineChars="200"/>
        <w:jc w:val="left"/>
        <w:rPr>
          <w:rFonts w:ascii="宋体" w:hAnsi="宋体"/>
          <w:szCs w:val="21"/>
        </w:rPr>
      </w:pPr>
      <w:r>
        <w:rPr>
          <w:rFonts w:hint="eastAsia" w:ascii="宋体" w:hAnsi="宋体"/>
          <w:szCs w:val="21"/>
        </w:rPr>
        <w:t>四、</w:t>
      </w:r>
      <w:r>
        <w:rPr>
          <w:rFonts w:hint="eastAsia" w:hAnsi="宋体"/>
          <w:szCs w:val="21"/>
        </w:rPr>
        <w:t>谈判单位资格证明文件</w:t>
      </w:r>
    </w:p>
    <w:p>
      <w:pPr>
        <w:adjustRightInd w:val="0"/>
        <w:snapToGrid w:val="0"/>
        <w:spacing w:line="360" w:lineRule="auto"/>
        <w:ind w:firstLine="420" w:firstLineChars="200"/>
        <w:rPr>
          <w:rFonts w:ascii="宋体" w:hAnsi="宋体"/>
          <w:szCs w:val="21"/>
        </w:rPr>
      </w:pPr>
      <w:r>
        <w:rPr>
          <w:rFonts w:hint="eastAsia" w:ascii="宋体" w:hAnsi="宋体"/>
          <w:szCs w:val="21"/>
        </w:rPr>
        <w:t>五、报价一览表</w:t>
      </w:r>
    </w:p>
    <w:p>
      <w:pPr>
        <w:adjustRightInd w:val="0"/>
        <w:snapToGrid w:val="0"/>
        <w:spacing w:line="360" w:lineRule="auto"/>
        <w:ind w:firstLine="420" w:firstLineChars="200"/>
        <w:jc w:val="left"/>
        <w:rPr>
          <w:rFonts w:ascii="宋体" w:hAnsi="宋体"/>
          <w:szCs w:val="21"/>
        </w:rPr>
      </w:pPr>
      <w:r>
        <w:rPr>
          <w:rFonts w:hint="eastAsia" w:ascii="宋体" w:hAnsi="宋体"/>
          <w:szCs w:val="21"/>
        </w:rPr>
        <w:t>六、其他资料（如有）</w:t>
      </w:r>
    </w:p>
    <w:p>
      <w:pPr>
        <w:ind w:firstLine="480" w:firstLineChars="200"/>
        <w:jc w:val="center"/>
        <w:outlineLvl w:val="0"/>
        <w:rPr>
          <w:rFonts w:ascii="宋体" w:hAnsi="宋体"/>
          <w:b/>
          <w:sz w:val="32"/>
          <w:szCs w:val="32"/>
        </w:rPr>
      </w:pPr>
      <w:r>
        <w:rPr>
          <w:rFonts w:hint="eastAsia" w:ascii="宋体" w:hAnsi="宋体"/>
          <w:sz w:val="24"/>
        </w:rPr>
        <w:br w:type="page"/>
      </w:r>
      <w:bookmarkStart w:id="390" w:name="_Toc20753227"/>
      <w:bookmarkStart w:id="391" w:name="_Toc20753124"/>
      <w:r>
        <w:rPr>
          <w:rFonts w:hint="eastAsia" w:ascii="宋体" w:hAnsi="宋体"/>
          <w:b/>
          <w:sz w:val="32"/>
          <w:szCs w:val="32"/>
        </w:rPr>
        <w:t>一、谈判承诺书</w:t>
      </w:r>
      <w:bookmarkEnd w:id="390"/>
      <w:bookmarkEnd w:id="391"/>
    </w:p>
    <w:p>
      <w:pPr>
        <w:adjustRightInd w:val="0"/>
        <w:snapToGrid w:val="0"/>
        <w:spacing w:line="360" w:lineRule="auto"/>
        <w:rPr>
          <w:rFonts w:ascii="仿宋_GB2312" w:hAnsi="宋体" w:eastAsia="仿宋_GB2312"/>
          <w:sz w:val="24"/>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         ）的全部内容，</w:t>
      </w:r>
      <w:r>
        <w:rPr>
          <w:rFonts w:hint="eastAsia" w:hAnsi="宋体"/>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日内(响应文件有效期)遵守本响应文件中的承诺且在此期限期满之前均具有法律约束力。</w:t>
      </w:r>
    </w:p>
    <w:p>
      <w:pPr>
        <w:pStyle w:val="25"/>
        <w:adjustRightInd w:val="0"/>
        <w:snapToGrid w:val="0"/>
        <w:spacing w:line="360" w:lineRule="auto"/>
        <w:ind w:firstLine="420" w:firstLineChars="200"/>
        <w:rPr>
          <w:rFonts w:hAnsi="宋体"/>
          <w:bCs/>
        </w:rPr>
      </w:pPr>
      <w:r>
        <w:rPr>
          <w:rFonts w:hint="eastAsia" w:hAnsi="宋体"/>
        </w:rPr>
        <w:t>三、我方提交的响应文件均为正本份和副本份，电子文件（包括响应文件全部内容）份，并保证响应文件提供的数据和材料是真实、准确的，且无低于成本的恶意报价行为。否则，愿承担由此引起的一切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ind w:firstLine="420" w:firstLineChars="200"/>
        <w:rPr>
          <w:rFonts w:hAnsi="宋体"/>
        </w:rPr>
      </w:pPr>
      <w:r>
        <w:rPr>
          <w:rFonts w:hint="eastAsia"/>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5"/>
        <w:adjustRightInd w:val="0"/>
        <w:snapToGrid w:val="0"/>
        <w:spacing w:line="360" w:lineRule="auto"/>
        <w:rPr>
          <w:rFonts w:hAnsi="宋体"/>
        </w:rPr>
      </w:pPr>
    </w:p>
    <w:p>
      <w:pPr>
        <w:pStyle w:val="25"/>
        <w:adjustRightInd w:val="0"/>
        <w:snapToGrid w:val="0"/>
        <w:spacing w:line="360" w:lineRule="auto"/>
        <w:rPr>
          <w:rFonts w:hAnsi="宋体"/>
        </w:rPr>
      </w:pPr>
    </w:p>
    <w:p>
      <w:pPr>
        <w:spacing w:line="360" w:lineRule="auto"/>
        <w:rPr>
          <w:u w:val="single"/>
        </w:rPr>
      </w:pPr>
      <w:r>
        <w:rPr>
          <w:rFonts w:hint="eastAsia"/>
        </w:rPr>
        <w:t>谈判单位名称：</w:t>
      </w:r>
      <w:r>
        <w:rPr>
          <w:rFonts w:hint="eastAsia"/>
          <w:u w:val="single"/>
        </w:rPr>
        <w:t xml:space="preserve">    （盖单位章）    </w:t>
      </w:r>
    </w:p>
    <w:p>
      <w:pPr>
        <w:spacing w:line="360" w:lineRule="auto"/>
        <w:rPr>
          <w:rFonts w:ascii="宋体" w:hAnsi="宋体"/>
          <w:szCs w:val="21"/>
        </w:rPr>
      </w:pPr>
      <w:r>
        <w:rPr>
          <w:rFonts w:hint="eastAsia" w:ascii="宋体" w:hAnsi="宋体"/>
          <w:szCs w:val="21"/>
        </w:rPr>
        <w:t>法定</w:t>
      </w:r>
      <w:r>
        <w:rPr>
          <w:rFonts w:hint="eastAsia"/>
        </w:rPr>
        <w:t>代表</w:t>
      </w:r>
      <w:r>
        <w:rPr>
          <w:rFonts w:hint="eastAsia" w:ascii="宋体" w:hAnsi="宋体"/>
          <w:szCs w:val="21"/>
        </w:rPr>
        <w:t>人(签字或盖章)：</w:t>
      </w:r>
    </w:p>
    <w:p>
      <w:pPr>
        <w:spacing w:line="360" w:lineRule="auto"/>
        <w:rPr>
          <w:rFonts w:ascii="宋体" w:hAnsi="宋体"/>
          <w:szCs w:val="21"/>
        </w:rPr>
      </w:pPr>
      <w:r>
        <w:rPr>
          <w:rFonts w:hint="eastAsia" w:ascii="宋体" w:hAnsi="宋体"/>
          <w:szCs w:val="21"/>
        </w:rPr>
        <w:t>日期：年月日</w:t>
      </w:r>
    </w:p>
    <w:p>
      <w:pPr>
        <w:adjustRightInd w:val="0"/>
        <w:snapToGrid w:val="0"/>
        <w:spacing w:line="360" w:lineRule="auto"/>
        <w:ind w:right="24"/>
        <w:rPr>
          <w:rFonts w:ascii="黑体" w:hAnsi="华文中宋" w:eastAsia="黑体"/>
          <w:bCs/>
          <w:sz w:val="28"/>
          <w:szCs w:val="28"/>
        </w:rPr>
      </w:pPr>
    </w:p>
    <w:p>
      <w:pPr>
        <w:adjustRightInd w:val="0"/>
        <w:snapToGrid w:val="0"/>
        <w:spacing w:line="360" w:lineRule="auto"/>
        <w:ind w:right="24"/>
        <w:rPr>
          <w:rFonts w:ascii="黑体" w:hAnsi="华文中宋" w:eastAsia="黑体"/>
          <w:bCs/>
          <w:sz w:val="28"/>
          <w:szCs w:val="28"/>
        </w:rPr>
      </w:pPr>
    </w:p>
    <w:p>
      <w:pPr>
        <w:ind w:firstLine="643" w:firstLineChars="200"/>
        <w:jc w:val="center"/>
        <w:outlineLvl w:val="0"/>
        <w:rPr>
          <w:rFonts w:ascii="宋体" w:hAnsi="宋体"/>
          <w:b/>
          <w:sz w:val="32"/>
          <w:szCs w:val="32"/>
        </w:rPr>
      </w:pPr>
      <w:bookmarkStart w:id="392" w:name="_Toc20753125"/>
      <w:bookmarkStart w:id="393" w:name="_Toc20753228"/>
      <w:r>
        <w:rPr>
          <w:rFonts w:hint="eastAsia" w:ascii="宋体" w:hAnsi="宋体"/>
          <w:b/>
          <w:sz w:val="32"/>
          <w:szCs w:val="32"/>
        </w:rPr>
        <w:t>二、法定代表人身份证明书</w:t>
      </w:r>
      <w:bookmarkEnd w:id="392"/>
      <w:bookmarkEnd w:id="393"/>
    </w:p>
    <w:p>
      <w:pPr>
        <w:snapToGrid w:val="0"/>
        <w:spacing w:line="480" w:lineRule="auto"/>
        <w:rPr>
          <w:rFonts w:ascii="宋体" w:hAnsi="宋体"/>
          <w:szCs w:val="21"/>
        </w:rPr>
      </w:pP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p>
    <w:p>
      <w:pPr>
        <w:autoSpaceDE w:val="0"/>
        <w:autoSpaceDN w:val="0"/>
        <w:adjustRightInd w:val="0"/>
        <w:snapToGrid w:val="0"/>
        <w:spacing w:beforeLines="50" w:line="360" w:lineRule="auto"/>
        <w:jc w:val="left"/>
        <w:rPr>
          <w:rFonts w:ascii="宋体" w:hAnsi="宋体" w:cs="宋体"/>
          <w:b/>
          <w:bCs/>
          <w:kern w:val="0"/>
          <w:szCs w:val="21"/>
          <w:u w:val="single"/>
        </w:rPr>
      </w:pPr>
      <w:r>
        <w:rPr>
          <w:rFonts w:hint="eastAsia" w:ascii="宋体" w:hAnsi="宋体" w:cs="宋体"/>
          <w:kern w:val="0"/>
          <w:szCs w:val="21"/>
        </w:rPr>
        <w:t>注册号：</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注册地址：</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rPr>
        <w:t>年月日</w:t>
      </w:r>
    </w:p>
    <w:p>
      <w:pPr>
        <w:autoSpaceDE w:val="0"/>
        <w:autoSpaceDN w:val="0"/>
        <w:adjustRightInd w:val="0"/>
        <w:snapToGrid w:val="0"/>
        <w:spacing w:beforeLines="50" w:line="360" w:lineRule="auto"/>
        <w:jc w:val="left"/>
        <w:rPr>
          <w:rFonts w:ascii="宋体" w:hAnsi="宋体" w:cs="宋体"/>
          <w:kern w:val="0"/>
          <w:szCs w:val="21"/>
          <w:u w:val="single"/>
        </w:rPr>
      </w:pPr>
      <w:r>
        <w:rPr>
          <w:rFonts w:hint="eastAsia" w:ascii="宋体" w:hAnsi="宋体" w:cs="宋体"/>
          <w:kern w:val="0"/>
          <w:szCs w:val="21"/>
        </w:rPr>
        <w:t>经营期限：</w:t>
      </w:r>
    </w:p>
    <w:p>
      <w:pPr>
        <w:autoSpaceDE w:val="0"/>
        <w:autoSpaceDN w:val="0"/>
        <w:adjustRightInd w:val="0"/>
        <w:snapToGrid w:val="0"/>
        <w:spacing w:beforeLines="50" w:line="360" w:lineRule="auto"/>
        <w:jc w:val="left"/>
        <w:rPr>
          <w:rFonts w:ascii="宋体" w:hAnsi="宋体" w:cs="宋体"/>
          <w:kern w:val="0"/>
          <w:szCs w:val="21"/>
          <w:u w:val="single"/>
        </w:rPr>
      </w:pPr>
      <w:r>
        <w:rPr>
          <w:rFonts w:hint="eastAsia" w:ascii="宋体" w:hAnsi="宋体" w:cs="宋体"/>
          <w:kern w:val="0"/>
          <w:szCs w:val="21"/>
        </w:rPr>
        <w:t>经营范围：</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姓名：性别：年龄：系（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w:pict>
          <v:rect id="_x0000_s1031" o:spid="_x0000_s1031" o:spt="1" style="position:absolute;left:0pt;margin-left:222.1pt;margin-top:11.5pt;height:96.15pt;width:185.5pt;z-index:-25164390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_x0000_s1030" o:spid="_x0000_s1030" o:spt="1" style="position:absolute;left:0pt;margin-left:-8.8pt;margin-top:11.5pt;height:96.15pt;width:185.5pt;z-index:-25164492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：年月日</w:t>
      </w:r>
    </w:p>
    <w:p>
      <w:pPr>
        <w:ind w:firstLine="480" w:firstLineChars="200"/>
        <w:jc w:val="center"/>
        <w:outlineLvl w:val="0"/>
        <w:rPr>
          <w:rFonts w:ascii="宋体" w:hAnsi="宋体"/>
          <w:b/>
          <w:sz w:val="32"/>
          <w:szCs w:val="32"/>
        </w:rPr>
      </w:pPr>
      <w:r>
        <w:rPr>
          <w:rFonts w:ascii="黑体" w:hAnsi="华文中宋" w:eastAsia="黑体"/>
          <w:bCs/>
          <w:sz w:val="24"/>
        </w:rPr>
        <w:br w:type="page"/>
      </w:r>
      <w:bookmarkStart w:id="394" w:name="_Toc20753126"/>
      <w:bookmarkStart w:id="395" w:name="_Toc20753229"/>
      <w:r>
        <w:rPr>
          <w:rFonts w:hint="eastAsia" w:ascii="宋体" w:hAnsi="宋体"/>
          <w:b/>
          <w:sz w:val="32"/>
          <w:szCs w:val="32"/>
        </w:rPr>
        <w:t>三、授权委托书</w:t>
      </w:r>
      <w:bookmarkEnd w:id="394"/>
      <w:bookmarkEnd w:id="395"/>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本授权书于年月日签字生效，特此声明。</w:t>
      </w:r>
    </w:p>
    <w:p>
      <w:pPr>
        <w:adjustRightInd w:val="0"/>
        <w:snapToGrid w:val="0"/>
        <w:spacing w:beforeLines="50" w:line="360" w:lineRule="auto"/>
        <w:ind w:firstLine="420" w:firstLineChars="200"/>
        <w:rPr>
          <w:rFonts w:ascii="宋体" w:hAnsi="宋体"/>
          <w:szCs w:val="21"/>
        </w:rPr>
      </w:pPr>
      <w:r>
        <w:rPr>
          <w:rFonts w:ascii="宋体" w:hAnsi="宋体"/>
          <w:szCs w:val="21"/>
        </w:rPr>
        <w:pict>
          <v:rect id="_x0000_s1029" o:spid="_x0000_s1029" o:spt="1" style="position:absolute;left:0pt;margin-left:-9pt;margin-top:1.45pt;height:102.35pt;width:111.1pt;z-index:-251640832;mso-width-relative:page;mso-height-relative:page;"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lgr4DY&#10;AAAACQEAAA8AAAAAAAAAAQAgAAAAIgAAAGRycy9kb3ducmV2LnhtbFBLAQIUABQAAAAIAIdO4kD5&#10;6DIs5wEAANwDAAAOAAAAAAAAAAEAIAAAACcBAABkcnMvZTJvRG9jLnhtbFBLBQYAAAAABgAGAFkB&#10;AACABQ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_x0000_s1028" o:spid="_x0000_s1028" o:spt="1" style="position:absolute;left:0pt;margin-left:272.1pt;margin-top:0.3pt;height:100.1pt;width:122.5pt;z-index:-251638784;mso-width-relative:page;mso-height-relative:page;"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8tU7fW&#10;AAAACAEAAA8AAAAAAAAAAQAgAAAAIgAAAGRycy9kb3ducmV2LnhtbFBLAQIUABQAAAAIAIdO4kCj&#10;vPDx6QEAANwDAAAOAAAAAAAAAAEAIAAAACUBAABkcnMvZTJvRG9jLnhtbFBLBQYAAAAABgAGAFkB&#10;AACABQAAAAA=&#10;">
            <v:path/>
            <v:fill focussize="0,0"/>
            <v:stroke/>
            <v:imagedata o:title=""/>
            <o:lock v:ext="edit"/>
            <v:textbox>
              <w:txbxContent>
                <w:p/>
                <w:p>
                  <w:pPr>
                    <w:ind w:firstLine="211" w:firstLineChars="100"/>
                    <w:rPr>
                      <w:b/>
                    </w:rPr>
                  </w:pPr>
                  <w:r>
                    <w:rPr>
                      <w:rFonts w:hint="eastAsia"/>
                      <w:b/>
                    </w:rPr>
                    <w:t>附：</w:t>
                  </w:r>
                </w:p>
                <w:p>
                  <w:pPr>
                    <w:ind w:firstLine="211" w:firstLineChars="100"/>
                    <w:rPr>
                      <w:highlight w:val="yellow"/>
                    </w:rPr>
                  </w:pPr>
                  <w:r>
                    <w:rPr>
                      <w:rFonts w:hint="eastAsia"/>
                      <w:b/>
                    </w:rPr>
                    <w:t>营业执照副本复印件</w:t>
                  </w:r>
                </w:p>
              </w:txbxContent>
            </v:textbox>
          </v:rect>
        </w:pict>
      </w:r>
      <w:r>
        <w:rPr>
          <w:rFonts w:ascii="宋体" w:hAnsi="宋体"/>
          <w:szCs w:val="21"/>
        </w:rPr>
        <w:pict>
          <v:rect id="_x0000_s1027" o:spid="_x0000_s1027" o:spt="1" style="position:absolute;left:0pt;flip:x;margin-left:133.45pt;margin-top:1.35pt;height:100.65pt;width:112.85pt;z-index:-251639808;mso-width-relative:page;mso-height-relative:page;"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Us4r1gAAAAkBAAAPAAAAAAAAAAEAIAAAACIAAABkcnMvZG93bnJldi54bWxQSwECFAAUAAAA&#10;CACHTuJA7pF0x/ABAADmAwAADgAAAAAAAAABACAAAAAlAQAAZHJzL2Uyb0RvYy54bWxQSwUGAAAA&#10;AAYABgBZAQAAhw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p>
    <w:p>
      <w:pPr>
        <w:adjustRightInd w:val="0"/>
        <w:snapToGrid w:val="0"/>
        <w:spacing w:line="360" w:lineRule="auto"/>
        <w:ind w:right="420"/>
        <w:rPr>
          <w:rFonts w:ascii="宋体" w:hAnsi="宋体"/>
          <w:szCs w:val="21"/>
        </w:rPr>
      </w:pPr>
      <w:r>
        <w:rPr>
          <w:rFonts w:hint="eastAsia" w:ascii="宋体" w:hAnsi="宋体"/>
          <w:szCs w:val="21"/>
        </w:rPr>
        <w:t>委托代理人（亲笔签字）：</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：年月日</w:t>
      </w:r>
    </w:p>
    <w:p>
      <w:pPr>
        <w:ind w:firstLine="643" w:firstLineChars="200"/>
        <w:jc w:val="center"/>
        <w:outlineLvl w:val="0"/>
        <w:rPr>
          <w:rFonts w:ascii="宋体" w:hAnsi="宋体"/>
          <w:b/>
          <w:sz w:val="32"/>
          <w:szCs w:val="32"/>
        </w:rPr>
      </w:pPr>
      <w:bookmarkStart w:id="396" w:name="_Toc20753127"/>
      <w:bookmarkStart w:id="397" w:name="_Toc20753230"/>
      <w:r>
        <w:rPr>
          <w:rFonts w:hint="eastAsia" w:ascii="宋体" w:hAnsi="宋体"/>
          <w:b/>
          <w:sz w:val="32"/>
          <w:szCs w:val="32"/>
        </w:rPr>
        <w:t>四、谈判单位资格证明文件</w:t>
      </w:r>
      <w:bookmarkEnd w:id="396"/>
      <w:bookmarkEnd w:id="397"/>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adjustRightInd w:val="0"/>
        <w:snapToGrid w:val="0"/>
        <w:spacing w:line="360" w:lineRule="auto"/>
        <w:ind w:firstLine="420" w:firstLineChars="200"/>
        <w:rPr>
          <w:rFonts w:ascii="宋体" w:hAnsi="宋体" w:cs="宋体"/>
          <w:iCs/>
        </w:rPr>
      </w:pPr>
      <w:r>
        <w:rPr>
          <w:rFonts w:hint="eastAsia" w:ascii="宋体" w:hAnsi="宋体" w:cs="宋体"/>
          <w:iCs/>
        </w:rPr>
        <w:t>1、</w:t>
      </w:r>
      <w:r>
        <w:rPr>
          <w:rFonts w:hint="eastAsia" w:ascii="宋体" w:hAnsi="宋体" w:cs="宋体"/>
          <w:bCs/>
          <w:szCs w:val="21"/>
        </w:rPr>
        <w:t>营业执照副本。</w:t>
      </w:r>
    </w:p>
    <w:p>
      <w:pPr>
        <w:adjustRightInd w:val="0"/>
        <w:snapToGrid w:val="0"/>
        <w:spacing w:line="360" w:lineRule="auto"/>
        <w:ind w:firstLine="420" w:firstLineChars="200"/>
        <w:rPr>
          <w:rFonts w:ascii="宋体" w:hAnsi="宋体" w:cs="宋体"/>
          <w:iCs/>
        </w:rPr>
      </w:pPr>
      <w:r>
        <w:rPr>
          <w:rFonts w:hint="eastAsia" w:ascii="宋体" w:hAnsi="宋体" w:cs="宋体"/>
          <w:iCs/>
        </w:rPr>
        <w:t>2、谈判单位的维修场地在长沙市雨花区和天心区范围内，并入围2019-2022年长沙市行政事业单位公务车维修保养服务定点单位的证明材料。</w:t>
      </w:r>
    </w:p>
    <w:p>
      <w:pPr>
        <w:adjustRightInd w:val="0"/>
        <w:snapToGrid w:val="0"/>
        <w:spacing w:line="360" w:lineRule="auto"/>
        <w:ind w:firstLine="420" w:firstLineChars="200"/>
        <w:rPr>
          <w:rFonts w:ascii="宋体" w:hAnsi="宋体" w:cs="宋体"/>
          <w:kern w:val="0"/>
          <w:szCs w:val="21"/>
        </w:rPr>
      </w:pPr>
      <w:r>
        <w:rPr>
          <w:rFonts w:hint="eastAsia" w:ascii="宋体" w:hAnsi="宋体" w:cs="宋体"/>
          <w:iCs/>
        </w:rPr>
        <w:t>3、</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sectPr>
          <w:pgSz w:w="11906" w:h="16838"/>
          <w:pgMar w:top="1440" w:right="1797" w:bottom="1440" w:left="1797" w:header="851" w:footer="851" w:gutter="0"/>
          <w:cols w:space="720" w:num="1"/>
        </w:sectPr>
      </w:pPr>
      <w:r>
        <w:rPr>
          <w:rFonts w:hint="eastAsia" w:ascii="宋体" w:hAnsi="宋体"/>
          <w:b/>
          <w:bCs/>
          <w:szCs w:val="21"/>
        </w:rPr>
        <w:t>2、上述证明文件原件须用文件袋单独包装，在响应文件递交的同时一并提交。</w:t>
      </w:r>
    </w:p>
    <w:p>
      <w:pPr>
        <w:ind w:firstLine="643" w:firstLineChars="200"/>
        <w:jc w:val="center"/>
        <w:outlineLvl w:val="0"/>
        <w:rPr>
          <w:rFonts w:ascii="宋体" w:hAnsi="宋体"/>
          <w:b/>
          <w:sz w:val="32"/>
          <w:szCs w:val="32"/>
        </w:rPr>
      </w:pPr>
      <w:bookmarkStart w:id="398" w:name="_Toc20753128"/>
      <w:bookmarkStart w:id="399" w:name="_Toc20753231"/>
      <w:r>
        <w:rPr>
          <w:rFonts w:hint="eastAsia" w:ascii="宋体" w:hAnsi="宋体"/>
          <w:b/>
          <w:sz w:val="32"/>
          <w:szCs w:val="32"/>
        </w:rPr>
        <w:t>五、报价一览表</w:t>
      </w:r>
      <w:bookmarkEnd w:id="398"/>
      <w:bookmarkEnd w:id="399"/>
    </w:p>
    <w:p>
      <w:pPr>
        <w:adjustRightInd w:val="0"/>
        <w:snapToGrid w:val="0"/>
        <w:jc w:val="right"/>
        <w:rPr>
          <w:rFonts w:ascii="黑体" w:hAnsi="宋体" w:eastAsia="黑体"/>
          <w:sz w:val="24"/>
        </w:rPr>
      </w:pP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3600"/>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hint="eastAsia" w:ascii="宋体" w:hAnsi="宋体"/>
                <w:szCs w:val="21"/>
              </w:rPr>
              <w:t>项目</w:t>
            </w:r>
            <w:r>
              <w:rPr>
                <w:rFonts w:ascii="宋体" w:hAnsi="宋体"/>
                <w:szCs w:val="21"/>
              </w:rPr>
              <w:t>编号</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620" w:type="dxa"/>
            <w:vAlign w:val="center"/>
          </w:tcPr>
          <w:p>
            <w:pPr>
              <w:spacing w:line="420" w:lineRule="exact"/>
              <w:jc w:val="center"/>
              <w:rPr>
                <w:rFonts w:ascii="宋体" w:hAnsi="宋体"/>
                <w:szCs w:val="21"/>
              </w:rPr>
            </w:pPr>
            <w:r>
              <w:rPr>
                <w:rFonts w:hint="eastAsia" w:ascii="宋体" w:hAnsi="宋体"/>
                <w:szCs w:val="21"/>
              </w:rPr>
              <w:t>服务期限</w:t>
            </w:r>
          </w:p>
        </w:tc>
        <w:tc>
          <w:tcPr>
            <w:tcW w:w="7200" w:type="dxa"/>
            <w:gridSpan w:val="2"/>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620" w:type="dxa"/>
            <w:vMerge w:val="restart"/>
            <w:vAlign w:val="center"/>
          </w:tcPr>
          <w:p>
            <w:pPr>
              <w:spacing w:line="420" w:lineRule="exact"/>
              <w:jc w:val="center"/>
              <w:rPr>
                <w:rFonts w:ascii="宋体" w:hAnsi="宋体"/>
                <w:b/>
                <w:szCs w:val="21"/>
              </w:rPr>
            </w:pPr>
            <w:r>
              <w:rPr>
                <w:rFonts w:hint="eastAsia" w:ascii="宋体" w:hAnsi="宋体"/>
                <w:b/>
                <w:szCs w:val="21"/>
              </w:rPr>
              <w:t>谈判</w:t>
            </w:r>
            <w:r>
              <w:rPr>
                <w:rFonts w:ascii="宋体" w:hAnsi="宋体"/>
                <w:b/>
                <w:szCs w:val="21"/>
              </w:rPr>
              <w:t>报价</w:t>
            </w:r>
          </w:p>
        </w:tc>
        <w:tc>
          <w:tcPr>
            <w:tcW w:w="3600" w:type="dxa"/>
            <w:vMerge w:val="restart"/>
            <w:vAlign w:val="center"/>
          </w:tcPr>
          <w:p>
            <w:pPr>
              <w:spacing w:line="360" w:lineRule="auto"/>
              <w:jc w:val="center"/>
              <w:rPr>
                <w:rFonts w:ascii="宋体" w:hAnsi="宋体"/>
                <w:szCs w:val="21"/>
              </w:rPr>
            </w:pPr>
            <w:r>
              <w:rPr>
                <w:rFonts w:hint="eastAsia" w:ascii="宋体" w:hAnsi="宋体"/>
                <w:szCs w:val="21"/>
              </w:rPr>
              <w:t>车辆维修工时单价报价</w:t>
            </w:r>
          </w:p>
        </w:tc>
        <w:tc>
          <w:tcPr>
            <w:tcW w:w="3600" w:type="dxa"/>
            <w:vAlign w:val="center"/>
          </w:tcPr>
          <w:p>
            <w:pPr>
              <w:spacing w:line="360" w:lineRule="auto"/>
              <w:jc w:val="center"/>
              <w:rPr>
                <w:rFonts w:ascii="宋体" w:hAnsi="宋体"/>
                <w:szCs w:val="21"/>
              </w:rPr>
            </w:pPr>
            <w:r>
              <w:rPr>
                <w:rFonts w:hint="eastAsia" w:ascii="宋体" w:hAnsi="宋体"/>
                <w:szCs w:val="21"/>
              </w:rPr>
              <w:t>大写：  元/小时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620" w:type="dxa"/>
            <w:vMerge w:val="continue"/>
            <w:vAlign w:val="center"/>
          </w:tcPr>
          <w:p>
            <w:pPr>
              <w:spacing w:line="420" w:lineRule="exact"/>
              <w:jc w:val="center"/>
              <w:rPr>
                <w:rFonts w:ascii="宋体" w:hAnsi="宋体"/>
                <w:b/>
                <w:szCs w:val="21"/>
              </w:rPr>
            </w:pPr>
          </w:p>
        </w:tc>
        <w:tc>
          <w:tcPr>
            <w:tcW w:w="3600" w:type="dxa"/>
            <w:vMerge w:val="continue"/>
            <w:vAlign w:val="center"/>
          </w:tcPr>
          <w:p>
            <w:pPr>
              <w:adjustRightInd w:val="0"/>
              <w:snapToGrid w:val="0"/>
              <w:spacing w:beforeLines="50" w:line="360" w:lineRule="auto"/>
              <w:jc w:val="center"/>
              <w:rPr>
                <w:rFonts w:ascii="宋体" w:hAnsi="宋体"/>
                <w:szCs w:val="21"/>
              </w:rPr>
            </w:pPr>
          </w:p>
        </w:tc>
        <w:tc>
          <w:tcPr>
            <w:tcW w:w="3600"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小写：  元/小时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620" w:type="dxa"/>
            <w:vMerge w:val="continue"/>
            <w:vAlign w:val="center"/>
          </w:tcPr>
          <w:p>
            <w:pPr>
              <w:spacing w:line="420" w:lineRule="exact"/>
              <w:jc w:val="center"/>
              <w:rPr>
                <w:rFonts w:ascii="宋体" w:hAnsi="宋体"/>
                <w:b/>
                <w:szCs w:val="21"/>
              </w:rPr>
            </w:pPr>
          </w:p>
        </w:tc>
        <w:tc>
          <w:tcPr>
            <w:tcW w:w="3600"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维修材料管理费</w:t>
            </w:r>
          </w:p>
          <w:p>
            <w:pPr>
              <w:adjustRightInd w:val="0"/>
              <w:snapToGrid w:val="0"/>
              <w:spacing w:beforeLines="50" w:line="360" w:lineRule="auto"/>
              <w:jc w:val="center"/>
              <w:rPr>
                <w:rFonts w:ascii="宋体" w:hAnsi="宋体"/>
                <w:szCs w:val="21"/>
              </w:rPr>
            </w:pPr>
            <w:r>
              <w:rPr>
                <w:rFonts w:hint="eastAsia" w:ascii="宋体" w:hAnsi="宋体"/>
                <w:szCs w:val="21"/>
              </w:rPr>
              <w:t>（即配件进销差价）收费比例</w:t>
            </w:r>
          </w:p>
        </w:tc>
        <w:tc>
          <w:tcPr>
            <w:tcW w:w="3600" w:type="dxa"/>
            <w:vAlign w:val="center"/>
          </w:tcPr>
          <w:p>
            <w:pPr>
              <w:adjustRightInd w:val="0"/>
              <w:snapToGrid w:val="0"/>
              <w:spacing w:beforeLines="50" w:line="360" w:lineRule="auto"/>
              <w:jc w:val="center"/>
              <w:rPr>
                <w:rFonts w:ascii="宋体" w:hAnsi="宋体"/>
                <w:szCs w:val="21"/>
              </w:rPr>
            </w:pPr>
            <w:r>
              <w:rPr>
                <w:rFonts w:hint="eastAsia" w:ascii="宋体" w:hAnsi="宋体"/>
                <w:szCs w:val="21"/>
              </w:rPr>
              <w:t>配件进销差价率％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620" w:type="dxa"/>
            <w:vAlign w:val="center"/>
          </w:tcPr>
          <w:p>
            <w:pPr>
              <w:spacing w:line="420" w:lineRule="exact"/>
              <w:jc w:val="center"/>
              <w:rPr>
                <w:rFonts w:ascii="宋体" w:hAnsi="宋体"/>
                <w:b/>
                <w:szCs w:val="21"/>
              </w:rPr>
            </w:pPr>
            <w:r>
              <w:rPr>
                <w:rFonts w:hint="eastAsia" w:ascii="宋体" w:hAnsi="宋体"/>
                <w:b/>
                <w:szCs w:val="21"/>
              </w:rPr>
              <w:t>质保期</w:t>
            </w:r>
          </w:p>
        </w:tc>
        <w:tc>
          <w:tcPr>
            <w:tcW w:w="7200" w:type="dxa"/>
            <w:gridSpan w:val="2"/>
            <w:vAlign w:val="center"/>
          </w:tcPr>
          <w:p>
            <w:pPr>
              <w:adjustRightInd w:val="0"/>
              <w:snapToGrid w:val="0"/>
              <w:spacing w:beforeLines="50"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1620" w:type="dxa"/>
            <w:vAlign w:val="center"/>
          </w:tcPr>
          <w:p>
            <w:pPr>
              <w:spacing w:line="420" w:lineRule="exact"/>
              <w:jc w:val="center"/>
              <w:rPr>
                <w:rFonts w:ascii="宋体" w:hAnsi="宋体"/>
                <w:szCs w:val="21"/>
              </w:rPr>
            </w:pPr>
            <w:r>
              <w:rPr>
                <w:rFonts w:ascii="宋体" w:hAnsi="宋体"/>
                <w:szCs w:val="21"/>
              </w:rPr>
              <w:t>备  注</w:t>
            </w:r>
          </w:p>
        </w:tc>
        <w:tc>
          <w:tcPr>
            <w:tcW w:w="7200" w:type="dxa"/>
            <w:gridSpan w:val="2"/>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left="-88" w:leftChars="-42" w:firstLine="413" w:firstLineChars="196"/>
        <w:rPr>
          <w:rFonts w:ascii="宋体" w:hAnsi="宋体"/>
          <w:b/>
          <w:szCs w:val="21"/>
        </w:rPr>
      </w:pPr>
      <w:r>
        <w:rPr>
          <w:rFonts w:hint="eastAsia" w:ascii="宋体" w:hAnsi="宋体"/>
          <w:b/>
          <w:szCs w:val="21"/>
        </w:rPr>
        <w:t>1.本次谈判为一次性报价，以人民币报价，以元为单位，并保留小数点后两位。</w:t>
      </w:r>
    </w:p>
    <w:p>
      <w:pPr>
        <w:adjustRightInd w:val="0"/>
        <w:snapToGrid w:val="0"/>
        <w:spacing w:line="360" w:lineRule="auto"/>
        <w:ind w:left="-88" w:leftChars="-42" w:firstLine="413" w:firstLineChars="196"/>
        <w:rPr>
          <w:rFonts w:ascii="宋体" w:hAnsi="宋体"/>
          <w:b/>
          <w:szCs w:val="21"/>
        </w:rPr>
      </w:pPr>
      <w:r>
        <w:rPr>
          <w:rFonts w:hint="eastAsia" w:ascii="宋体" w:hAnsi="宋体"/>
          <w:b/>
          <w:szCs w:val="21"/>
        </w:rPr>
        <w:t>2.车辆维修工时单价报价不得超过15元，维修材料管理费报价不得超过15％。</w:t>
      </w:r>
    </w:p>
    <w:p>
      <w:pPr>
        <w:adjustRightInd w:val="0"/>
        <w:snapToGrid w:val="0"/>
        <w:spacing w:line="360" w:lineRule="auto"/>
        <w:ind w:left="-88" w:leftChars="-42" w:firstLine="413" w:firstLineChars="196"/>
        <w:rPr>
          <w:rFonts w:ascii="宋体" w:hAnsi="宋体"/>
          <w:szCs w:val="21"/>
        </w:rPr>
      </w:pPr>
      <w:r>
        <w:rPr>
          <w:rFonts w:hint="eastAsia" w:ascii="宋体" w:hAnsi="宋体"/>
          <w:b/>
          <w:szCs w:val="21"/>
        </w:rPr>
        <w:t>3.上述报价是包含了所有隐含的管理费、税金和利润等其他费用。</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adjustRightInd w:val="0"/>
        <w:snapToGrid w:val="0"/>
        <w:spacing w:line="360" w:lineRule="auto"/>
        <w:rPr>
          <w:rFonts w:ascii="宋体" w:hAnsi="宋体"/>
          <w:bCs/>
          <w:sz w:val="21"/>
          <w:szCs w:val="21"/>
        </w:rPr>
      </w:pPr>
      <w:bookmarkStart w:id="400" w:name="_Toc20752187"/>
      <w:r>
        <w:rPr>
          <w:rFonts w:hint="eastAsia" w:ascii="宋体" w:hAnsi="宋体"/>
          <w:sz w:val="21"/>
          <w:szCs w:val="21"/>
        </w:rPr>
        <w:t>谈判单位名称：</w:t>
      </w:r>
      <w:r>
        <w:rPr>
          <w:rFonts w:hint="eastAsia" w:ascii="宋体" w:hAnsi="宋体"/>
          <w:sz w:val="21"/>
          <w:szCs w:val="21"/>
          <w:u w:val="single"/>
        </w:rPr>
        <w:t xml:space="preserve">    （盖单位章）</w:t>
      </w:r>
      <w:bookmarkEnd w:id="400"/>
    </w:p>
    <w:p>
      <w:pPr>
        <w:adjustRightInd w:val="0"/>
        <w:snapToGrid w:val="0"/>
        <w:spacing w:line="360" w:lineRule="auto"/>
        <w:rPr>
          <w:rFonts w:ascii="宋体" w:hAnsi="宋体"/>
          <w:szCs w:val="21"/>
        </w:rPr>
      </w:pPr>
      <w:bookmarkStart w:id="401" w:name="_Toc20752188"/>
      <w:r>
        <w:rPr>
          <w:rFonts w:hint="eastAsia" w:ascii="宋体" w:hAnsi="宋体"/>
          <w:szCs w:val="21"/>
        </w:rPr>
        <w:t>法定代表人或其委托代理人(签字或盖章)：</w:t>
      </w:r>
      <w:bookmarkEnd w:id="401"/>
    </w:p>
    <w:p>
      <w:pPr>
        <w:spacing w:line="360" w:lineRule="auto"/>
        <w:rPr>
          <w:rFonts w:ascii="宋体"/>
        </w:rPr>
      </w:pPr>
      <w:r>
        <w:rPr>
          <w:rFonts w:hint="eastAsia" w:ascii="宋体" w:hAnsi="宋体"/>
          <w:szCs w:val="21"/>
        </w:rPr>
        <w:t>日期：年月日</w:t>
      </w:r>
    </w:p>
    <w:p>
      <w:pPr>
        <w:adjustRightInd w:val="0"/>
        <w:snapToGrid w:val="0"/>
        <w:spacing w:line="360" w:lineRule="auto"/>
        <w:rPr>
          <w:rFonts w:ascii="黑体" w:eastAsia="黑体"/>
          <w:b/>
          <w:sz w:val="32"/>
          <w:szCs w:val="32"/>
        </w:rPr>
      </w:pPr>
    </w:p>
    <w:p>
      <w:pPr>
        <w:pStyle w:val="2"/>
        <w:sectPr>
          <w:pgSz w:w="11906" w:h="16838"/>
          <w:pgMar w:top="1440" w:right="1797" w:bottom="1440" w:left="1797" w:header="851" w:footer="851" w:gutter="0"/>
          <w:cols w:space="720" w:num="1"/>
        </w:sectPr>
      </w:pPr>
    </w:p>
    <w:p>
      <w:pPr>
        <w:ind w:firstLine="643" w:firstLineChars="200"/>
        <w:jc w:val="center"/>
        <w:outlineLvl w:val="0"/>
        <w:rPr>
          <w:rFonts w:ascii="宋体" w:hAnsi="宋体"/>
          <w:b/>
          <w:sz w:val="32"/>
          <w:szCs w:val="32"/>
        </w:rPr>
      </w:pPr>
      <w:bookmarkStart w:id="402" w:name="_Toc20752189"/>
      <w:bookmarkStart w:id="403" w:name="_Toc20753129"/>
      <w:bookmarkStart w:id="404" w:name="_Toc20753232"/>
      <w:r>
        <w:rPr>
          <w:rFonts w:hint="eastAsia" w:ascii="宋体" w:hAnsi="宋体"/>
          <w:b/>
          <w:sz w:val="32"/>
          <w:szCs w:val="32"/>
        </w:rPr>
        <w:t>六、其他资料(如有)</w:t>
      </w:r>
      <w:bookmarkEnd w:id="402"/>
      <w:bookmarkEnd w:id="403"/>
      <w:bookmarkEnd w:id="404"/>
    </w:p>
    <w:p>
      <w:pPr>
        <w:adjustRightInd w:val="0"/>
        <w:snapToGrid w:val="0"/>
        <w:spacing w:beforeLines="50" w:line="360" w:lineRule="auto"/>
        <w:jc w:val="center"/>
        <w:outlineLvl w:val="0"/>
        <w:rPr>
          <w:rFonts w:ascii="宋体" w:hAnsi="宋体"/>
          <w:sz w:val="28"/>
          <w:szCs w:val="28"/>
        </w:rPr>
      </w:pPr>
    </w:p>
    <w:p>
      <w:pPr>
        <w:adjustRightInd w:val="0"/>
        <w:snapToGrid w:val="0"/>
        <w:spacing w:beforeLines="50" w:line="360" w:lineRule="auto"/>
        <w:jc w:val="center"/>
        <w:rPr>
          <w:rFonts w:ascii="宋体" w:hAnsi="宋体"/>
          <w:szCs w:val="21"/>
        </w:rPr>
      </w:pPr>
      <w:bookmarkStart w:id="405" w:name="_Toc20752190"/>
      <w:r>
        <w:rPr>
          <w:rFonts w:hint="eastAsia" w:ascii="宋体" w:hAnsi="宋体"/>
          <w:szCs w:val="21"/>
        </w:rPr>
        <w:t>谈判单位认为需要提供的其他报价资料，格式自拟。</w:t>
      </w:r>
      <w:bookmarkEnd w:id="405"/>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Arial Unicode MS"/>
    <w:panose1 w:val="02010600030101010101"/>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9268109"/>
    </w:sdtPr>
    <w:sdtContent>
      <w:p>
        <w:pPr>
          <w:pStyle w:val="3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654"/>
    </w:sdtPr>
    <w:sdtContent>
      <w:p>
        <w:pPr>
          <w:pStyle w:val="30"/>
          <w:jc w:val="center"/>
        </w:pPr>
        <w:r>
          <w:fldChar w:fldCharType="begin"/>
        </w:r>
        <w:r>
          <w:instrText xml:space="preserve"> PAGE   \* MERGEFORMAT </w:instrText>
        </w:r>
        <w:r>
          <w:fldChar w:fldCharType="separate"/>
        </w:r>
        <w:r>
          <w:rPr>
            <w:lang w:val="zh-CN"/>
          </w:rPr>
          <w:t>17</w:t>
        </w:r>
        <w:r>
          <w:rPr>
            <w:lang w:val="zh-CN"/>
          </w:rPr>
          <w:fldChar w:fldCharType="end"/>
        </w:r>
      </w:p>
    </w:sdtContent>
  </w:sdt>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83659"/>
    </w:sdtPr>
    <w:sdtContent>
      <w:p>
        <w:pPr>
          <w:pStyle w:val="30"/>
          <w:jc w:val="center"/>
        </w:pPr>
        <w:r>
          <w:fldChar w:fldCharType="begin"/>
        </w:r>
        <w:r>
          <w:instrText xml:space="preserve">PAGE   \* MERGEFORMAT</w:instrText>
        </w:r>
        <w:r>
          <w:fldChar w:fldCharType="separate"/>
        </w:r>
        <w:r>
          <w:rPr>
            <w:lang w:val="zh-CN"/>
          </w:rPr>
          <w:t>21</w:t>
        </w:r>
        <w:r>
          <w:rPr>
            <w:lang w:val="zh-CN"/>
          </w:rPr>
          <w:fldChar w:fldCharType="end"/>
        </w:r>
      </w:p>
    </w:sdtContent>
  </w:sdt>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0"/>
                  <w:rPr>
                    <w:rFonts w:eastAsia="仿宋_GB2312"/>
                  </w:rPr>
                </w:pPr>
                <w:r>
                  <w:fldChar w:fldCharType="begin"/>
                </w:r>
                <w:r>
                  <w:instrText xml:space="preserve"> PAGE  \* MERGEFORMAT </w:instrText>
                </w:r>
                <w:r>
                  <w:fldChar w:fldCharType="separate"/>
                </w:r>
                <w:r>
                  <w:t>33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1" o:spid="_x0000_s307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30"/>
                  <w:rPr>
                    <w:rFonts w:eastAsia="仿宋_GB2312"/>
                  </w:rPr>
                </w:pPr>
                <w:r>
                  <w:fldChar w:fldCharType="begin"/>
                </w:r>
                <w:r>
                  <w:instrText xml:space="preserve"> PAGE  \* MERGEFORMAT </w:instrText>
                </w:r>
                <w:r>
                  <w:fldChar w:fldCharType="separate"/>
                </w:r>
                <w:r>
                  <w:t>23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0"/>
                  <w:rPr>
                    <w:rFonts w:eastAsia="仿宋_GB2312"/>
                  </w:rPr>
                </w:pPr>
                <w:r>
                  <w:fldChar w:fldCharType="begin"/>
                </w:r>
                <w:r>
                  <w:instrText xml:space="preserve"> PAGE  \* MERGEFORMAT </w:instrText>
                </w:r>
                <w:r>
                  <w:fldChar w:fldCharType="separate"/>
                </w:r>
                <w:r>
                  <w:t>43</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38248D8C"/>
    <w:multiLevelType w:val="singleLevel"/>
    <w:tmpl w:val="38248D8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0A41"/>
    <w:rsid w:val="00001086"/>
    <w:rsid w:val="00005EC9"/>
    <w:rsid w:val="00006D21"/>
    <w:rsid w:val="00016902"/>
    <w:rsid w:val="000274C6"/>
    <w:rsid w:val="00030049"/>
    <w:rsid w:val="00030F52"/>
    <w:rsid w:val="000351B1"/>
    <w:rsid w:val="00052640"/>
    <w:rsid w:val="00063D15"/>
    <w:rsid w:val="00074928"/>
    <w:rsid w:val="00091C9D"/>
    <w:rsid w:val="000B12EC"/>
    <w:rsid w:val="000C106E"/>
    <w:rsid w:val="000C2EBD"/>
    <w:rsid w:val="00115FE6"/>
    <w:rsid w:val="00137D9A"/>
    <w:rsid w:val="001453A1"/>
    <w:rsid w:val="00162D59"/>
    <w:rsid w:val="00186162"/>
    <w:rsid w:val="00193426"/>
    <w:rsid w:val="001C23BF"/>
    <w:rsid w:val="001C7A5C"/>
    <w:rsid w:val="001F04FA"/>
    <w:rsid w:val="002069C8"/>
    <w:rsid w:val="002139EB"/>
    <w:rsid w:val="0022188F"/>
    <w:rsid w:val="00222DFA"/>
    <w:rsid w:val="00230A1A"/>
    <w:rsid w:val="002314A3"/>
    <w:rsid w:val="002523FD"/>
    <w:rsid w:val="00253541"/>
    <w:rsid w:val="00255546"/>
    <w:rsid w:val="00286014"/>
    <w:rsid w:val="00292AD1"/>
    <w:rsid w:val="002B1D56"/>
    <w:rsid w:val="003102A2"/>
    <w:rsid w:val="00331810"/>
    <w:rsid w:val="00364CE1"/>
    <w:rsid w:val="00377408"/>
    <w:rsid w:val="00380064"/>
    <w:rsid w:val="00381105"/>
    <w:rsid w:val="0038515B"/>
    <w:rsid w:val="003958B2"/>
    <w:rsid w:val="0039632C"/>
    <w:rsid w:val="003B1109"/>
    <w:rsid w:val="003B3148"/>
    <w:rsid w:val="003D080C"/>
    <w:rsid w:val="003E53AD"/>
    <w:rsid w:val="003F46A7"/>
    <w:rsid w:val="004014FD"/>
    <w:rsid w:val="00423B85"/>
    <w:rsid w:val="00453EE9"/>
    <w:rsid w:val="00461243"/>
    <w:rsid w:val="004704CB"/>
    <w:rsid w:val="00473865"/>
    <w:rsid w:val="00474554"/>
    <w:rsid w:val="0048093D"/>
    <w:rsid w:val="00487491"/>
    <w:rsid w:val="00495DBC"/>
    <w:rsid w:val="00495F57"/>
    <w:rsid w:val="004E66B5"/>
    <w:rsid w:val="00504DED"/>
    <w:rsid w:val="0051510B"/>
    <w:rsid w:val="0051741A"/>
    <w:rsid w:val="00526589"/>
    <w:rsid w:val="00533B10"/>
    <w:rsid w:val="00545140"/>
    <w:rsid w:val="0055214F"/>
    <w:rsid w:val="005556A5"/>
    <w:rsid w:val="0055662C"/>
    <w:rsid w:val="0056143E"/>
    <w:rsid w:val="0058754B"/>
    <w:rsid w:val="005B39A5"/>
    <w:rsid w:val="005C688B"/>
    <w:rsid w:val="005E6BBB"/>
    <w:rsid w:val="005F5B3D"/>
    <w:rsid w:val="0063525C"/>
    <w:rsid w:val="00640DCE"/>
    <w:rsid w:val="00641E72"/>
    <w:rsid w:val="00676A6D"/>
    <w:rsid w:val="0068221A"/>
    <w:rsid w:val="0068504A"/>
    <w:rsid w:val="0068515F"/>
    <w:rsid w:val="00687C87"/>
    <w:rsid w:val="00691DB8"/>
    <w:rsid w:val="006B23C2"/>
    <w:rsid w:val="006B6300"/>
    <w:rsid w:val="006B760E"/>
    <w:rsid w:val="006B784E"/>
    <w:rsid w:val="006C33BC"/>
    <w:rsid w:val="006C4EA3"/>
    <w:rsid w:val="006D0A13"/>
    <w:rsid w:val="006E025D"/>
    <w:rsid w:val="006E0FE3"/>
    <w:rsid w:val="006F5FAC"/>
    <w:rsid w:val="006F6095"/>
    <w:rsid w:val="0070784A"/>
    <w:rsid w:val="00730CC6"/>
    <w:rsid w:val="00740D0D"/>
    <w:rsid w:val="00772A85"/>
    <w:rsid w:val="0078457B"/>
    <w:rsid w:val="00792D17"/>
    <w:rsid w:val="00793ABB"/>
    <w:rsid w:val="0079784E"/>
    <w:rsid w:val="007C3313"/>
    <w:rsid w:val="007D0446"/>
    <w:rsid w:val="007F3811"/>
    <w:rsid w:val="00802770"/>
    <w:rsid w:val="0081382B"/>
    <w:rsid w:val="008511F3"/>
    <w:rsid w:val="00863480"/>
    <w:rsid w:val="00872278"/>
    <w:rsid w:val="00897210"/>
    <w:rsid w:val="008B6242"/>
    <w:rsid w:val="008B6BF5"/>
    <w:rsid w:val="008C7C9F"/>
    <w:rsid w:val="0090471A"/>
    <w:rsid w:val="00911D9F"/>
    <w:rsid w:val="00915948"/>
    <w:rsid w:val="00923E97"/>
    <w:rsid w:val="00966AB2"/>
    <w:rsid w:val="00986ECA"/>
    <w:rsid w:val="009A5642"/>
    <w:rsid w:val="009B428A"/>
    <w:rsid w:val="009B5270"/>
    <w:rsid w:val="009C10AF"/>
    <w:rsid w:val="009C68F4"/>
    <w:rsid w:val="009D41D7"/>
    <w:rsid w:val="009D7D4A"/>
    <w:rsid w:val="009E03FD"/>
    <w:rsid w:val="00A34DC1"/>
    <w:rsid w:val="00A41E73"/>
    <w:rsid w:val="00A618F2"/>
    <w:rsid w:val="00A61CCE"/>
    <w:rsid w:val="00A769D8"/>
    <w:rsid w:val="00A92B7C"/>
    <w:rsid w:val="00AA1709"/>
    <w:rsid w:val="00AB013C"/>
    <w:rsid w:val="00AD758B"/>
    <w:rsid w:val="00AF11ED"/>
    <w:rsid w:val="00B01BA0"/>
    <w:rsid w:val="00B4609E"/>
    <w:rsid w:val="00B5513E"/>
    <w:rsid w:val="00B676E5"/>
    <w:rsid w:val="00B74689"/>
    <w:rsid w:val="00B82298"/>
    <w:rsid w:val="00B82869"/>
    <w:rsid w:val="00BA271D"/>
    <w:rsid w:val="00BD0F3A"/>
    <w:rsid w:val="00BD38AB"/>
    <w:rsid w:val="00C0069B"/>
    <w:rsid w:val="00C130F1"/>
    <w:rsid w:val="00C20479"/>
    <w:rsid w:val="00C532E5"/>
    <w:rsid w:val="00C57914"/>
    <w:rsid w:val="00C6008B"/>
    <w:rsid w:val="00C758E3"/>
    <w:rsid w:val="00C80A6F"/>
    <w:rsid w:val="00CA365B"/>
    <w:rsid w:val="00CB534B"/>
    <w:rsid w:val="00CE51F2"/>
    <w:rsid w:val="00CE631C"/>
    <w:rsid w:val="00CE703D"/>
    <w:rsid w:val="00CF0192"/>
    <w:rsid w:val="00D0567B"/>
    <w:rsid w:val="00D164FE"/>
    <w:rsid w:val="00D31733"/>
    <w:rsid w:val="00D43330"/>
    <w:rsid w:val="00D65365"/>
    <w:rsid w:val="00D75A9C"/>
    <w:rsid w:val="00D81C9D"/>
    <w:rsid w:val="00D84A7F"/>
    <w:rsid w:val="00DA3E4B"/>
    <w:rsid w:val="00DA51BD"/>
    <w:rsid w:val="00DF363F"/>
    <w:rsid w:val="00E0639F"/>
    <w:rsid w:val="00E32EEF"/>
    <w:rsid w:val="00E77817"/>
    <w:rsid w:val="00E84CF4"/>
    <w:rsid w:val="00E944EE"/>
    <w:rsid w:val="00ED4475"/>
    <w:rsid w:val="00EE194E"/>
    <w:rsid w:val="00EF6911"/>
    <w:rsid w:val="00F37996"/>
    <w:rsid w:val="00F410E0"/>
    <w:rsid w:val="00F579E9"/>
    <w:rsid w:val="00F76BC6"/>
    <w:rsid w:val="00FA6734"/>
    <w:rsid w:val="00FE2A82"/>
    <w:rsid w:val="00FE3179"/>
    <w:rsid w:val="00FE3699"/>
    <w:rsid w:val="097D1C20"/>
    <w:rsid w:val="110E593C"/>
    <w:rsid w:val="136544CD"/>
    <w:rsid w:val="15CC7550"/>
    <w:rsid w:val="1A2B1753"/>
    <w:rsid w:val="1B882B4E"/>
    <w:rsid w:val="1D51231F"/>
    <w:rsid w:val="213E6B46"/>
    <w:rsid w:val="23405F49"/>
    <w:rsid w:val="262E0EEB"/>
    <w:rsid w:val="2A982B11"/>
    <w:rsid w:val="2B5656C4"/>
    <w:rsid w:val="2EF167DD"/>
    <w:rsid w:val="349442B8"/>
    <w:rsid w:val="34DC1D94"/>
    <w:rsid w:val="392B2144"/>
    <w:rsid w:val="3EA12122"/>
    <w:rsid w:val="434660D0"/>
    <w:rsid w:val="47DE769D"/>
    <w:rsid w:val="49646131"/>
    <w:rsid w:val="508843E0"/>
    <w:rsid w:val="522848C0"/>
    <w:rsid w:val="525E2C7D"/>
    <w:rsid w:val="52AE5A94"/>
    <w:rsid w:val="538A7EC5"/>
    <w:rsid w:val="54141C53"/>
    <w:rsid w:val="5444354A"/>
    <w:rsid w:val="54661993"/>
    <w:rsid w:val="570C3D32"/>
    <w:rsid w:val="57447238"/>
    <w:rsid w:val="596D221D"/>
    <w:rsid w:val="5ACB0088"/>
    <w:rsid w:val="5C524815"/>
    <w:rsid w:val="5D3A1AB1"/>
    <w:rsid w:val="5DFA04F4"/>
    <w:rsid w:val="60F765D6"/>
    <w:rsid w:val="62E35C5C"/>
    <w:rsid w:val="6B9A172A"/>
    <w:rsid w:val="6DEE0A7D"/>
    <w:rsid w:val="70C73222"/>
    <w:rsid w:val="75B6664B"/>
    <w:rsid w:val="77F20A46"/>
    <w:rsid w:val="7AB93CAD"/>
    <w:rsid w:val="7EAA33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17"/>
    <w:qFormat/>
    <w:uiPriority w:val="99"/>
    <w:pPr>
      <w:spacing w:after="120"/>
    </w:pPr>
  </w:style>
  <w:style w:type="paragraph" w:styleId="12">
    <w:name w:val="toc 7"/>
    <w:basedOn w:val="1"/>
    <w:next w:val="1"/>
    <w:qFormat/>
    <w:uiPriority w:val="39"/>
    <w:pPr>
      <w:ind w:left="2520" w:leftChars="1200"/>
    </w:pPr>
    <w:rPr>
      <w:rFonts w:ascii="Calibri" w:hAnsi="Calibri"/>
      <w:szCs w:val="22"/>
    </w:rPr>
  </w:style>
  <w:style w:type="paragraph" w:styleId="13">
    <w:name w:val="table of authorities"/>
    <w:basedOn w:val="1"/>
    <w:next w:val="1"/>
    <w:qFormat/>
    <w:uiPriority w:val="99"/>
    <w:pPr>
      <w:ind w:left="420" w:leftChars="200"/>
    </w:pPr>
    <w:rPr>
      <w:rFonts w:ascii="Calibri" w:hAnsi="Calibri"/>
    </w:rPr>
  </w:style>
  <w:style w:type="paragraph" w:styleId="14">
    <w:name w:val="Normal Indent"/>
    <w:basedOn w:val="1"/>
    <w:link w:val="293"/>
    <w:qFormat/>
    <w:uiPriority w:val="0"/>
    <w:pPr>
      <w:widowControl/>
      <w:ind w:firstLine="420"/>
      <w:jc w:val="left"/>
    </w:pPr>
    <w:rPr>
      <w:kern w:val="0"/>
      <w:sz w:val="20"/>
      <w:szCs w:val="20"/>
    </w:rPr>
  </w:style>
  <w:style w:type="paragraph" w:styleId="15">
    <w:name w:val="Document Map"/>
    <w:basedOn w:val="1"/>
    <w:link w:val="127"/>
    <w:qFormat/>
    <w:uiPriority w:val="0"/>
    <w:pPr>
      <w:shd w:val="clear" w:color="auto" w:fill="000080"/>
    </w:pPr>
  </w:style>
  <w:style w:type="paragraph" w:styleId="16">
    <w:name w:val="toa heading"/>
    <w:basedOn w:val="1"/>
    <w:next w:val="1"/>
    <w:unhideWhenUsed/>
    <w:qFormat/>
    <w:uiPriority w:val="0"/>
    <w:pPr>
      <w:spacing w:before="120"/>
    </w:pPr>
    <w:rPr>
      <w:rFonts w:hint="eastAsia" w:ascii="Arial" w:hAnsi="Arial"/>
    </w:rPr>
  </w:style>
  <w:style w:type="paragraph" w:styleId="17">
    <w:name w:val="annotation text"/>
    <w:basedOn w:val="1"/>
    <w:link w:val="109"/>
    <w:unhideWhenUsed/>
    <w:qFormat/>
    <w:uiPriority w:val="99"/>
    <w:pPr>
      <w:jc w:val="left"/>
    </w:pPr>
  </w:style>
  <w:style w:type="paragraph" w:styleId="18">
    <w:name w:val="Salutation"/>
    <w:basedOn w:val="1"/>
    <w:next w:val="1"/>
    <w:link w:val="114"/>
    <w:qFormat/>
    <w:uiPriority w:val="0"/>
    <w:rPr>
      <w:rFonts w:ascii="仿宋_GB2312" w:eastAsia="仿宋_GB2312"/>
      <w:sz w:val="24"/>
    </w:rPr>
  </w:style>
  <w:style w:type="paragraph" w:styleId="19">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39"/>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39"/>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99"/>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6"/>
    <w:unhideWhenUsed/>
    <w:qFormat/>
    <w:uiPriority w:val="39"/>
  </w:style>
  <w:style w:type="paragraph" w:styleId="33">
    <w:name w:val="toc 4"/>
    <w:basedOn w:val="1"/>
    <w:next w:val="1"/>
    <w:qFormat/>
    <w:uiPriority w:val="39"/>
    <w:pPr>
      <w:ind w:left="1260" w:leftChars="600"/>
    </w:pPr>
  </w:style>
  <w:style w:type="paragraph" w:styleId="34">
    <w:name w:val="Subtitle"/>
    <w:basedOn w:val="1"/>
    <w:next w:val="1"/>
    <w:link w:val="125"/>
    <w:qFormat/>
    <w:uiPriority w:val="0"/>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39"/>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39"/>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7"/>
    <w:next w:val="17"/>
    <w:link w:val="86"/>
    <w:qFormat/>
    <w:uiPriority w:val="0"/>
    <w:rPr>
      <w:rFonts w:ascii="Calibri" w:hAnsi="Calibri" w:cs="黑体"/>
      <w:b/>
      <w:bCs/>
    </w:rPr>
  </w:style>
  <w:style w:type="paragraph" w:styleId="45">
    <w:name w:val="Body Text First Indent"/>
    <w:basedOn w:val="2"/>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99"/>
    <w:rPr>
      <w:sz w:val="18"/>
      <w:szCs w:val="18"/>
    </w:rPr>
  </w:style>
  <w:style w:type="character" w:customStyle="1" w:styleId="63">
    <w:name w:val="标题 1 Char1"/>
    <w:basedOn w:val="48"/>
    <w:link w:val="3"/>
    <w:qFormat/>
    <w:uiPriority w:val="0"/>
    <w:rPr>
      <w:rFonts w:ascii="Times New Roman" w:hAnsi="Times New Roman" w:eastAsia="宋体" w:cs="Times New Roman"/>
      <w:b/>
      <w:bCs/>
      <w:kern w:val="0"/>
      <w:sz w:val="24"/>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7"/>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8"/>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2"/>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5"/>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9"/>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2"/>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0"/>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5"/>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4"/>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5"/>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5"/>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3074"/>
    <customShpInfo spid="_x0000_s3075"/>
    <customShpInfo spid="_x0000_s3073"/>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B73B7-1386-43CB-9157-F51A6A93612F}">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3764</Words>
  <Characters>21461</Characters>
  <Lines>178</Lines>
  <Paragraphs>50</Paragraphs>
  <TotalTime>1</TotalTime>
  <ScaleCrop>false</ScaleCrop>
  <LinksUpToDate>false</LinksUpToDate>
  <CharactersWithSpaces>25175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2018-06-05T08:48:00Z</dcterms:created>
  <dc:creator>李 毅</dc:creator>
  <cp:lastModifiedBy>Administrator</cp:lastModifiedBy>
  <cp:lastPrinted>2019-09-30T04:21:00Z</cp:lastPrinted>
  <dcterms:modified xsi:type="dcterms:W3CDTF">2019-10-14T01:40:06Z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