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sz w:val="52"/>
          <w:szCs w:val="52"/>
        </w:rPr>
      </w:pPr>
    </w:p>
    <w:p>
      <w:pPr>
        <w:pStyle w:val="25"/>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jc w:val="center"/>
        <w:rPr>
          <w:rFonts w:hAnsi="宋体"/>
          <w:b/>
          <w:sz w:val="52"/>
          <w:szCs w:val="52"/>
        </w:rPr>
      </w:pPr>
      <w:r>
        <w:rPr>
          <w:rFonts w:hint="eastAsia" w:hAnsi="宋体"/>
          <w:b/>
          <w:sz w:val="52"/>
          <w:szCs w:val="52"/>
        </w:rPr>
        <w:t>自主竞争性谈判文件</w:t>
      </w:r>
    </w:p>
    <w:p>
      <w:pPr>
        <w:pStyle w:val="25"/>
        <w:adjustRightInd w:val="0"/>
        <w:snapToGrid w:val="0"/>
        <w:spacing w:beforeLines="50" w:line="360" w:lineRule="auto"/>
        <w:rPr>
          <w:b/>
          <w:sz w:val="32"/>
          <w:szCs w:val="32"/>
        </w:rPr>
      </w:pPr>
    </w:p>
    <w:p>
      <w:pPr>
        <w:pStyle w:val="25"/>
        <w:adjustRightInd w:val="0"/>
        <w:snapToGrid w:val="0"/>
        <w:spacing w:line="360" w:lineRule="auto"/>
        <w:rPr>
          <w:rFonts w:ascii="华文中宋" w:hAnsi="华文中宋" w:eastAsia="华文中宋"/>
          <w:sz w:val="32"/>
          <w:szCs w:val="32"/>
        </w:rPr>
      </w:pPr>
    </w:p>
    <w:p>
      <w:pPr>
        <w:spacing w:line="360" w:lineRule="auto"/>
        <w:ind w:left="2240" w:hanging="2249" w:hangingChars="700"/>
        <w:jc w:val="left"/>
        <w:rPr>
          <w:rFonts w:hint="eastAsia" w:ascii="宋体" w:hAnsi="宋体" w:eastAsia="宋体" w:cs="Courier New"/>
          <w:b/>
          <w:bCs w:val="0"/>
          <w:sz w:val="32"/>
          <w:szCs w:val="21"/>
          <w:u w:val="none"/>
          <w:lang w:val="en-US" w:eastAsia="zh-CN"/>
        </w:rPr>
      </w:pPr>
      <w:r>
        <w:rPr>
          <w:rFonts w:hint="eastAsia" w:ascii="宋体" w:hAnsi="宋体" w:cs="Courier New"/>
          <w:b/>
          <w:bCs w:val="0"/>
          <w:sz w:val="32"/>
          <w:szCs w:val="21"/>
        </w:rPr>
        <w:t>谈判项目名称：</w:t>
      </w:r>
      <w:r>
        <w:rPr>
          <w:rFonts w:hint="eastAsia" w:ascii="宋体" w:hAnsi="宋体" w:cs="Courier New"/>
          <w:b/>
          <w:bCs w:val="0"/>
          <w:sz w:val="32"/>
          <w:szCs w:val="21"/>
          <w:u w:val="single"/>
        </w:rPr>
        <w:t>长沙市轨道交通5号线一期工程运营期票款押运网络视频监控服务项</w:t>
      </w:r>
      <w:r>
        <w:rPr>
          <w:rFonts w:hint="eastAsia" w:ascii="宋体" w:hAnsi="宋体" w:cs="Courier New"/>
          <w:b/>
          <w:bCs w:val="0"/>
          <w:sz w:val="32"/>
          <w:szCs w:val="21"/>
          <w:u w:val="single"/>
          <w:lang w:eastAsia="zh-CN"/>
        </w:rPr>
        <w:t>目</w:t>
      </w:r>
      <w:r>
        <w:rPr>
          <w:rFonts w:hint="eastAsia" w:ascii="宋体" w:hAnsi="宋体" w:cs="Courier New"/>
          <w:b/>
          <w:bCs w:val="0"/>
          <w:sz w:val="32"/>
          <w:szCs w:val="21"/>
          <w:u w:val="single"/>
        </w:rPr>
        <w:t>（2020-2021年度）</w:t>
      </w:r>
      <w:r>
        <w:rPr>
          <w:rFonts w:hint="eastAsia" w:ascii="宋体" w:hAnsi="宋体" w:cs="Courier New"/>
          <w:b/>
          <w:bCs w:val="0"/>
          <w:sz w:val="32"/>
          <w:szCs w:val="21"/>
          <w:u w:val="single"/>
          <w:lang w:eastAsia="zh-CN"/>
        </w:rPr>
        <w:t>（第二次）</w:t>
      </w:r>
    </w:p>
    <w:p>
      <w:pPr>
        <w:spacing w:line="360" w:lineRule="auto"/>
        <w:ind w:left="2240" w:hanging="2249" w:hangingChars="700"/>
        <w:jc w:val="left"/>
        <w:rPr>
          <w:rFonts w:hint="eastAsia" w:ascii="宋体" w:hAnsi="宋体" w:cs="Courier New"/>
          <w:b/>
          <w:bCs w:val="0"/>
          <w:sz w:val="32"/>
          <w:szCs w:val="21"/>
          <w:u w:val="none"/>
        </w:rPr>
      </w:pPr>
    </w:p>
    <w:p>
      <w:pPr>
        <w:pStyle w:val="25"/>
        <w:adjustRightInd w:val="0"/>
        <w:snapToGrid w:val="0"/>
        <w:spacing w:line="360" w:lineRule="auto"/>
        <w:rPr>
          <w:rFonts w:hint="eastAsia" w:hAnsi="宋体"/>
          <w:b/>
          <w:bCs w:val="0"/>
          <w:strike w:val="0"/>
          <w:dstrike w:val="0"/>
          <w:sz w:val="32"/>
          <w:u w:val="none"/>
        </w:rPr>
      </w:pPr>
      <w:r>
        <w:rPr>
          <w:rFonts w:hint="eastAsia" w:hAnsi="宋体"/>
          <w:b/>
          <w:bCs w:val="0"/>
          <w:sz w:val="32"/>
        </w:rPr>
        <w:t>采购单位名称：</w:t>
      </w:r>
      <w:r>
        <w:rPr>
          <w:rFonts w:hint="eastAsia" w:hAnsi="宋体"/>
          <w:b/>
          <w:bCs w:val="0"/>
          <w:strike w:val="0"/>
          <w:dstrike w:val="0"/>
          <w:sz w:val="32"/>
          <w:u w:val="single"/>
        </w:rPr>
        <w:t>长沙市轨道交通</w:t>
      </w:r>
      <w:r>
        <w:rPr>
          <w:rFonts w:hint="eastAsia" w:hAnsi="宋体"/>
          <w:b/>
          <w:bCs w:val="0"/>
          <w:strike w:val="0"/>
          <w:dstrike w:val="0"/>
          <w:sz w:val="32"/>
          <w:u w:val="single"/>
          <w:lang w:eastAsia="zh-CN"/>
        </w:rPr>
        <w:t>五号线建设发展</w:t>
      </w:r>
      <w:r>
        <w:rPr>
          <w:rFonts w:hint="eastAsia" w:hAnsi="宋体"/>
          <w:b/>
          <w:bCs w:val="0"/>
          <w:strike w:val="0"/>
          <w:dstrike w:val="0"/>
          <w:sz w:val="32"/>
          <w:u w:val="single"/>
        </w:rPr>
        <w:t>有限公司</w:t>
      </w:r>
    </w:p>
    <w:p>
      <w:pPr>
        <w:pStyle w:val="25"/>
        <w:adjustRightInd w:val="0"/>
        <w:snapToGrid w:val="0"/>
        <w:spacing w:line="360" w:lineRule="auto"/>
        <w:rPr>
          <w:rFonts w:hint="eastAsia" w:hAnsi="宋体"/>
          <w:b/>
          <w:bCs w:val="0"/>
          <w:strike w:val="0"/>
          <w:dstrike w:val="0"/>
          <w:sz w:val="32"/>
          <w:u w:val="none"/>
        </w:rPr>
      </w:pPr>
    </w:p>
    <w:p>
      <w:pPr>
        <w:pStyle w:val="25"/>
        <w:adjustRightInd w:val="0"/>
        <w:snapToGrid w:val="0"/>
        <w:spacing w:line="360" w:lineRule="auto"/>
        <w:rPr>
          <w:rFonts w:hint="default" w:hAnsi="宋体" w:eastAsia="宋体"/>
          <w:b/>
          <w:bCs w:val="0"/>
          <w:color w:val="FF0000"/>
          <w:sz w:val="32"/>
          <w:u w:val="single"/>
          <w:lang w:val="en-US" w:eastAsia="zh-CN"/>
        </w:rPr>
      </w:pPr>
      <w:r>
        <w:rPr>
          <w:rFonts w:hint="eastAsia" w:hAnsi="宋体"/>
          <w:b/>
          <w:bCs w:val="0"/>
          <w:sz w:val="32"/>
        </w:rPr>
        <w:t>谈判项目编号：</w:t>
      </w:r>
      <w:r>
        <w:rPr>
          <w:rFonts w:hint="eastAsia" w:hAnsi="宋体"/>
          <w:b/>
          <w:bCs w:val="0"/>
          <w:color w:val="auto"/>
          <w:sz w:val="32"/>
          <w:u w:val="single"/>
        </w:rPr>
        <w:t>长轨运</w:t>
      </w:r>
      <w:r>
        <w:rPr>
          <w:rFonts w:hint="eastAsia" w:hAnsi="宋体"/>
          <w:b/>
          <w:bCs w:val="0"/>
          <w:color w:val="auto"/>
          <w:sz w:val="32"/>
          <w:u w:val="single"/>
          <w:lang w:eastAsia="zh-CN"/>
        </w:rPr>
        <w:t>服采</w:t>
      </w:r>
      <w:r>
        <w:rPr>
          <w:rFonts w:hint="eastAsia" w:hAnsi="宋体"/>
          <w:b/>
          <w:bCs w:val="0"/>
          <w:color w:val="auto"/>
          <w:sz w:val="32"/>
          <w:u w:val="single"/>
        </w:rPr>
        <w:t>【2019】</w:t>
      </w:r>
      <w:r>
        <w:rPr>
          <w:rFonts w:hint="eastAsia" w:hAnsi="宋体"/>
          <w:b/>
          <w:bCs w:val="0"/>
          <w:color w:val="auto"/>
          <w:sz w:val="32"/>
          <w:u w:val="single"/>
          <w:lang w:val="en-US" w:eastAsia="zh-CN"/>
        </w:rPr>
        <w:t>024号</w:t>
      </w:r>
    </w:p>
    <w:p>
      <w:pPr>
        <w:pStyle w:val="25"/>
        <w:adjustRightInd w:val="0"/>
        <w:snapToGrid w:val="0"/>
        <w:spacing w:beforeLines="50" w:line="360" w:lineRule="auto"/>
        <w:rPr>
          <w:b/>
          <w:sz w:val="32"/>
          <w:szCs w:val="32"/>
        </w:rPr>
      </w:pPr>
    </w:p>
    <w:p>
      <w:pPr>
        <w:pStyle w:val="25"/>
        <w:adjustRightInd w:val="0"/>
        <w:snapToGrid w:val="0"/>
        <w:spacing w:beforeLines="50" w:line="360" w:lineRule="auto"/>
        <w:rPr>
          <w:b/>
          <w:sz w:val="32"/>
          <w:szCs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val="0"/>
          <w:bCs/>
          <w:sz w:val="32"/>
        </w:rPr>
      </w:pPr>
    </w:p>
    <w:p>
      <w:pPr>
        <w:pStyle w:val="25"/>
        <w:adjustRightInd w:val="0"/>
        <w:snapToGrid w:val="0"/>
        <w:spacing w:line="360" w:lineRule="auto"/>
        <w:jc w:val="center"/>
        <w:rPr>
          <w:rFonts w:hint="eastAsia" w:hAnsi="宋体"/>
          <w:b w:val="0"/>
          <w:bCs/>
          <w:sz w:val="32"/>
        </w:rPr>
      </w:pPr>
      <w:r>
        <w:rPr>
          <w:rFonts w:hint="eastAsia" w:hAnsi="宋体"/>
          <w:b/>
          <w:bCs w:val="0"/>
          <w:sz w:val="32"/>
          <w:u w:val="single"/>
        </w:rPr>
        <w:t>二〇一九</w:t>
      </w:r>
      <w:r>
        <w:rPr>
          <w:rFonts w:hint="eastAsia" w:hAnsi="宋体"/>
          <w:b/>
          <w:bCs w:val="0"/>
          <w:sz w:val="32"/>
        </w:rPr>
        <w:t>年</w:t>
      </w:r>
      <w:r>
        <w:rPr>
          <w:rFonts w:hint="eastAsia" w:hAnsi="宋体"/>
          <w:b/>
          <w:bCs w:val="0"/>
          <w:sz w:val="32"/>
          <w:u w:val="single"/>
          <w:lang w:eastAsia="zh-CN"/>
        </w:rPr>
        <w:t>十</w:t>
      </w:r>
      <w:r>
        <w:rPr>
          <w:rFonts w:hint="eastAsia" w:hAnsi="宋体"/>
          <w:b/>
          <w:bCs w:val="0"/>
          <w:sz w:val="32"/>
        </w:rPr>
        <w:t>月</w:t>
      </w:r>
    </w:p>
    <w:p>
      <w:pPr>
        <w:pStyle w:val="25"/>
        <w:adjustRightInd w:val="0"/>
        <w:snapToGrid w:val="0"/>
        <w:spacing w:line="360" w:lineRule="auto"/>
        <w:jc w:val="center"/>
        <w:rPr>
          <w:rFonts w:hint="eastAsia" w:hAnsi="宋体"/>
          <w:b/>
          <w:sz w:val="32"/>
        </w:rPr>
      </w:pPr>
    </w:p>
    <w:p>
      <w:pPr>
        <w:pStyle w:val="25"/>
        <w:adjustRightInd w:val="0"/>
        <w:snapToGrid w:val="0"/>
        <w:spacing w:line="360" w:lineRule="auto"/>
        <w:jc w:val="center"/>
        <w:rPr>
          <w:rFonts w:hint="eastAsia" w:hAnsi="宋体"/>
          <w:b/>
          <w:sz w:val="32"/>
        </w:rPr>
        <w:sectPr>
          <w:pgSz w:w="11906" w:h="16838"/>
          <w:pgMar w:top="1440" w:right="1797" w:bottom="1440" w:left="1797" w:header="851" w:footer="851" w:gutter="0"/>
          <w:pgNumType w:start="1"/>
          <w:cols w:space="720" w:num="1"/>
          <w:docGrid w:linePitch="312" w:charSpace="0"/>
        </w:sectPr>
      </w:pPr>
    </w:p>
    <w:p>
      <w:pPr>
        <w:jc w:val="center"/>
        <w:rPr>
          <w:rFonts w:hint="eastAsia" w:ascii="宋体" w:hAnsi="宋体" w:cs="宋体"/>
          <w:b/>
          <w:bCs/>
          <w:sz w:val="32"/>
          <w:szCs w:val="32"/>
          <w:lang w:eastAsia="zh-CN"/>
        </w:rPr>
      </w:pPr>
      <w:bookmarkStart w:id="0" w:name="_Toc14891064"/>
      <w:r>
        <w:rPr>
          <w:rFonts w:hint="eastAsia" w:ascii="宋体" w:hAnsi="宋体" w:cs="宋体"/>
          <w:b/>
          <w:bCs/>
          <w:sz w:val="32"/>
          <w:szCs w:val="32"/>
          <w:lang w:eastAsia="zh-CN"/>
        </w:rPr>
        <w:t>目</w:t>
      </w:r>
      <w:r>
        <w:rPr>
          <w:rFonts w:hint="eastAsia" w:ascii="宋体" w:hAnsi="宋体" w:cs="宋体"/>
          <w:b/>
          <w:bCs/>
          <w:sz w:val="32"/>
          <w:szCs w:val="32"/>
          <w:lang w:val="en-US" w:eastAsia="zh-CN"/>
        </w:rPr>
        <w:t xml:space="preserve">   </w:t>
      </w:r>
      <w:r>
        <w:rPr>
          <w:rFonts w:hint="eastAsia" w:ascii="宋体" w:hAnsi="宋体" w:cs="宋体"/>
          <w:b/>
          <w:bCs/>
          <w:sz w:val="32"/>
          <w:szCs w:val="32"/>
          <w:lang w:eastAsia="zh-CN"/>
        </w:rPr>
        <w:t>录</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lang w:eastAsia="zh-CN"/>
        </w:rPr>
      </w:pP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fldChar w:fldCharType="begin"/>
      </w:r>
      <w:r>
        <w:instrText xml:space="preserve">TOC \o "1-2" \h \u </w:instrText>
      </w:r>
      <w: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_Toc3621 </w:instrText>
      </w:r>
      <w:r>
        <w:rPr>
          <w:rFonts w:hint="eastAsia" w:ascii="宋体" w:hAnsi="宋体" w:eastAsia="宋体" w:cs="宋体"/>
        </w:rPr>
        <w:fldChar w:fldCharType="separate"/>
      </w:r>
      <w:r>
        <w:rPr>
          <w:rFonts w:hint="eastAsia" w:ascii="宋体" w:hAnsi="宋体" w:eastAsia="宋体" w:cs="宋体"/>
          <w:szCs w:val="32"/>
        </w:rPr>
        <w:t>第一章  谈判邀请公告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_Toc3621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_Toc10483 </w:instrText>
      </w:r>
      <w:r>
        <w:rPr>
          <w:rFonts w:hint="eastAsia" w:ascii="宋体" w:hAnsi="宋体" w:eastAsia="宋体" w:cs="宋体"/>
        </w:rPr>
        <w:fldChar w:fldCharType="separate"/>
      </w:r>
      <w:r>
        <w:rPr>
          <w:rFonts w:hint="eastAsia" w:ascii="宋体" w:hAnsi="宋体" w:eastAsia="宋体" w:cs="宋体"/>
          <w:bCs w:val="0"/>
          <w:szCs w:val="32"/>
        </w:rPr>
        <w:t xml:space="preserve">第二章 </w:t>
      </w:r>
      <w:r>
        <w:rPr>
          <w:rFonts w:hint="eastAsia" w:ascii="宋体" w:hAnsi="宋体" w:eastAsia="宋体" w:cs="宋体"/>
          <w:bCs w:val="0"/>
          <w:szCs w:val="32"/>
          <w:lang w:val="en-US" w:eastAsia="zh-CN"/>
        </w:rPr>
        <w:t xml:space="preserve"> </w:t>
      </w:r>
      <w:r>
        <w:rPr>
          <w:rFonts w:hint="eastAsia" w:ascii="宋体" w:hAnsi="宋体" w:eastAsia="宋体" w:cs="宋体"/>
          <w:bCs w:val="0"/>
          <w:szCs w:val="32"/>
        </w:rPr>
        <w:t>谈判须知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_Toc10483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_Toc28089 </w:instrText>
      </w:r>
      <w:r>
        <w:rPr>
          <w:rFonts w:hint="eastAsia" w:ascii="宋体" w:hAnsi="宋体" w:eastAsia="宋体" w:cs="宋体"/>
        </w:rPr>
        <w:fldChar w:fldCharType="separate"/>
      </w:r>
      <w:r>
        <w:rPr>
          <w:rFonts w:hint="eastAsia" w:ascii="宋体" w:hAnsi="宋体" w:eastAsia="宋体" w:cs="宋体"/>
          <w:szCs w:val="32"/>
        </w:rPr>
        <w:t>谈判须知前附表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_Toc28089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_Toc31558 </w:instrText>
      </w:r>
      <w:r>
        <w:rPr>
          <w:rFonts w:hint="eastAsia" w:ascii="宋体" w:hAnsi="宋体" w:eastAsia="宋体" w:cs="宋体"/>
        </w:rPr>
        <w:fldChar w:fldCharType="separate"/>
      </w:r>
      <w:r>
        <w:rPr>
          <w:rFonts w:hint="eastAsia" w:ascii="宋体" w:hAnsi="宋体" w:eastAsia="宋体" w:cs="宋体"/>
          <w:bCs/>
          <w:szCs w:val="32"/>
        </w:rPr>
        <w:t>谈判须知正文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_Toc31558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_Toc11440 </w:instrText>
      </w:r>
      <w:r>
        <w:rPr>
          <w:rFonts w:hint="eastAsia" w:ascii="宋体" w:hAnsi="宋体" w:eastAsia="宋体" w:cs="宋体"/>
        </w:rPr>
        <w:fldChar w:fldCharType="separate"/>
      </w:r>
      <w:r>
        <w:rPr>
          <w:rFonts w:hint="eastAsia" w:ascii="宋体" w:hAnsi="宋体" w:eastAsia="宋体" w:cs="宋体"/>
          <w:szCs w:val="21"/>
        </w:rPr>
        <w:t>一、说明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_Toc11440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_Toc303 </w:instrText>
      </w:r>
      <w:r>
        <w:rPr>
          <w:rFonts w:hint="eastAsia" w:ascii="宋体" w:hAnsi="宋体" w:eastAsia="宋体" w:cs="宋体"/>
        </w:rPr>
        <w:fldChar w:fldCharType="separate"/>
      </w:r>
      <w:r>
        <w:rPr>
          <w:rFonts w:hint="eastAsia" w:ascii="宋体" w:hAnsi="宋体" w:eastAsia="宋体" w:cs="宋体"/>
          <w:szCs w:val="21"/>
        </w:rPr>
        <w:t>二、谈判文件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_Toc9387 </w:instrText>
      </w:r>
      <w:r>
        <w:rPr>
          <w:rFonts w:hint="eastAsia" w:ascii="宋体" w:hAnsi="宋体" w:eastAsia="宋体" w:cs="宋体"/>
        </w:rPr>
        <w:fldChar w:fldCharType="separate"/>
      </w:r>
      <w:r>
        <w:rPr>
          <w:rFonts w:hint="eastAsia" w:ascii="宋体" w:hAnsi="宋体" w:eastAsia="宋体" w:cs="宋体"/>
          <w:szCs w:val="21"/>
        </w:rPr>
        <w:t>三、响应文件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_Toc9387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_Toc1468 </w:instrText>
      </w:r>
      <w:r>
        <w:rPr>
          <w:rFonts w:hint="eastAsia" w:ascii="宋体" w:hAnsi="宋体" w:eastAsia="宋体" w:cs="宋体"/>
        </w:rPr>
        <w:fldChar w:fldCharType="separate"/>
      </w:r>
      <w:r>
        <w:rPr>
          <w:rFonts w:hint="eastAsia" w:ascii="宋体" w:hAnsi="宋体" w:eastAsia="宋体" w:cs="宋体"/>
          <w:szCs w:val="21"/>
        </w:rPr>
        <w:t>四、响应文件的递交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_Toc1468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_Toc13483 </w:instrText>
      </w:r>
      <w:r>
        <w:rPr>
          <w:rFonts w:hint="eastAsia" w:ascii="宋体" w:hAnsi="宋体" w:eastAsia="宋体" w:cs="宋体"/>
        </w:rPr>
        <w:fldChar w:fldCharType="separate"/>
      </w:r>
      <w:r>
        <w:rPr>
          <w:rFonts w:hint="eastAsia" w:ascii="宋体" w:hAnsi="宋体" w:eastAsia="宋体" w:cs="宋体"/>
          <w:szCs w:val="21"/>
        </w:rPr>
        <w:t>五、响应文件的评审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_Toc13483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_Toc21358 </w:instrText>
      </w:r>
      <w:r>
        <w:rPr>
          <w:rFonts w:hint="eastAsia" w:ascii="宋体" w:hAnsi="宋体" w:eastAsia="宋体" w:cs="宋体"/>
        </w:rPr>
        <w:fldChar w:fldCharType="separate"/>
      </w:r>
      <w:r>
        <w:rPr>
          <w:rFonts w:hint="eastAsia" w:ascii="宋体" w:hAnsi="宋体" w:eastAsia="宋体" w:cs="宋体"/>
          <w:szCs w:val="21"/>
        </w:rPr>
        <w:t>六、响应文件的澄清、说明及补正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_Toc21358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_Toc20130 </w:instrText>
      </w:r>
      <w:r>
        <w:rPr>
          <w:rFonts w:hint="eastAsia" w:ascii="宋体" w:hAnsi="宋体" w:eastAsia="宋体" w:cs="宋体"/>
        </w:rPr>
        <w:fldChar w:fldCharType="separate"/>
      </w:r>
      <w:r>
        <w:rPr>
          <w:rFonts w:hint="eastAsia" w:ascii="宋体" w:hAnsi="宋体" w:eastAsia="宋体" w:cs="宋体"/>
          <w:szCs w:val="21"/>
        </w:rPr>
        <w:t>七、中选结果与授予合同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_Toc20130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_Toc2045 </w:instrText>
      </w:r>
      <w:r>
        <w:rPr>
          <w:rFonts w:hint="eastAsia" w:ascii="宋体" w:hAnsi="宋体" w:eastAsia="宋体" w:cs="宋体"/>
        </w:rPr>
        <w:fldChar w:fldCharType="separate"/>
      </w:r>
      <w:r>
        <w:rPr>
          <w:rFonts w:hint="eastAsia" w:ascii="宋体" w:hAnsi="宋体" w:eastAsia="宋体" w:cs="宋体"/>
          <w:szCs w:val="21"/>
        </w:rPr>
        <w:t>八、其他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_Toc2045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_Toc1719 </w:instrText>
      </w:r>
      <w:r>
        <w:rPr>
          <w:rFonts w:hint="eastAsia" w:ascii="宋体" w:hAnsi="宋体" w:eastAsia="宋体" w:cs="宋体"/>
        </w:rPr>
        <w:fldChar w:fldCharType="separate"/>
      </w:r>
      <w:r>
        <w:rPr>
          <w:rFonts w:hint="eastAsia" w:ascii="宋体" w:hAnsi="宋体" w:eastAsia="宋体" w:cs="宋体"/>
          <w:bCs w:val="0"/>
          <w:szCs w:val="32"/>
        </w:rPr>
        <w:t>第三章  评审办法及标准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_Toc1719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_Toc18202 </w:instrText>
      </w:r>
      <w:r>
        <w:rPr>
          <w:rFonts w:hint="eastAsia" w:ascii="宋体" w:hAnsi="宋体" w:eastAsia="宋体" w:cs="宋体"/>
        </w:rPr>
        <w:fldChar w:fldCharType="separate"/>
      </w:r>
      <w:r>
        <w:rPr>
          <w:rFonts w:hint="eastAsia" w:ascii="宋体" w:hAnsi="宋体" w:eastAsia="宋体" w:cs="宋体"/>
          <w:bCs w:val="0"/>
          <w:szCs w:val="32"/>
        </w:rPr>
        <w:t>第四章  用户需求书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_Toc18202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_Toc19554 </w:instrText>
      </w:r>
      <w:r>
        <w:rPr>
          <w:rFonts w:hint="eastAsia" w:ascii="宋体" w:hAnsi="宋体" w:eastAsia="宋体" w:cs="宋体"/>
        </w:rPr>
        <w:fldChar w:fldCharType="separate"/>
      </w:r>
      <w:r>
        <w:rPr>
          <w:rFonts w:hint="eastAsia" w:ascii="宋体" w:hAnsi="宋体" w:eastAsia="宋体" w:cs="宋体"/>
          <w:bCs w:val="0"/>
          <w:szCs w:val="32"/>
        </w:rPr>
        <w:t xml:space="preserve">第五章 </w:t>
      </w:r>
      <w:r>
        <w:rPr>
          <w:rFonts w:hint="eastAsia" w:ascii="宋体" w:hAnsi="宋体" w:eastAsia="宋体" w:cs="宋体"/>
          <w:bCs w:val="0"/>
          <w:szCs w:val="32"/>
          <w:lang w:val="en-US" w:eastAsia="zh-CN"/>
        </w:rPr>
        <w:t xml:space="preserve"> </w:t>
      </w:r>
      <w:r>
        <w:rPr>
          <w:rFonts w:hint="eastAsia" w:ascii="宋体" w:hAnsi="宋体" w:eastAsia="宋体" w:cs="宋体"/>
          <w:bCs w:val="0"/>
          <w:szCs w:val="32"/>
        </w:rPr>
        <w:t>合同格式条款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_Toc19554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_Toc18525 </w:instrText>
      </w:r>
      <w:r>
        <w:rPr>
          <w:rFonts w:hint="eastAsia" w:ascii="宋体" w:hAnsi="宋体" w:eastAsia="宋体" w:cs="宋体"/>
        </w:rPr>
        <w:fldChar w:fldCharType="separate"/>
      </w:r>
      <w:r>
        <w:rPr>
          <w:rFonts w:hint="eastAsia" w:ascii="宋体" w:hAnsi="宋体" w:eastAsia="宋体" w:cs="宋体"/>
          <w:szCs w:val="32"/>
        </w:rPr>
        <w:t>第</w:t>
      </w:r>
      <w:r>
        <w:rPr>
          <w:rFonts w:hint="eastAsia" w:ascii="宋体" w:hAnsi="宋体" w:eastAsia="宋体" w:cs="宋体"/>
          <w:szCs w:val="32"/>
          <w:lang w:eastAsia="zh-CN"/>
        </w:rPr>
        <w:t>六</w:t>
      </w:r>
      <w:r>
        <w:rPr>
          <w:rFonts w:hint="eastAsia" w:ascii="宋体" w:hAnsi="宋体" w:eastAsia="宋体" w:cs="宋体"/>
          <w:szCs w:val="32"/>
        </w:rPr>
        <w:t xml:space="preserve">章  </w:t>
      </w:r>
      <w:r>
        <w:rPr>
          <w:rFonts w:hint="eastAsia" w:ascii="宋体" w:hAnsi="宋体" w:eastAsia="宋体" w:cs="宋体"/>
          <w:bCs/>
          <w:szCs w:val="32"/>
        </w:rPr>
        <w:t>响应文件组成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_Toc18525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_Toc7657 </w:instrText>
      </w:r>
      <w:r>
        <w:rPr>
          <w:rFonts w:hint="eastAsia" w:ascii="宋体" w:hAnsi="宋体" w:eastAsia="宋体" w:cs="宋体"/>
        </w:rPr>
        <w:fldChar w:fldCharType="separate"/>
      </w:r>
      <w:r>
        <w:rPr>
          <w:rFonts w:hint="eastAsia" w:ascii="宋体" w:hAnsi="宋体" w:eastAsia="宋体" w:cs="宋体"/>
          <w:szCs w:val="32"/>
        </w:rPr>
        <w:t>一、谈判承诺书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_Toc7657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_Toc10496 </w:instrText>
      </w:r>
      <w:r>
        <w:rPr>
          <w:rFonts w:hint="eastAsia" w:ascii="宋体" w:hAnsi="宋体" w:eastAsia="宋体" w:cs="宋体"/>
        </w:rPr>
        <w:fldChar w:fldCharType="separate"/>
      </w:r>
      <w:r>
        <w:rPr>
          <w:rFonts w:hint="eastAsia" w:ascii="宋体" w:hAnsi="宋体" w:eastAsia="宋体" w:cs="宋体"/>
          <w:szCs w:val="32"/>
        </w:rPr>
        <w:t>二、法定代表人身份证明书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_Toc10496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_Toc27642 </w:instrText>
      </w:r>
      <w:r>
        <w:rPr>
          <w:rFonts w:hint="eastAsia" w:ascii="宋体" w:hAnsi="宋体" w:eastAsia="宋体" w:cs="宋体"/>
        </w:rPr>
        <w:fldChar w:fldCharType="separate"/>
      </w:r>
      <w:r>
        <w:rPr>
          <w:rFonts w:hint="eastAsia" w:ascii="宋体" w:hAnsi="宋体" w:eastAsia="宋体" w:cs="宋体"/>
          <w:szCs w:val="32"/>
        </w:rPr>
        <w:t>三、授权委托书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_Toc27642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_Toc8191 </w:instrText>
      </w:r>
      <w:r>
        <w:rPr>
          <w:rFonts w:hint="eastAsia" w:ascii="宋体" w:hAnsi="宋体" w:eastAsia="宋体" w:cs="宋体"/>
        </w:rPr>
        <w:fldChar w:fldCharType="separate"/>
      </w:r>
      <w:r>
        <w:rPr>
          <w:rFonts w:hint="eastAsia" w:ascii="宋体" w:hAnsi="宋体" w:eastAsia="宋体" w:cs="宋体"/>
          <w:szCs w:val="32"/>
        </w:rPr>
        <w:t>四、谈判单位资格证明文件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_Toc8191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_Toc20484 </w:instrText>
      </w:r>
      <w:r>
        <w:rPr>
          <w:rFonts w:hint="eastAsia" w:ascii="宋体" w:hAnsi="宋体" w:eastAsia="宋体" w:cs="宋体"/>
        </w:rPr>
        <w:fldChar w:fldCharType="separate"/>
      </w:r>
      <w:r>
        <w:rPr>
          <w:rFonts w:hint="eastAsia" w:ascii="宋体" w:hAnsi="宋体" w:eastAsia="宋体" w:cs="宋体"/>
          <w:szCs w:val="32"/>
        </w:rPr>
        <w:t>五、服务方案</w:t>
      </w:r>
      <w:r>
        <w:rPr>
          <w:rFonts w:hint="eastAsia" w:ascii="宋体" w:hAnsi="宋体" w:eastAsia="宋体" w:cs="宋体"/>
          <w:szCs w:val="32"/>
          <w:lang w:eastAsia="zh-CN"/>
        </w:rPr>
        <w:t>（如有）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_Toc20484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_Toc21225 </w:instrText>
      </w:r>
      <w:r>
        <w:rPr>
          <w:rFonts w:hint="eastAsia" w:ascii="宋体" w:hAnsi="宋体" w:eastAsia="宋体" w:cs="宋体"/>
        </w:rPr>
        <w:fldChar w:fldCharType="separate"/>
      </w:r>
      <w:r>
        <w:rPr>
          <w:rFonts w:hint="eastAsia" w:ascii="宋体" w:hAnsi="宋体" w:eastAsia="宋体" w:cs="宋体"/>
          <w:szCs w:val="32"/>
        </w:rPr>
        <w:t>六、报价一览表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_Toc21225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_Toc27599 </w:instrText>
      </w:r>
      <w:r>
        <w:rPr>
          <w:rFonts w:hint="eastAsia" w:ascii="宋体" w:hAnsi="宋体" w:eastAsia="宋体" w:cs="宋体"/>
        </w:rPr>
        <w:fldChar w:fldCharType="separate"/>
      </w:r>
      <w:r>
        <w:rPr>
          <w:rFonts w:hint="eastAsia" w:ascii="宋体" w:hAnsi="宋体" w:eastAsia="宋体" w:cs="宋体"/>
          <w:szCs w:val="32"/>
        </w:rPr>
        <w:t>七、分项价格表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_Toc27599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hint="eastAsia" w:ascii="宋体" w:hAnsi="宋体" w:eastAsia="宋体" w:cs="宋体"/>
        </w:rPr>
        <w:fldChar w:fldCharType="begin"/>
      </w:r>
      <w:r>
        <w:rPr>
          <w:rFonts w:hint="eastAsia" w:ascii="宋体" w:hAnsi="宋体" w:eastAsia="宋体" w:cs="宋体"/>
        </w:rPr>
        <w:instrText xml:space="preserve"> HYPERLINK \l _Toc27918 </w:instrText>
      </w:r>
      <w:r>
        <w:rPr>
          <w:rFonts w:hint="eastAsia" w:ascii="宋体" w:hAnsi="宋体" w:eastAsia="宋体" w:cs="宋体"/>
        </w:rPr>
        <w:fldChar w:fldCharType="separate"/>
      </w:r>
      <w:r>
        <w:rPr>
          <w:rFonts w:hint="eastAsia" w:ascii="宋体" w:hAnsi="宋体" w:eastAsia="宋体" w:cs="宋体"/>
          <w:szCs w:val="32"/>
        </w:rPr>
        <w:t>八、其他资料</w:t>
      </w:r>
      <w:r>
        <w:rPr>
          <w:rFonts w:hint="eastAsia" w:ascii="宋体" w:hAnsi="宋体" w:eastAsia="宋体" w:cs="宋体"/>
          <w:szCs w:val="32"/>
          <w:lang w:eastAsia="zh-CN"/>
        </w:rPr>
        <w:t>（如有）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_Toc27918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r>
        <w:rPr>
          <w:rFonts w:hint="eastAsia" w:ascii="宋体" w:hAnsi="宋体" w:eastAsia="宋体" w:cs="宋体"/>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pPr>
      <w:r>
        <w:fldChar w:fldCharType="end"/>
      </w:r>
    </w:p>
    <w:p>
      <w:pPr>
        <w:pStyle w:val="3"/>
        <w:keepNext w:val="0"/>
        <w:jc w:val="center"/>
        <w:rPr>
          <w:rFonts w:hint="eastAsia" w:ascii="宋体" w:hAnsi="宋体" w:eastAsia="宋体" w:cs="宋体"/>
          <w:sz w:val="32"/>
          <w:szCs w:val="32"/>
        </w:rPr>
        <w:sectPr>
          <w:footerReference r:id="rId3" w:type="default"/>
          <w:pgSz w:w="11906" w:h="16838"/>
          <w:pgMar w:top="1440" w:right="1797" w:bottom="1440" w:left="1797" w:header="851" w:footer="851" w:gutter="0"/>
          <w:cols w:space="720" w:num="1"/>
          <w:docGrid w:linePitch="312" w:charSpace="0"/>
        </w:sectPr>
      </w:pPr>
      <w:bookmarkStart w:id="1" w:name="_Toc29614"/>
      <w:bookmarkStart w:id="2" w:name="_Toc5016"/>
    </w:p>
    <w:p>
      <w:pPr>
        <w:pStyle w:val="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32"/>
          <w:szCs w:val="32"/>
        </w:rPr>
      </w:pPr>
      <w:bookmarkStart w:id="3" w:name="_Toc3621"/>
      <w:bookmarkStart w:id="4" w:name="_Toc13376"/>
      <w:r>
        <w:rPr>
          <w:rFonts w:hint="eastAsia" w:ascii="宋体" w:hAnsi="宋体" w:eastAsia="宋体" w:cs="宋体"/>
          <w:sz w:val="32"/>
          <w:szCs w:val="32"/>
        </w:rPr>
        <w:t>第一章  谈判邀请公告</w:t>
      </w:r>
      <w:bookmarkEnd w:id="0"/>
      <w:bookmarkEnd w:id="1"/>
      <w:bookmarkEnd w:id="2"/>
      <w:bookmarkEnd w:id="3"/>
      <w:bookmarkEnd w:id="4"/>
    </w:p>
    <w:p>
      <w:pPr>
        <w:pStyle w:val="2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iCs/>
          <w:u w:val="single"/>
        </w:rPr>
      </w:pPr>
    </w:p>
    <w:p>
      <w:pPr>
        <w:keepNext w:val="0"/>
        <w:keepLines w:val="0"/>
        <w:pageBreakBefore w:val="0"/>
        <w:widowControl w:val="0"/>
        <w:kinsoku/>
        <w:wordWrap/>
        <w:overflowPunct/>
        <w:topLinePunct w:val="0"/>
        <w:autoSpaceDE/>
        <w:autoSpaceDN/>
        <w:bidi w:val="0"/>
        <w:spacing w:line="360" w:lineRule="auto"/>
        <w:ind w:left="0" w:leftChars="0" w:firstLine="420" w:firstLineChars="200"/>
        <w:jc w:val="left"/>
        <w:textAlignment w:val="auto"/>
        <w:rPr>
          <w:rFonts w:hint="eastAsia" w:ascii="宋体" w:hAnsi="宋体" w:eastAsia="宋体" w:cs="宋体"/>
          <w:iCs/>
          <w:sz w:val="21"/>
          <w:szCs w:val="21"/>
          <w:u w:val="single"/>
        </w:rPr>
      </w:pPr>
      <w:r>
        <w:rPr>
          <w:rFonts w:hint="eastAsia" w:ascii="宋体" w:hAnsi="宋体" w:eastAsia="宋体" w:cs="宋体"/>
          <w:iCs/>
          <w:sz w:val="21"/>
          <w:szCs w:val="21"/>
          <w:u w:val="none"/>
        </w:rPr>
        <w:t>湖南国联招标有限公司</w:t>
      </w:r>
      <w:r>
        <w:rPr>
          <w:rFonts w:hint="eastAsia" w:ascii="宋体" w:hAnsi="宋体" w:eastAsia="宋体" w:cs="宋体"/>
          <w:sz w:val="21"/>
          <w:szCs w:val="21"/>
          <w:u w:val="none"/>
        </w:rPr>
        <w:t>受</w:t>
      </w:r>
      <w:r>
        <w:rPr>
          <w:rFonts w:hint="eastAsia" w:ascii="宋体" w:hAnsi="宋体" w:eastAsia="宋体" w:cs="宋体"/>
          <w:iCs/>
          <w:sz w:val="21"/>
          <w:szCs w:val="21"/>
          <w:u w:val="none"/>
        </w:rPr>
        <w:t>长沙市轨道交通</w:t>
      </w:r>
      <w:r>
        <w:rPr>
          <w:rFonts w:hint="eastAsia" w:ascii="宋体" w:hAnsi="宋体" w:eastAsia="宋体" w:cs="宋体"/>
          <w:iCs/>
          <w:sz w:val="21"/>
          <w:szCs w:val="21"/>
          <w:u w:val="none"/>
          <w:lang w:eastAsia="zh-CN"/>
        </w:rPr>
        <w:t>五号线建设发展</w:t>
      </w:r>
      <w:r>
        <w:rPr>
          <w:rFonts w:hint="eastAsia" w:ascii="宋体" w:hAnsi="宋体" w:eastAsia="宋体" w:cs="宋体"/>
          <w:iCs/>
          <w:sz w:val="21"/>
          <w:szCs w:val="21"/>
          <w:u w:val="none"/>
        </w:rPr>
        <w:t>有限公司</w:t>
      </w:r>
      <w:r>
        <w:rPr>
          <w:rFonts w:hint="eastAsia" w:ascii="宋体" w:hAnsi="宋体" w:eastAsia="宋体" w:cs="宋体"/>
          <w:sz w:val="21"/>
          <w:szCs w:val="21"/>
          <w:u w:val="none"/>
        </w:rPr>
        <w:t>的委托，</w:t>
      </w:r>
      <w:r>
        <w:rPr>
          <w:rFonts w:hint="eastAsia" w:ascii="宋体" w:hAnsi="宋体" w:eastAsia="宋体" w:cs="宋体"/>
          <w:iCs/>
          <w:sz w:val="21"/>
          <w:szCs w:val="21"/>
          <w:u w:val="none"/>
        </w:rPr>
        <w:t>对长沙市轨道交通5号线一期工程运营期票款押运网络视频监控服务项</w:t>
      </w:r>
      <w:r>
        <w:rPr>
          <w:rFonts w:hint="eastAsia" w:ascii="宋体" w:hAnsi="宋体" w:eastAsia="宋体" w:cs="宋体"/>
          <w:iCs/>
          <w:sz w:val="21"/>
          <w:szCs w:val="21"/>
          <w:u w:val="none"/>
          <w:lang w:eastAsia="zh-CN"/>
        </w:rPr>
        <w:t>目</w:t>
      </w:r>
      <w:r>
        <w:rPr>
          <w:rFonts w:hint="eastAsia" w:ascii="宋体" w:hAnsi="宋体" w:eastAsia="宋体" w:cs="宋体"/>
          <w:iCs/>
          <w:sz w:val="21"/>
          <w:szCs w:val="21"/>
          <w:u w:val="none"/>
        </w:rPr>
        <w:t>（2020-2021年度）</w:t>
      </w:r>
      <w:r>
        <w:rPr>
          <w:rFonts w:hint="eastAsia" w:ascii="宋体" w:hAnsi="宋体" w:cs="宋体"/>
          <w:iCs/>
          <w:sz w:val="21"/>
          <w:szCs w:val="21"/>
          <w:u w:val="none"/>
          <w:lang w:eastAsia="zh-CN"/>
        </w:rPr>
        <w:t>（第二次）</w:t>
      </w:r>
      <w:r>
        <w:rPr>
          <w:rFonts w:hint="eastAsia" w:ascii="宋体" w:hAnsi="宋体" w:eastAsia="宋体" w:cs="宋体"/>
          <w:iCs/>
          <w:sz w:val="21"/>
          <w:szCs w:val="21"/>
        </w:rPr>
        <w:t>进行自主竞争性谈判采购，现发布公告，邀请符合条件的单位参与谈判采购活动。</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iCs/>
          <w:sz w:val="21"/>
          <w:szCs w:val="21"/>
        </w:rPr>
      </w:pPr>
      <w:r>
        <w:rPr>
          <w:rFonts w:hint="eastAsia" w:ascii="宋体" w:hAnsi="宋体" w:eastAsia="宋体" w:cs="宋体"/>
          <w:b/>
          <w:iCs/>
          <w:sz w:val="21"/>
          <w:szCs w:val="21"/>
        </w:rPr>
        <w:t>一、项目概况</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iCs/>
          <w:sz w:val="21"/>
          <w:szCs w:val="21"/>
        </w:rPr>
      </w:pPr>
      <w:r>
        <w:rPr>
          <w:rFonts w:hint="eastAsia" w:ascii="宋体" w:hAnsi="宋体" w:eastAsia="宋体" w:cs="宋体"/>
          <w:iCs/>
          <w:sz w:val="21"/>
          <w:szCs w:val="21"/>
        </w:rPr>
        <w:t>1.项目名称：</w:t>
      </w:r>
      <w:r>
        <w:rPr>
          <w:rFonts w:hint="eastAsia" w:ascii="宋体" w:hAnsi="宋体" w:eastAsia="宋体" w:cs="宋体"/>
          <w:iCs/>
          <w:sz w:val="21"/>
          <w:szCs w:val="21"/>
          <w:u w:val="none"/>
        </w:rPr>
        <w:t>长沙市轨道交通5号线一期工程运营期票款押运网络视频监控服务项</w:t>
      </w:r>
      <w:r>
        <w:rPr>
          <w:rFonts w:hint="eastAsia" w:ascii="宋体" w:hAnsi="宋体" w:eastAsia="宋体" w:cs="宋体"/>
          <w:iCs/>
          <w:sz w:val="21"/>
          <w:szCs w:val="21"/>
          <w:u w:val="none"/>
          <w:lang w:eastAsia="zh-CN"/>
        </w:rPr>
        <w:t>目</w:t>
      </w:r>
      <w:r>
        <w:rPr>
          <w:rFonts w:hint="eastAsia" w:ascii="宋体" w:hAnsi="宋体" w:eastAsia="宋体" w:cs="宋体"/>
          <w:iCs/>
          <w:sz w:val="21"/>
          <w:szCs w:val="21"/>
          <w:u w:val="none"/>
        </w:rPr>
        <w:t>（2020-2021年度）</w:t>
      </w:r>
      <w:r>
        <w:rPr>
          <w:rFonts w:hint="eastAsia" w:ascii="宋体" w:hAnsi="宋体" w:cs="宋体"/>
          <w:iCs/>
          <w:sz w:val="21"/>
          <w:szCs w:val="21"/>
          <w:u w:val="none"/>
          <w:lang w:eastAsia="zh-CN"/>
        </w:rPr>
        <w:t>（第二次）</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2.</w:t>
      </w:r>
      <w:r>
        <w:rPr>
          <w:rFonts w:hint="eastAsia" w:ascii="宋体" w:hAnsi="宋体" w:eastAsia="宋体" w:cs="宋体"/>
          <w:iCs/>
          <w:color w:val="auto"/>
          <w:sz w:val="21"/>
          <w:szCs w:val="21"/>
        </w:rPr>
        <w:t>项目</w:t>
      </w:r>
      <w:r>
        <w:rPr>
          <w:rFonts w:hint="eastAsia" w:ascii="宋体" w:hAnsi="宋体" w:eastAsia="宋体" w:cs="宋体"/>
          <w:iCs/>
          <w:color w:val="auto"/>
          <w:sz w:val="21"/>
          <w:szCs w:val="21"/>
          <w:lang w:eastAsia="zh-CN"/>
        </w:rPr>
        <w:t>控制价</w:t>
      </w:r>
      <w:r>
        <w:rPr>
          <w:rFonts w:hint="eastAsia" w:ascii="宋体" w:hAnsi="宋体" w:eastAsia="宋体" w:cs="宋体"/>
          <w:iCs/>
          <w:color w:val="auto"/>
          <w:sz w:val="21"/>
          <w:szCs w:val="21"/>
        </w:rPr>
        <w:t>：</w:t>
      </w:r>
      <w:r>
        <w:rPr>
          <w:rFonts w:hint="eastAsia" w:ascii="宋体" w:hAnsi="宋体" w:eastAsia="宋体" w:cs="宋体"/>
          <w:iCs/>
          <w:color w:val="auto"/>
          <w:sz w:val="21"/>
          <w:szCs w:val="21"/>
          <w:lang w:val="en-US" w:eastAsia="zh-CN"/>
        </w:rPr>
        <w:t>146880.00</w:t>
      </w:r>
      <w:r>
        <w:rPr>
          <w:rFonts w:hint="eastAsia" w:ascii="宋体" w:hAnsi="宋体" w:eastAsia="宋体" w:cs="宋体"/>
          <w:iCs/>
          <w:color w:val="auto"/>
          <w:sz w:val="21"/>
          <w:szCs w:val="21"/>
        </w:rPr>
        <w:t>元</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sz w:val="21"/>
          <w:szCs w:val="21"/>
        </w:rPr>
      </w:pPr>
      <w:r>
        <w:rPr>
          <w:rFonts w:hint="eastAsia" w:ascii="宋体" w:hAnsi="宋体" w:eastAsia="宋体" w:cs="宋体"/>
          <w:iCs/>
          <w:sz w:val="21"/>
          <w:szCs w:val="21"/>
        </w:rPr>
        <w:t>3.谈判内容：</w:t>
      </w:r>
      <w:r>
        <w:rPr>
          <w:rFonts w:hint="eastAsia" w:ascii="宋体" w:hAnsi="宋体" w:eastAsia="宋体" w:cs="宋体"/>
          <w:bCs/>
          <w:sz w:val="21"/>
          <w:szCs w:val="21"/>
        </w:rPr>
        <w:t>本项目为长沙市轨道交通5号线一期工程全线的车站范围内票款押运视频监控服务和联网报警服务并包括相关票款押运网络监控设备故障维护。服务范围包含18座车站（以最终实际需要安装的站点为准），由北向南站点分布为水渡河站、土桥站、白茅铺站、月湖公园北站、马栏山站、鸭子铺站、火炬村站、马王堆站、万家丽广场站、芙蓉区政府站、高桥北站、高桥南站、圭塘站、木桥站、雨花区政府站、大塘站、板塘冲站、毛竹塘站（车站站名以投入运营正式名称为准）。</w:t>
      </w:r>
      <w:r>
        <w:rPr>
          <w:rFonts w:hint="eastAsia" w:ascii="宋体" w:hAnsi="宋体" w:eastAsia="宋体" w:cs="宋体"/>
          <w:bCs/>
          <w:sz w:val="21"/>
          <w:szCs w:val="21"/>
          <w:lang w:eastAsia="zh-CN"/>
        </w:rPr>
        <w:t>（</w:t>
      </w:r>
      <w:r>
        <w:rPr>
          <w:rFonts w:hint="eastAsia" w:ascii="宋体" w:hAnsi="宋体" w:eastAsia="宋体" w:cs="宋体"/>
          <w:bCs/>
          <w:sz w:val="21"/>
          <w:szCs w:val="21"/>
        </w:rPr>
        <w:t>具体详见</w:t>
      </w:r>
      <w:r>
        <w:rPr>
          <w:rFonts w:hint="eastAsia" w:ascii="宋体" w:hAnsi="宋体" w:eastAsia="宋体" w:cs="宋体"/>
          <w:bCs/>
          <w:sz w:val="21"/>
          <w:szCs w:val="21"/>
          <w:lang w:eastAsia="zh-CN"/>
        </w:rPr>
        <w:t>用户</w:t>
      </w:r>
      <w:r>
        <w:rPr>
          <w:rFonts w:hint="eastAsia" w:ascii="宋体" w:hAnsi="宋体" w:eastAsia="宋体" w:cs="宋体"/>
          <w:bCs/>
          <w:sz w:val="21"/>
          <w:szCs w:val="21"/>
        </w:rPr>
        <w:t>需求</w:t>
      </w:r>
      <w:r>
        <w:rPr>
          <w:rFonts w:hint="eastAsia" w:ascii="宋体" w:hAnsi="宋体" w:eastAsia="宋体" w:cs="宋体"/>
          <w:bCs/>
          <w:sz w:val="21"/>
          <w:szCs w:val="21"/>
          <w:lang w:eastAsia="zh-CN"/>
        </w:rPr>
        <w:t>书）</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4.标段划分：共划分</w:t>
      </w:r>
      <w:r>
        <w:rPr>
          <w:rFonts w:hint="eastAsia" w:ascii="宋体" w:hAnsi="宋体" w:eastAsia="宋体" w:cs="宋体"/>
          <w:bCs/>
          <w:sz w:val="21"/>
          <w:szCs w:val="21"/>
          <w:u w:val="none"/>
        </w:rPr>
        <w:t>1</w:t>
      </w:r>
      <w:r>
        <w:rPr>
          <w:rFonts w:hint="eastAsia" w:ascii="宋体" w:hAnsi="宋体" w:eastAsia="宋体" w:cs="宋体"/>
          <w:sz w:val="21"/>
          <w:szCs w:val="21"/>
        </w:rPr>
        <w:t>个标段</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5.服务期</w:t>
      </w:r>
      <w:r>
        <w:rPr>
          <w:rFonts w:hint="eastAsia" w:ascii="宋体" w:hAnsi="宋体" w:eastAsia="宋体" w:cs="宋体"/>
          <w:bCs/>
          <w:sz w:val="21"/>
          <w:szCs w:val="21"/>
          <w:lang w:eastAsia="zh-CN"/>
        </w:rPr>
        <w:t>限</w:t>
      </w:r>
      <w:r>
        <w:rPr>
          <w:rFonts w:hint="eastAsia" w:ascii="宋体" w:hAnsi="宋体" w:eastAsia="宋体" w:cs="宋体"/>
          <w:bCs/>
          <w:sz w:val="21"/>
          <w:szCs w:val="21"/>
        </w:rPr>
        <w:t>：本项目服务期限暂定为2020年6月30日至2021年8月17日，总计413日，按照实际服务天数结算（实际服务时间以供应商接到招标人发出的开工令起算，至2021年8月17日止）。</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6.采购范围：包括</w:t>
      </w:r>
      <w:r>
        <w:rPr>
          <w:rFonts w:hint="eastAsia" w:ascii="宋体" w:hAnsi="宋体" w:eastAsia="宋体" w:cs="宋体"/>
          <w:sz w:val="21"/>
          <w:szCs w:val="21"/>
        </w:rPr>
        <w:t>长沙市轨道交通5号线一期工程全线的车站范围内票款押运视频监控服务和联网报警服务并包括相关票款押运网络监控设备故障维护。</w:t>
      </w:r>
      <w:r>
        <w:rPr>
          <w:rFonts w:hint="eastAsia" w:ascii="宋体" w:hAnsi="宋体" w:eastAsia="宋体" w:cs="宋体"/>
          <w:sz w:val="21"/>
          <w:szCs w:val="21"/>
          <w:lang w:eastAsia="zh-CN"/>
        </w:rPr>
        <w:t>（</w:t>
      </w:r>
      <w:r>
        <w:rPr>
          <w:rFonts w:hint="eastAsia" w:ascii="宋体" w:hAnsi="宋体" w:eastAsia="宋体" w:cs="宋体"/>
          <w:bCs/>
          <w:sz w:val="21"/>
          <w:szCs w:val="21"/>
        </w:rPr>
        <w:t>具体详见</w:t>
      </w:r>
      <w:r>
        <w:rPr>
          <w:rFonts w:hint="eastAsia" w:ascii="宋体" w:hAnsi="宋体" w:eastAsia="宋体" w:cs="宋体"/>
          <w:bCs/>
          <w:sz w:val="21"/>
          <w:szCs w:val="21"/>
          <w:lang w:eastAsia="zh-CN"/>
        </w:rPr>
        <w:t>用户</w:t>
      </w:r>
      <w:r>
        <w:rPr>
          <w:rFonts w:hint="eastAsia" w:ascii="宋体" w:hAnsi="宋体" w:eastAsia="宋体" w:cs="宋体"/>
          <w:bCs/>
          <w:sz w:val="21"/>
          <w:szCs w:val="21"/>
        </w:rPr>
        <w:t>需求</w:t>
      </w:r>
      <w:r>
        <w:rPr>
          <w:rFonts w:hint="eastAsia" w:ascii="宋体" w:hAnsi="宋体" w:eastAsia="宋体" w:cs="宋体"/>
          <w:bCs/>
          <w:sz w:val="21"/>
          <w:szCs w:val="21"/>
          <w:lang w:eastAsia="zh-CN"/>
        </w:rPr>
        <w:t>书</w:t>
      </w:r>
      <w:r>
        <w:rPr>
          <w:rFonts w:hint="eastAsia" w:ascii="宋体" w:hAnsi="宋体" w:eastAsia="宋体" w:cs="宋体"/>
          <w:sz w:val="21"/>
          <w:szCs w:val="21"/>
          <w:lang w:eastAsia="zh-CN"/>
        </w:rPr>
        <w:t>）</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iCs/>
          <w:sz w:val="21"/>
          <w:szCs w:val="21"/>
        </w:rPr>
      </w:pPr>
      <w:r>
        <w:rPr>
          <w:rFonts w:hint="eastAsia" w:ascii="宋体" w:hAnsi="宋体" w:eastAsia="宋体" w:cs="宋体"/>
          <w:b/>
          <w:iCs/>
          <w:sz w:val="21"/>
          <w:szCs w:val="21"/>
        </w:rPr>
        <w:t>二、资格要求</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iCs/>
          <w:sz w:val="21"/>
          <w:szCs w:val="21"/>
        </w:rPr>
        <w:t>谈判单位须为具有独立法人资格、自主经营、独立核算的公司</w:t>
      </w:r>
      <w:r>
        <w:rPr>
          <w:rFonts w:hint="eastAsia" w:ascii="宋体" w:hAnsi="宋体" w:eastAsia="宋体" w:cs="宋体"/>
          <w:iCs/>
          <w:sz w:val="21"/>
          <w:szCs w:val="21"/>
          <w:lang w:val="en-US" w:eastAsia="zh-CN"/>
        </w:rPr>
        <w:t>/单位</w:t>
      </w:r>
      <w:r>
        <w:rPr>
          <w:rFonts w:hint="eastAsia" w:ascii="宋体" w:hAnsi="宋体" w:eastAsia="宋体" w:cs="宋体"/>
          <w:iCs/>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.谈判单位在本项目响应文件递交截止之日前36个月内须具有</w:t>
      </w:r>
      <w:r>
        <w:rPr>
          <w:rFonts w:hint="eastAsia" w:ascii="宋体" w:hAnsi="宋体" w:eastAsia="宋体" w:cs="宋体"/>
          <w:sz w:val="21"/>
          <w:szCs w:val="21"/>
          <w:u w:val="none"/>
        </w:rPr>
        <w:t>单项合同金额</w:t>
      </w:r>
      <w:r>
        <w:rPr>
          <w:rFonts w:hint="eastAsia" w:ascii="宋体" w:hAnsi="宋体" w:eastAsia="宋体" w:cs="宋体"/>
          <w:sz w:val="21"/>
          <w:szCs w:val="21"/>
          <w:u w:val="none"/>
          <w:lang w:eastAsia="zh-CN"/>
        </w:rPr>
        <w:t>不少于</w:t>
      </w:r>
      <w:r>
        <w:rPr>
          <w:rFonts w:hint="eastAsia" w:ascii="宋体" w:hAnsi="宋体" w:eastAsia="宋体" w:cs="宋体"/>
          <w:sz w:val="21"/>
          <w:szCs w:val="21"/>
          <w:u w:val="none"/>
          <w:lang w:val="en-US" w:eastAsia="zh-CN"/>
        </w:rPr>
        <w:t>7</w:t>
      </w:r>
      <w:r>
        <w:rPr>
          <w:rFonts w:hint="eastAsia" w:ascii="宋体" w:hAnsi="宋体" w:eastAsia="宋体" w:cs="宋体"/>
          <w:sz w:val="21"/>
          <w:szCs w:val="21"/>
          <w:u w:val="none"/>
        </w:rPr>
        <w:t>万元/年的票款押运网络监控服务业绩。</w:t>
      </w:r>
      <w:r>
        <w:rPr>
          <w:rFonts w:hint="eastAsia" w:ascii="宋体" w:hAnsi="宋体" w:eastAsia="宋体" w:cs="宋体"/>
          <w:sz w:val="21"/>
          <w:szCs w:val="21"/>
          <w:lang w:val="en-US" w:eastAsia="zh-CN"/>
        </w:rPr>
        <w:t>不接受联合体业绩、港澳台或境外业绩。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i w:val="0"/>
          <w:iCs w:val="0"/>
          <w:color w:val="000000"/>
          <w:sz w:val="21"/>
          <w:szCs w:val="21"/>
          <w:highlight w:val="none"/>
          <w:u w:val="none"/>
          <w:lang w:val="en-US" w:eastAsia="zh-CN"/>
        </w:rPr>
        <w:t>业绩证明材料以同时提供的合同复印件和发票（开票金额不少于合同金额的10%）复印件（均须加盖谈判单位公章）为准，业绩金额以合同中金额为准，时间以合同中甲方签字时间为准。</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highlight w:val="none"/>
        </w:rPr>
        <w:t>本</w:t>
      </w:r>
      <w:r>
        <w:rPr>
          <w:rFonts w:hint="eastAsia" w:ascii="宋体" w:hAnsi="宋体" w:eastAsia="宋体" w:cs="宋体"/>
          <w:sz w:val="21"/>
          <w:szCs w:val="21"/>
          <w:highlight w:val="none"/>
          <w:lang w:eastAsia="zh-CN"/>
        </w:rPr>
        <w:t>项目谈判</w:t>
      </w:r>
      <w:r>
        <w:rPr>
          <w:rFonts w:hint="eastAsia" w:ascii="宋体" w:hAnsi="宋体" w:eastAsia="宋体" w:cs="宋体"/>
          <w:sz w:val="21"/>
          <w:szCs w:val="21"/>
          <w:highlight w:val="none"/>
          <w:u w:val="none"/>
        </w:rPr>
        <w:t>不接受</w:t>
      </w:r>
      <w:r>
        <w:rPr>
          <w:rFonts w:hint="eastAsia" w:ascii="宋体" w:hAnsi="宋体" w:eastAsia="宋体" w:cs="宋体"/>
          <w:sz w:val="21"/>
          <w:szCs w:val="21"/>
          <w:highlight w:val="none"/>
        </w:rPr>
        <w:t>联合体</w:t>
      </w:r>
      <w:r>
        <w:rPr>
          <w:rFonts w:hint="eastAsia" w:ascii="宋体" w:hAnsi="宋体" w:eastAsia="宋体" w:cs="宋体"/>
          <w:sz w:val="21"/>
          <w:szCs w:val="21"/>
          <w:highlight w:val="none"/>
          <w:lang w:eastAsia="zh-CN"/>
        </w:rPr>
        <w:t>形式参与</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i w:val="0"/>
          <w:iCs w:val="0"/>
          <w:color w:val="000000"/>
          <w:sz w:val="21"/>
          <w:szCs w:val="21"/>
          <w:highlight w:val="none"/>
          <w:u w:val="none"/>
          <w:lang w:val="en-US" w:eastAsia="zh-CN"/>
        </w:rPr>
        <w:t>被长沙市轨道交通集团函告禁止在一定期限内参与轨道公司项目投标或谈判的单位按函告内容执行。</w:t>
      </w:r>
    </w:p>
    <w:p>
      <w:pPr>
        <w:keepNext w:val="0"/>
        <w:keepLines w:val="0"/>
        <w:pageBreakBefore w:val="0"/>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b/>
          <w:bCs/>
          <w:iCs/>
          <w:sz w:val="21"/>
          <w:szCs w:val="21"/>
        </w:rPr>
      </w:pPr>
      <w:r>
        <w:rPr>
          <w:rFonts w:hint="eastAsia" w:ascii="宋体" w:hAnsi="宋体" w:eastAsia="宋体" w:cs="宋体"/>
          <w:b/>
          <w:bCs/>
          <w:sz w:val="21"/>
          <w:szCs w:val="21"/>
        </w:rPr>
        <w:t>三、</w:t>
      </w:r>
      <w:r>
        <w:rPr>
          <w:rFonts w:hint="eastAsia" w:ascii="宋体" w:hAnsi="宋体" w:eastAsia="宋体" w:cs="宋体"/>
          <w:b/>
          <w:bCs/>
          <w:iCs/>
          <w:sz w:val="21"/>
          <w:szCs w:val="21"/>
        </w:rPr>
        <w:t>评审办法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iCs/>
          <w:sz w:val="21"/>
          <w:szCs w:val="21"/>
        </w:rPr>
        <w:t>本项目评审办法采用</w:t>
      </w:r>
      <w:r>
        <w:rPr>
          <w:rFonts w:hint="eastAsia" w:ascii="宋体" w:hAnsi="宋体" w:eastAsia="宋体" w:cs="宋体"/>
          <w:bCs/>
          <w:sz w:val="21"/>
          <w:szCs w:val="21"/>
          <w:u w:val="none"/>
        </w:rPr>
        <w:t>经符合性审查合格后的</w:t>
      </w:r>
      <w:r>
        <w:rPr>
          <w:rFonts w:hint="eastAsia" w:ascii="宋体" w:hAnsi="宋体" w:eastAsia="宋体" w:cs="宋体"/>
          <w:bCs/>
          <w:sz w:val="21"/>
          <w:szCs w:val="21"/>
          <w:u w:val="none"/>
          <w:lang w:eastAsia="zh-CN"/>
        </w:rPr>
        <w:t>最低价法。</w:t>
      </w:r>
    </w:p>
    <w:p>
      <w:pPr>
        <w:keepNext w:val="0"/>
        <w:keepLines w:val="0"/>
        <w:pageBreakBefore w:val="0"/>
        <w:widowControl/>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b/>
          <w:bCs/>
          <w:color w:val="000000"/>
          <w:sz w:val="21"/>
          <w:szCs w:val="21"/>
        </w:rPr>
        <w:sectPr>
          <w:footerReference r:id="rId4" w:type="default"/>
          <w:pgSz w:w="11906" w:h="16838"/>
          <w:pgMar w:top="1440" w:right="1797" w:bottom="1440" w:left="1797" w:header="851" w:footer="851" w:gutter="0"/>
          <w:pgNumType w:fmt="decimal" w:start="1"/>
          <w:cols w:space="720" w:num="1"/>
          <w:docGrid w:linePitch="312" w:charSpace="0"/>
        </w:sectPr>
      </w:pPr>
    </w:p>
    <w:p>
      <w:pPr>
        <w:keepNext w:val="0"/>
        <w:keepLines w:val="0"/>
        <w:pageBreakBefore w:val="0"/>
        <w:widowControl/>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b/>
          <w:bCs/>
          <w:sz w:val="21"/>
          <w:szCs w:val="21"/>
        </w:rPr>
      </w:pPr>
      <w:r>
        <w:rPr>
          <w:rFonts w:hint="eastAsia" w:ascii="宋体" w:hAnsi="宋体" w:eastAsia="宋体" w:cs="宋体"/>
          <w:b/>
          <w:bCs/>
          <w:color w:val="000000"/>
          <w:sz w:val="21"/>
          <w:szCs w:val="21"/>
        </w:rPr>
        <w:t>四、自主竞争性谈判文件的获取</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凡有意参加谈判的单位，请于2019年</w:t>
      </w:r>
      <w:r>
        <w:rPr>
          <w:rFonts w:hint="eastAsia" w:ascii="宋体" w:hAnsi="宋体" w:cs="宋体"/>
          <w:sz w:val="21"/>
          <w:szCs w:val="21"/>
          <w:u w:val="single"/>
          <w:lang w:val="en-US" w:eastAsia="zh-CN"/>
        </w:rPr>
        <w:t>10</w:t>
      </w:r>
      <w:r>
        <w:rPr>
          <w:rFonts w:hint="eastAsia" w:ascii="宋体" w:hAnsi="宋体" w:eastAsia="宋体" w:cs="宋体"/>
          <w:sz w:val="21"/>
          <w:szCs w:val="21"/>
        </w:rPr>
        <w:t>月</w:t>
      </w:r>
      <w:r>
        <w:rPr>
          <w:rFonts w:hint="eastAsia" w:ascii="宋体" w:hAnsi="宋体" w:cs="宋体"/>
          <w:sz w:val="21"/>
          <w:szCs w:val="21"/>
          <w:u w:val="single"/>
          <w:lang w:val="en-US" w:eastAsia="zh-CN"/>
        </w:rPr>
        <w:t>12</w:t>
      </w:r>
      <w:r>
        <w:rPr>
          <w:rFonts w:hint="eastAsia" w:ascii="宋体" w:hAnsi="宋体" w:eastAsia="宋体" w:cs="宋体"/>
          <w:sz w:val="21"/>
          <w:szCs w:val="21"/>
        </w:rPr>
        <w:t>日至2019年</w:t>
      </w:r>
      <w:r>
        <w:rPr>
          <w:rFonts w:hint="eastAsia" w:ascii="宋体" w:hAnsi="宋体" w:cs="宋体"/>
          <w:sz w:val="21"/>
          <w:szCs w:val="21"/>
          <w:u w:val="single"/>
          <w:lang w:val="en-US" w:eastAsia="zh-CN"/>
        </w:rPr>
        <w:t>10</w:t>
      </w:r>
      <w:r>
        <w:rPr>
          <w:rFonts w:hint="eastAsia" w:ascii="宋体" w:hAnsi="宋体" w:eastAsia="宋体" w:cs="宋体"/>
          <w:sz w:val="21"/>
          <w:szCs w:val="21"/>
        </w:rPr>
        <w:t>月</w:t>
      </w:r>
      <w:r>
        <w:rPr>
          <w:rFonts w:hint="eastAsia" w:ascii="宋体" w:hAnsi="宋体" w:cs="宋体"/>
          <w:sz w:val="21"/>
          <w:szCs w:val="21"/>
          <w:u w:val="single"/>
          <w:lang w:val="en-US" w:eastAsia="zh-CN"/>
        </w:rPr>
        <w:t>17</w:t>
      </w:r>
      <w:r>
        <w:rPr>
          <w:rFonts w:hint="eastAsia" w:ascii="宋体" w:hAnsi="宋体" w:eastAsia="宋体" w:cs="宋体"/>
          <w:sz w:val="21"/>
          <w:szCs w:val="21"/>
        </w:rPr>
        <w:t>日登录长沙市轨道交通集团有限公司官方网站</w:t>
      </w:r>
      <w:r>
        <w:rPr>
          <w:rFonts w:hint="eastAsia" w:ascii="宋体" w:hAnsi="宋体" w:eastAsia="宋体" w:cs="宋体"/>
          <w:kern w:val="0"/>
          <w:sz w:val="21"/>
          <w:szCs w:val="21"/>
        </w:rPr>
        <w:t>（http://www.hncsmtr.com/）</w:t>
      </w:r>
      <w:r>
        <w:rPr>
          <w:rFonts w:hint="eastAsia" w:ascii="宋体" w:hAnsi="宋体" w:eastAsia="宋体" w:cs="宋体"/>
          <w:sz w:val="21"/>
          <w:szCs w:val="21"/>
        </w:rPr>
        <w:t>获取自主竞争性谈判文件。</w:t>
      </w:r>
    </w:p>
    <w:p>
      <w:pPr>
        <w:keepNext w:val="0"/>
        <w:keepLines w:val="0"/>
        <w:pageBreakBefore w:val="0"/>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五、</w:t>
      </w:r>
      <w:r>
        <w:rPr>
          <w:rFonts w:hint="eastAsia" w:ascii="宋体" w:hAnsi="宋体" w:eastAsia="宋体" w:cs="宋体"/>
          <w:b/>
          <w:bCs/>
          <w:iCs/>
          <w:sz w:val="21"/>
          <w:szCs w:val="21"/>
        </w:rPr>
        <w:t>谈判文件的</w:t>
      </w:r>
      <w:r>
        <w:rPr>
          <w:rFonts w:hint="eastAsia" w:ascii="宋体" w:hAnsi="宋体" w:eastAsia="宋体" w:cs="宋体"/>
          <w:b/>
          <w:bCs/>
          <w:sz w:val="21"/>
          <w:szCs w:val="21"/>
        </w:rPr>
        <w:t>澄清与答疑</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sz w:val="21"/>
          <w:szCs w:val="21"/>
        </w:rPr>
        <w:t>1.</w:t>
      </w:r>
      <w:r>
        <w:rPr>
          <w:rFonts w:hint="eastAsia" w:ascii="宋体" w:hAnsi="宋体" w:eastAsia="宋体" w:cs="宋体"/>
          <w:iCs/>
          <w:sz w:val="21"/>
          <w:szCs w:val="21"/>
        </w:rPr>
        <w:t>本项目不组织答疑会和现场踏勘。</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2.谈判单位若对谈判文件有任何疑问，</w:t>
      </w:r>
      <w:r>
        <w:rPr>
          <w:rFonts w:hint="eastAsia" w:ascii="宋体" w:hAnsi="宋体" w:eastAsia="宋体" w:cs="宋体"/>
          <w:sz w:val="21"/>
          <w:szCs w:val="21"/>
        </w:rPr>
        <w:t>应于</w:t>
      </w:r>
      <w:r>
        <w:rPr>
          <w:rFonts w:hint="eastAsia" w:ascii="宋体" w:hAnsi="宋体" w:eastAsia="宋体" w:cs="宋体"/>
          <w:sz w:val="21"/>
          <w:szCs w:val="21"/>
          <w:u w:val="single"/>
        </w:rPr>
        <w:t>2019</w:t>
      </w:r>
      <w:r>
        <w:rPr>
          <w:rFonts w:hint="eastAsia" w:ascii="宋体" w:hAnsi="宋体" w:eastAsia="宋体" w:cs="宋体"/>
          <w:sz w:val="21"/>
          <w:szCs w:val="21"/>
        </w:rPr>
        <w:t>年</w:t>
      </w:r>
      <w:r>
        <w:rPr>
          <w:rFonts w:hint="eastAsia" w:ascii="宋体" w:hAnsi="宋体" w:cs="宋体"/>
          <w:sz w:val="21"/>
          <w:szCs w:val="21"/>
          <w:u w:val="single"/>
          <w:lang w:val="en-US" w:eastAsia="zh-CN"/>
        </w:rPr>
        <w:t>10</w:t>
      </w:r>
      <w:r>
        <w:rPr>
          <w:rFonts w:hint="eastAsia" w:ascii="宋体" w:hAnsi="宋体" w:eastAsia="宋体" w:cs="宋体"/>
          <w:sz w:val="21"/>
          <w:szCs w:val="21"/>
        </w:rPr>
        <w:t>月</w:t>
      </w:r>
      <w:r>
        <w:rPr>
          <w:rFonts w:hint="eastAsia" w:ascii="宋体" w:hAnsi="宋体" w:cs="宋体"/>
          <w:sz w:val="21"/>
          <w:szCs w:val="21"/>
          <w:u w:val="single"/>
          <w:lang w:val="en-US" w:eastAsia="zh-CN"/>
        </w:rPr>
        <w:t>18</w:t>
      </w:r>
      <w:r>
        <w:rPr>
          <w:rFonts w:hint="eastAsia" w:ascii="宋体" w:hAnsi="宋体" w:eastAsia="宋体" w:cs="宋体"/>
          <w:sz w:val="21"/>
          <w:szCs w:val="21"/>
        </w:rPr>
        <w:t>日</w:t>
      </w:r>
      <w:r>
        <w:rPr>
          <w:rFonts w:hint="eastAsia" w:ascii="宋体" w:hAnsi="宋体" w:eastAsia="宋体" w:cs="宋体"/>
          <w:iCs/>
          <w:sz w:val="21"/>
          <w:szCs w:val="21"/>
        </w:rPr>
        <w:t>17：00时（含）前（节假日除外）以书面形式（经法定代表人签字或盖章，并加盖单位公章）递交至采购代理机构。</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3.在谈判截止时间前，采购单位或采购代理机构可主动地或在解答谈判单位提出的问题时对谈判文件进行澄清或修改。</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kern w:val="0"/>
          <w:sz w:val="21"/>
          <w:szCs w:val="21"/>
        </w:rPr>
      </w:pPr>
      <w:r>
        <w:rPr>
          <w:rFonts w:hint="eastAsia" w:ascii="宋体" w:hAnsi="宋体" w:eastAsia="宋体" w:cs="宋体"/>
          <w:iCs/>
          <w:sz w:val="21"/>
          <w:szCs w:val="21"/>
        </w:rPr>
        <w:t>4.</w:t>
      </w:r>
      <w:r>
        <w:rPr>
          <w:rFonts w:hint="eastAsia" w:ascii="宋体" w:hAnsi="宋体" w:eastAsia="宋体" w:cs="宋体"/>
          <w:kern w:val="0"/>
          <w:sz w:val="21"/>
          <w:szCs w:val="21"/>
        </w:rPr>
        <w:t>澄清或者修改的内容可能影响响应文件编制的，采购单位或采购代理机构应当在提交响应文件截止之日3个工作日前，在长沙市轨道交通集团有限公司官</w:t>
      </w:r>
      <w:r>
        <w:rPr>
          <w:rFonts w:hint="eastAsia" w:ascii="宋体" w:hAnsi="宋体" w:eastAsia="宋体" w:cs="宋体"/>
          <w:kern w:val="0"/>
          <w:sz w:val="21"/>
          <w:szCs w:val="21"/>
          <w:lang w:eastAsia="zh-CN"/>
        </w:rPr>
        <w:t>方</w:t>
      </w:r>
      <w:r>
        <w:rPr>
          <w:rFonts w:hint="eastAsia" w:ascii="宋体" w:hAnsi="宋体" w:eastAsia="宋体" w:cs="宋体"/>
          <w:kern w:val="0"/>
          <w:sz w:val="21"/>
          <w:szCs w:val="21"/>
        </w:rPr>
        <w:t>网</w:t>
      </w:r>
      <w:r>
        <w:rPr>
          <w:rFonts w:hint="eastAsia" w:ascii="宋体" w:hAnsi="宋体" w:eastAsia="宋体" w:cs="宋体"/>
          <w:kern w:val="0"/>
          <w:sz w:val="21"/>
          <w:szCs w:val="21"/>
          <w:lang w:eastAsia="zh-CN"/>
        </w:rPr>
        <w:t>站</w:t>
      </w:r>
      <w:r>
        <w:rPr>
          <w:rFonts w:hint="eastAsia" w:ascii="宋体" w:hAnsi="宋体" w:eastAsia="宋体" w:cs="宋体"/>
          <w:kern w:val="0"/>
          <w:sz w:val="21"/>
          <w:szCs w:val="21"/>
        </w:rPr>
        <w:t>（http://www.hncsmtr.com/）发布澄清或答疑文件及顺延谈判时间，敬请获得谈判文件的所有谈判单位关注，恕不另行通知，如有遗漏采购单位或代理机构不负任何责任。</w:t>
      </w:r>
    </w:p>
    <w:p>
      <w:pPr>
        <w:keepNext w:val="0"/>
        <w:keepLines w:val="0"/>
        <w:pageBreakBefore w:val="0"/>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b/>
          <w:bCs/>
          <w:iCs/>
          <w:sz w:val="21"/>
          <w:szCs w:val="21"/>
        </w:rPr>
      </w:pPr>
      <w:r>
        <w:rPr>
          <w:rFonts w:hint="eastAsia" w:ascii="宋体" w:hAnsi="宋体" w:eastAsia="宋体" w:cs="宋体"/>
          <w:b/>
          <w:bCs/>
          <w:kern w:val="0"/>
          <w:sz w:val="21"/>
          <w:szCs w:val="21"/>
        </w:rPr>
        <w:t>六、</w:t>
      </w:r>
      <w:r>
        <w:rPr>
          <w:rFonts w:hint="eastAsia" w:ascii="宋体" w:hAnsi="宋体" w:eastAsia="宋体" w:cs="宋体"/>
          <w:b/>
          <w:bCs/>
          <w:iCs/>
          <w:sz w:val="21"/>
          <w:szCs w:val="21"/>
        </w:rPr>
        <w:t>响应文件的递交</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1.响应文件递交的截止时间及谈判时间为2019年</w:t>
      </w:r>
      <w:r>
        <w:rPr>
          <w:rFonts w:hint="eastAsia" w:ascii="宋体" w:hAnsi="宋体" w:cs="宋体"/>
          <w:sz w:val="21"/>
          <w:szCs w:val="21"/>
          <w:u w:val="single"/>
          <w:lang w:val="en-US" w:eastAsia="zh-CN"/>
        </w:rPr>
        <w:t>10</w:t>
      </w:r>
      <w:r>
        <w:rPr>
          <w:rFonts w:hint="eastAsia" w:ascii="宋体" w:hAnsi="宋体" w:eastAsia="宋体" w:cs="宋体"/>
          <w:sz w:val="21"/>
          <w:szCs w:val="21"/>
        </w:rPr>
        <w:t>月</w:t>
      </w:r>
      <w:r>
        <w:rPr>
          <w:rFonts w:hint="eastAsia" w:ascii="宋体" w:hAnsi="宋体" w:cs="宋体"/>
          <w:sz w:val="21"/>
          <w:szCs w:val="21"/>
          <w:u w:val="single"/>
          <w:lang w:val="en-US" w:eastAsia="zh-CN"/>
        </w:rPr>
        <w:t>24</w:t>
      </w:r>
      <w:r>
        <w:rPr>
          <w:rFonts w:hint="eastAsia" w:ascii="宋体" w:hAnsi="宋体" w:eastAsia="宋体" w:cs="宋体"/>
          <w:sz w:val="21"/>
          <w:szCs w:val="21"/>
        </w:rPr>
        <w:t>日</w:t>
      </w:r>
      <w:r>
        <w:rPr>
          <w:rFonts w:hint="eastAsia" w:ascii="宋体" w:hAnsi="宋体" w:cs="宋体"/>
          <w:sz w:val="21"/>
          <w:szCs w:val="21"/>
          <w:u w:val="single"/>
          <w:lang w:val="en-US" w:eastAsia="zh-CN"/>
        </w:rPr>
        <w:t>14</w:t>
      </w:r>
      <w:r>
        <w:rPr>
          <w:rFonts w:hint="eastAsia" w:ascii="宋体" w:hAnsi="宋体" w:eastAsia="宋体" w:cs="宋体"/>
          <w:sz w:val="21"/>
          <w:szCs w:val="21"/>
        </w:rPr>
        <w:t>时</w:t>
      </w:r>
      <w:r>
        <w:rPr>
          <w:rFonts w:hint="eastAsia" w:ascii="宋体" w:hAnsi="宋体" w:cs="宋体"/>
          <w:sz w:val="21"/>
          <w:szCs w:val="21"/>
          <w:u w:val="single"/>
          <w:lang w:val="en-US" w:eastAsia="zh-CN"/>
        </w:rPr>
        <w:t>30</w:t>
      </w:r>
      <w:r>
        <w:rPr>
          <w:rFonts w:hint="eastAsia" w:ascii="宋体" w:hAnsi="宋体" w:eastAsia="宋体" w:cs="宋体"/>
          <w:sz w:val="21"/>
          <w:szCs w:val="21"/>
        </w:rPr>
        <w:t>分，地点为长沙市劳动东路二段48号长沙市轨道交通运营有限公司综合楼910室。</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2.逾期送达的或者未送达指定地点的或者未密封的响应文件，采购单位或采购代理机构将予以</w:t>
      </w:r>
      <w:r>
        <w:rPr>
          <w:rFonts w:hint="eastAsia" w:ascii="宋体" w:hAnsi="宋体" w:eastAsia="宋体" w:cs="宋体"/>
          <w:b/>
          <w:bCs/>
          <w:sz w:val="21"/>
          <w:szCs w:val="21"/>
        </w:rPr>
        <w:t>拒收</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b/>
          <w:sz w:val="21"/>
          <w:szCs w:val="21"/>
        </w:rPr>
      </w:pPr>
      <w:r>
        <w:rPr>
          <w:rFonts w:hint="eastAsia" w:ascii="宋体" w:hAnsi="宋体" w:eastAsia="宋体" w:cs="宋体"/>
          <w:b/>
          <w:iCs/>
          <w:sz w:val="21"/>
          <w:szCs w:val="21"/>
        </w:rPr>
        <w:t>七、采购单位及其委托的采购代理机构的名称、地址和联系方法</w:t>
      </w:r>
    </w:p>
    <w:p>
      <w:pPr>
        <w:keepNext w:val="0"/>
        <w:keepLines w:val="0"/>
        <w:pageBreakBefore w:val="0"/>
        <w:kinsoku/>
        <w:wordWrap/>
        <w:overflowPunct/>
        <w:topLinePunct w:val="0"/>
        <w:autoSpaceDE/>
        <w:autoSpaceDN/>
        <w:bidi w:val="0"/>
        <w:adjustRightInd w:val="0"/>
        <w:snapToGrid w:val="0"/>
        <w:spacing w:line="360" w:lineRule="auto"/>
        <w:ind w:left="0" w:leftChars="0" w:firstLine="413" w:firstLineChars="196"/>
        <w:textAlignment w:val="auto"/>
        <w:rPr>
          <w:rFonts w:hint="eastAsia" w:ascii="宋体" w:hAnsi="宋体" w:eastAsia="宋体" w:cs="宋体"/>
          <w:sz w:val="21"/>
          <w:szCs w:val="21"/>
        </w:rPr>
      </w:pPr>
      <w:r>
        <w:rPr>
          <w:rFonts w:hint="eastAsia" w:ascii="宋体" w:hAnsi="宋体" w:eastAsia="宋体" w:cs="宋体"/>
          <w:b/>
          <w:bCs/>
          <w:sz w:val="21"/>
          <w:szCs w:val="21"/>
        </w:rPr>
        <w:t>采购单位：</w:t>
      </w:r>
      <w:r>
        <w:rPr>
          <w:rFonts w:hint="eastAsia" w:ascii="宋体" w:hAnsi="宋体" w:eastAsia="宋体" w:cs="宋体"/>
          <w:iCs/>
          <w:sz w:val="21"/>
          <w:szCs w:val="21"/>
          <w:u w:val="none"/>
        </w:rPr>
        <w:t>长沙市轨道交通</w:t>
      </w:r>
      <w:r>
        <w:rPr>
          <w:rFonts w:hint="eastAsia" w:ascii="宋体" w:hAnsi="宋体" w:eastAsia="宋体" w:cs="宋体"/>
          <w:iCs/>
          <w:sz w:val="21"/>
          <w:szCs w:val="21"/>
          <w:u w:val="none"/>
          <w:lang w:eastAsia="zh-CN"/>
        </w:rPr>
        <w:t>五号线建设发展</w:t>
      </w:r>
      <w:r>
        <w:rPr>
          <w:rFonts w:hint="eastAsia" w:ascii="宋体" w:hAnsi="宋体" w:eastAsia="宋体" w:cs="宋体"/>
          <w:iCs/>
          <w:sz w:val="21"/>
          <w:szCs w:val="21"/>
          <w:u w:val="none"/>
        </w:rPr>
        <w:t>有限公司</w:t>
      </w:r>
    </w:p>
    <w:p>
      <w:pPr>
        <w:keepNext w:val="0"/>
        <w:keepLines w:val="0"/>
        <w:pageBreakBefore w:val="0"/>
        <w:kinsoku/>
        <w:wordWrap/>
        <w:overflowPunct/>
        <w:topLinePunct w:val="0"/>
        <w:autoSpaceDE/>
        <w:autoSpaceDN/>
        <w:bidi w:val="0"/>
        <w:adjustRightInd w:val="0"/>
        <w:snapToGrid w:val="0"/>
        <w:spacing w:line="360" w:lineRule="auto"/>
        <w:ind w:left="0" w:leftChars="0" w:firstLine="411" w:firstLineChars="196"/>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  址：</w:t>
      </w:r>
      <w:r>
        <w:rPr>
          <w:rFonts w:hint="eastAsia" w:ascii="宋体" w:hAnsi="宋体" w:eastAsia="宋体" w:cs="宋体"/>
          <w:bCs/>
          <w:sz w:val="21"/>
          <w:szCs w:val="21"/>
        </w:rPr>
        <w:t>长沙市</w:t>
      </w:r>
      <w:r>
        <w:rPr>
          <w:rFonts w:hint="eastAsia" w:ascii="宋体" w:hAnsi="宋体" w:eastAsia="宋体" w:cs="宋体"/>
          <w:iCs/>
          <w:sz w:val="21"/>
          <w:szCs w:val="21"/>
        </w:rPr>
        <w:t>劳动东路二段48号</w:t>
      </w:r>
      <w:r>
        <w:rPr>
          <w:rFonts w:hint="eastAsia" w:ascii="宋体" w:hAnsi="宋体" w:eastAsia="宋体" w:cs="宋体"/>
          <w:sz w:val="21"/>
          <w:szCs w:val="21"/>
        </w:rPr>
        <w:t>长沙市轨道交通运营有限公司</w:t>
      </w:r>
      <w:r>
        <w:rPr>
          <w:rFonts w:hint="eastAsia" w:ascii="宋体" w:hAnsi="宋体" w:eastAsia="宋体" w:cs="宋体"/>
          <w:kern w:val="0"/>
          <w:sz w:val="21"/>
          <w:szCs w:val="21"/>
          <w:shd w:val="clear" w:color="auto" w:fill="FFFFFF"/>
        </w:rPr>
        <w:t>综合楼9</w:t>
      </w:r>
      <w:r>
        <w:rPr>
          <w:rFonts w:hint="eastAsia" w:ascii="宋体" w:hAnsi="宋体" w:eastAsia="宋体" w:cs="宋体"/>
          <w:sz w:val="21"/>
          <w:szCs w:val="21"/>
        </w:rPr>
        <w:t>楼</w:t>
      </w:r>
      <w:r>
        <w:rPr>
          <w:rFonts w:hint="eastAsia" w:ascii="宋体" w:hAnsi="宋体" w:eastAsia="宋体" w:cs="宋体"/>
          <w:sz w:val="21"/>
          <w:szCs w:val="21"/>
          <w:lang w:val="en-US" w:eastAsia="zh-CN"/>
        </w:rPr>
        <w:t>910室</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联系人：</w:t>
      </w:r>
      <w:r>
        <w:rPr>
          <w:rFonts w:hint="eastAsia" w:ascii="宋体" w:hAnsi="宋体" w:eastAsia="宋体" w:cs="宋体"/>
          <w:bCs/>
          <w:sz w:val="21"/>
          <w:szCs w:val="21"/>
          <w:lang w:eastAsia="zh-CN"/>
        </w:rPr>
        <w:t>彭工</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t>电  话：</w:t>
      </w:r>
      <w:r>
        <w:rPr>
          <w:rFonts w:hint="eastAsia" w:ascii="宋体" w:hAnsi="宋体" w:cs="宋体"/>
          <w:bCs/>
          <w:sz w:val="21"/>
          <w:szCs w:val="21"/>
          <w:lang w:val="en-US" w:eastAsia="zh-CN"/>
        </w:rPr>
        <w:t>0731-</w:t>
      </w:r>
      <w:r>
        <w:rPr>
          <w:rFonts w:hint="eastAsia" w:ascii="宋体" w:hAnsi="宋体" w:eastAsia="宋体" w:cs="宋体"/>
          <w:bCs/>
          <w:sz w:val="21"/>
          <w:szCs w:val="21"/>
          <w:lang w:val="en-US" w:eastAsia="zh-CN"/>
        </w:rPr>
        <w:t>86852462</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监督举报电话：</w:t>
      </w:r>
      <w:r>
        <w:rPr>
          <w:rFonts w:hint="eastAsia" w:ascii="宋体" w:hAnsi="宋体" w:eastAsia="宋体" w:cs="宋体"/>
          <w:sz w:val="21"/>
          <w:szCs w:val="21"/>
        </w:rPr>
        <w:t>86852248</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联系人：文工</w:t>
      </w:r>
    </w:p>
    <w:p>
      <w:pPr>
        <w:keepNext w:val="0"/>
        <w:keepLines w:val="0"/>
        <w:pageBreakBefore w:val="0"/>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采购代理机构：</w:t>
      </w:r>
      <w:r>
        <w:rPr>
          <w:rFonts w:hint="eastAsia" w:ascii="宋体" w:hAnsi="宋体" w:eastAsia="宋体" w:cs="宋体"/>
          <w:sz w:val="21"/>
          <w:szCs w:val="21"/>
        </w:rPr>
        <w:t>湖南国联招标有限公司</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联系电话：0731-85177557</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联系人：王长征  黄涛  胡亚高</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地址：长沙市天心区蔡锷南路69号天辰腾达商务大厦6楼</w:t>
      </w:r>
    </w:p>
    <w:p>
      <w:pPr>
        <w:keepNext w:val="0"/>
        <w:keepLines w:val="0"/>
        <w:pageBreakBefore w:val="0"/>
        <w:kinsoku/>
        <w:wordWrap/>
        <w:overflowPunct/>
        <w:topLinePunct w:val="0"/>
        <w:autoSpaceDE/>
        <w:autoSpaceDN/>
        <w:bidi w:val="0"/>
        <w:adjustRightInd w:val="0"/>
        <w:snapToGrid w:val="0"/>
        <w:spacing w:line="360" w:lineRule="auto"/>
        <w:ind w:left="0" w:leftChars="0" w:firstLine="4401" w:firstLineChars="2096"/>
        <w:textAlignment w:val="auto"/>
        <w:rPr>
          <w:rFonts w:ascii="宋体" w:hAnsi="宋体"/>
          <w:szCs w:val="21"/>
        </w:rPr>
      </w:pPr>
      <w:r>
        <w:rPr>
          <w:rFonts w:hint="eastAsia" w:ascii="宋体" w:hAnsi="宋体" w:eastAsia="宋体" w:cs="宋体"/>
          <w:sz w:val="21"/>
          <w:szCs w:val="21"/>
        </w:rPr>
        <w:t xml:space="preserve">2019年 </w:t>
      </w:r>
      <w:r>
        <w:rPr>
          <w:rFonts w:hint="eastAsia" w:ascii="宋体" w:hAnsi="宋体" w:cs="宋体"/>
          <w:sz w:val="21"/>
          <w:szCs w:val="21"/>
          <w:lang w:val="en-US" w:eastAsia="zh-CN"/>
        </w:rPr>
        <w:t>10</w:t>
      </w:r>
      <w:r>
        <w:rPr>
          <w:rFonts w:hint="eastAsia" w:ascii="宋体" w:hAnsi="宋体" w:eastAsia="宋体" w:cs="宋体"/>
          <w:sz w:val="21"/>
          <w:szCs w:val="21"/>
        </w:rPr>
        <w:t xml:space="preserve"> 月</w:t>
      </w:r>
      <w:r>
        <w:rPr>
          <w:rFonts w:hint="eastAsia" w:ascii="宋体" w:hAnsi="宋体" w:cs="宋体"/>
          <w:sz w:val="21"/>
          <w:szCs w:val="21"/>
          <w:lang w:val="en-US" w:eastAsia="zh-CN"/>
        </w:rPr>
        <w:t>12</w:t>
      </w:r>
      <w:r>
        <w:rPr>
          <w:rFonts w:hint="eastAsia" w:ascii="宋体" w:hAnsi="宋体" w:eastAsia="宋体" w:cs="宋体"/>
          <w:sz w:val="21"/>
          <w:szCs w:val="21"/>
        </w:rPr>
        <w:t>日</w:t>
      </w:r>
    </w:p>
    <w:p>
      <w:pPr>
        <w:pStyle w:val="3"/>
        <w:keepNext w:val="0"/>
        <w:spacing w:after="240"/>
        <w:rPr>
          <w:rFonts w:ascii="黑体" w:hAnsi="黑体" w:eastAsia="黑体"/>
          <w:bCs w:val="0"/>
          <w:sz w:val="32"/>
          <w:szCs w:val="32"/>
        </w:rPr>
      </w:pPr>
      <w:r>
        <w:rPr>
          <w:rFonts w:ascii="黑体" w:hAnsi="黑体" w:eastAsia="黑体"/>
          <w:b w:val="0"/>
          <w:bCs w:val="0"/>
          <w:sz w:val="32"/>
          <w:szCs w:val="32"/>
        </w:rPr>
        <w:br w:type="page"/>
      </w:r>
      <w:bookmarkStart w:id="5" w:name="_Toc6753"/>
      <w:bookmarkStart w:id="6" w:name="_Toc5145"/>
      <w:bookmarkStart w:id="7" w:name="_Toc10483"/>
      <w:bookmarkStart w:id="8" w:name="_Toc14891065"/>
      <w:bookmarkStart w:id="9" w:name="_Toc8914"/>
      <w:r>
        <w:rPr>
          <w:rFonts w:hint="eastAsia" w:ascii="宋体" w:hAnsi="宋体" w:eastAsia="宋体" w:cs="宋体"/>
          <w:bCs w:val="0"/>
          <w:sz w:val="32"/>
          <w:szCs w:val="32"/>
        </w:rPr>
        <w:t xml:space="preserve">第二章 </w:t>
      </w:r>
      <w:r>
        <w:rPr>
          <w:rFonts w:hint="eastAsia" w:ascii="宋体" w:hAnsi="宋体" w:cs="宋体"/>
          <w:bCs w:val="0"/>
          <w:sz w:val="32"/>
          <w:szCs w:val="32"/>
          <w:lang w:val="en-US" w:eastAsia="zh-CN"/>
        </w:rPr>
        <w:t xml:space="preserve"> </w:t>
      </w:r>
      <w:r>
        <w:rPr>
          <w:rFonts w:hint="eastAsia" w:ascii="宋体" w:hAnsi="宋体" w:eastAsia="宋体" w:cs="宋体"/>
          <w:bCs w:val="0"/>
          <w:sz w:val="32"/>
          <w:szCs w:val="32"/>
        </w:rPr>
        <w:t>谈判须知</w:t>
      </w:r>
      <w:bookmarkEnd w:id="5"/>
      <w:bookmarkEnd w:id="6"/>
      <w:bookmarkEnd w:id="7"/>
      <w:bookmarkEnd w:id="8"/>
      <w:bookmarkEnd w:id="9"/>
    </w:p>
    <w:p>
      <w:pPr>
        <w:pStyle w:val="4"/>
        <w:keepNext w:val="0"/>
        <w:keepLines w:val="0"/>
        <w:jc w:val="center"/>
        <w:rPr>
          <w:rFonts w:hint="eastAsia" w:ascii="宋体" w:hAnsi="宋体" w:eastAsia="宋体" w:cs="宋体"/>
          <w:sz w:val="32"/>
          <w:szCs w:val="32"/>
        </w:rPr>
      </w:pPr>
      <w:bookmarkStart w:id="10" w:name="_Toc5430"/>
      <w:bookmarkStart w:id="11" w:name="_Toc14891066"/>
      <w:bookmarkStart w:id="12" w:name="_Toc6617"/>
      <w:bookmarkStart w:id="13" w:name="_Toc9591"/>
      <w:bookmarkStart w:id="14" w:name="_Toc28089"/>
      <w:r>
        <w:rPr>
          <w:rFonts w:hint="eastAsia" w:ascii="宋体" w:hAnsi="宋体" w:eastAsia="宋体" w:cs="宋体"/>
          <w:sz w:val="32"/>
          <w:szCs w:val="32"/>
        </w:rPr>
        <w:t>谈判须知前附表</w:t>
      </w:r>
      <w:bookmarkEnd w:id="10"/>
      <w:bookmarkEnd w:id="11"/>
      <w:bookmarkEnd w:id="12"/>
      <w:bookmarkEnd w:id="13"/>
      <w:bookmarkEnd w:id="14"/>
    </w:p>
    <w:tbl>
      <w:tblPr>
        <w:tblStyle w:val="46"/>
        <w:tblW w:w="965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名  称</w:t>
            </w:r>
          </w:p>
        </w:tc>
        <w:tc>
          <w:tcPr>
            <w:tcW w:w="7788"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2"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采购项目</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iCs/>
                <w:sz w:val="21"/>
                <w:szCs w:val="21"/>
                <w:u w:val="none"/>
              </w:rPr>
              <w:t>长沙市轨道交通5号线一期工程运营期票款押运网络视频监控服务项</w:t>
            </w:r>
            <w:r>
              <w:rPr>
                <w:rFonts w:hint="eastAsia" w:ascii="宋体" w:hAnsi="宋体" w:eastAsia="宋体" w:cs="宋体"/>
                <w:iCs/>
                <w:sz w:val="21"/>
                <w:szCs w:val="21"/>
                <w:u w:val="none"/>
                <w:lang w:eastAsia="zh-CN"/>
              </w:rPr>
              <w:t>目</w:t>
            </w:r>
            <w:r>
              <w:rPr>
                <w:rFonts w:hint="eastAsia" w:ascii="宋体" w:hAnsi="宋体" w:eastAsia="宋体" w:cs="宋体"/>
                <w:iCs/>
                <w:sz w:val="21"/>
                <w:szCs w:val="21"/>
                <w:u w:val="none"/>
              </w:rPr>
              <w:t>（2020-2021年度）</w:t>
            </w:r>
            <w:r>
              <w:rPr>
                <w:rFonts w:hint="eastAsia" w:ascii="宋体" w:hAnsi="宋体" w:cs="宋体"/>
                <w:iCs/>
                <w:sz w:val="21"/>
                <w:szCs w:val="21"/>
                <w:u w:val="none"/>
                <w:lang w:eastAsia="zh-CN"/>
              </w:rPr>
              <w:t>（第二次）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采购单位</w:t>
            </w:r>
          </w:p>
        </w:tc>
        <w:tc>
          <w:tcPr>
            <w:tcW w:w="7788" w:type="dxa"/>
            <w:vAlign w:val="center"/>
          </w:tcPr>
          <w:p>
            <w:pPr>
              <w:adjustRightInd w:val="0"/>
              <w:snapToGrid w:val="0"/>
              <w:spacing w:line="360" w:lineRule="auto"/>
              <w:jc w:val="left"/>
              <w:rPr>
                <w:rFonts w:hint="eastAsia" w:ascii="宋体" w:hAnsi="宋体" w:eastAsia="宋体" w:cs="宋体"/>
                <w:iCs/>
                <w:sz w:val="21"/>
                <w:szCs w:val="21"/>
              </w:rPr>
            </w:pPr>
            <w:r>
              <w:rPr>
                <w:rFonts w:hint="eastAsia" w:ascii="宋体" w:hAnsi="宋体" w:eastAsia="宋体" w:cs="宋体"/>
                <w:iCs/>
                <w:sz w:val="21"/>
                <w:szCs w:val="21"/>
                <w:u w:val="none"/>
              </w:rPr>
              <w:t>长沙市轨道交通</w:t>
            </w:r>
            <w:r>
              <w:rPr>
                <w:rFonts w:hint="eastAsia" w:ascii="宋体" w:hAnsi="宋体" w:eastAsia="宋体" w:cs="宋体"/>
                <w:iCs/>
                <w:sz w:val="21"/>
                <w:szCs w:val="21"/>
                <w:u w:val="none"/>
                <w:lang w:eastAsia="zh-CN"/>
              </w:rPr>
              <w:t>五号线建设发展</w:t>
            </w:r>
            <w:r>
              <w:rPr>
                <w:rFonts w:hint="eastAsia" w:ascii="宋体" w:hAnsi="宋体" w:eastAsia="宋体" w:cs="宋体"/>
                <w:iCs/>
                <w:sz w:val="21"/>
                <w:szCs w:val="21"/>
                <w:u w:val="none"/>
              </w:rPr>
              <w:t>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采购代理机构</w:t>
            </w:r>
          </w:p>
        </w:tc>
        <w:tc>
          <w:tcPr>
            <w:tcW w:w="7788" w:type="dxa"/>
            <w:vAlign w:val="center"/>
          </w:tcPr>
          <w:p>
            <w:pPr>
              <w:adjustRightInd w:val="0"/>
              <w:snapToGrid w:val="0"/>
              <w:spacing w:line="360" w:lineRule="auto"/>
              <w:jc w:val="left"/>
              <w:rPr>
                <w:rFonts w:hint="eastAsia" w:ascii="宋体" w:hAnsi="宋体" w:eastAsia="宋体" w:cs="宋体"/>
                <w:iCs/>
                <w:sz w:val="21"/>
                <w:szCs w:val="21"/>
              </w:rPr>
            </w:pPr>
            <w:r>
              <w:rPr>
                <w:rFonts w:hint="eastAsia" w:ascii="宋体" w:hAnsi="宋体" w:eastAsia="宋体" w:cs="宋体"/>
                <w:sz w:val="21"/>
                <w:szCs w:val="21"/>
              </w:rPr>
              <w:t>湖南国联招标有限公司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1"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FF0000"/>
                <w:sz w:val="21"/>
                <w:szCs w:val="21"/>
                <w:lang w:eastAsia="zh-CN"/>
              </w:rPr>
            </w:pPr>
            <w:r>
              <w:rPr>
                <w:rFonts w:hint="eastAsia" w:ascii="宋体" w:hAnsi="宋体" w:eastAsia="宋体" w:cs="宋体"/>
                <w:b/>
                <w:color w:val="auto"/>
                <w:sz w:val="21"/>
                <w:szCs w:val="21"/>
              </w:rPr>
              <w:t>谈判</w:t>
            </w:r>
            <w:r>
              <w:rPr>
                <w:rFonts w:hint="eastAsia" w:ascii="宋体" w:hAnsi="宋体" w:eastAsia="宋体" w:cs="宋体"/>
                <w:b/>
                <w:color w:val="auto"/>
                <w:sz w:val="21"/>
                <w:szCs w:val="21"/>
                <w:lang w:eastAsia="zh-CN"/>
              </w:rPr>
              <w:t>控制价</w:t>
            </w:r>
          </w:p>
        </w:tc>
        <w:tc>
          <w:tcPr>
            <w:tcW w:w="7788" w:type="dxa"/>
            <w:vAlign w:val="center"/>
          </w:tcPr>
          <w:p>
            <w:pPr>
              <w:adjustRightInd w:val="0"/>
              <w:snapToGrid w:val="0"/>
              <w:spacing w:line="360" w:lineRule="auto"/>
              <w:jc w:val="left"/>
              <w:rPr>
                <w:rFonts w:hint="eastAsia" w:ascii="宋体" w:hAnsi="宋体" w:eastAsia="宋体" w:cs="宋体"/>
                <w:iCs/>
                <w:color w:val="FF0000"/>
                <w:sz w:val="21"/>
                <w:szCs w:val="21"/>
              </w:rPr>
            </w:pPr>
            <w:r>
              <w:rPr>
                <w:rFonts w:hint="eastAsia" w:ascii="宋体" w:hAnsi="宋体" w:eastAsia="宋体" w:cs="宋体"/>
                <w:sz w:val="21"/>
                <w:szCs w:val="21"/>
                <w:lang w:val="en-US" w:eastAsia="zh-CN"/>
              </w:rPr>
              <w:t>146880.00</w:t>
            </w:r>
            <w:r>
              <w:rPr>
                <w:rFonts w:hint="eastAsia" w:ascii="宋体" w:hAnsi="宋体" w:eastAsia="宋体" w:cs="宋体"/>
                <w:sz w:val="21"/>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评审办法</w:t>
            </w:r>
          </w:p>
        </w:tc>
        <w:tc>
          <w:tcPr>
            <w:tcW w:w="7788" w:type="dxa"/>
            <w:vAlign w:val="center"/>
          </w:tcPr>
          <w:p>
            <w:pPr>
              <w:adjustRightInd w:val="0"/>
              <w:snapToGrid w:val="0"/>
              <w:spacing w:line="360" w:lineRule="auto"/>
              <w:jc w:val="left"/>
              <w:rPr>
                <w:rFonts w:hint="eastAsia" w:ascii="宋体" w:hAnsi="宋体" w:eastAsia="宋体" w:cs="宋体"/>
                <w:iCs/>
                <w:color w:val="FF0000"/>
                <w:sz w:val="21"/>
                <w:szCs w:val="21"/>
                <w:lang w:eastAsia="zh-CN"/>
              </w:rPr>
            </w:pPr>
            <w:r>
              <w:rPr>
                <w:rFonts w:hint="eastAsia" w:ascii="宋体" w:hAnsi="宋体" w:eastAsia="宋体" w:cs="宋体"/>
                <w:iCs/>
                <w:color w:val="auto"/>
                <w:sz w:val="21"/>
                <w:szCs w:val="21"/>
                <w:highlight w:val="none"/>
              </w:rPr>
              <w:t>本项目评审办法采用</w:t>
            </w:r>
            <w:r>
              <w:rPr>
                <w:rFonts w:hint="eastAsia" w:ascii="宋体" w:hAnsi="宋体" w:eastAsia="宋体" w:cs="宋体"/>
                <w:iCs/>
                <w:color w:val="auto"/>
                <w:sz w:val="21"/>
                <w:szCs w:val="21"/>
                <w:highlight w:val="none"/>
                <w:u w:val="none"/>
              </w:rPr>
              <w:t>经符合性审查</w:t>
            </w:r>
            <w:r>
              <w:rPr>
                <w:rFonts w:hint="eastAsia" w:ascii="宋体" w:hAnsi="宋体" w:eastAsia="宋体" w:cs="宋体"/>
                <w:iCs/>
                <w:color w:val="auto"/>
                <w:sz w:val="21"/>
                <w:szCs w:val="21"/>
                <w:highlight w:val="none"/>
                <w:u w:val="none"/>
                <w:lang w:eastAsia="zh-CN"/>
              </w:rPr>
              <w:t>合格</w:t>
            </w:r>
            <w:r>
              <w:rPr>
                <w:rFonts w:hint="eastAsia" w:ascii="宋体" w:hAnsi="宋体" w:eastAsia="宋体" w:cs="宋体"/>
                <w:iCs/>
                <w:color w:val="auto"/>
                <w:sz w:val="21"/>
                <w:szCs w:val="21"/>
                <w:highlight w:val="none"/>
                <w:u w:val="none"/>
              </w:rPr>
              <w:t>后的</w:t>
            </w:r>
            <w:r>
              <w:rPr>
                <w:rFonts w:hint="eastAsia" w:ascii="宋体" w:hAnsi="宋体" w:eastAsia="宋体" w:cs="宋体"/>
                <w:iCs/>
                <w:color w:val="auto"/>
                <w:sz w:val="21"/>
                <w:szCs w:val="21"/>
                <w:highlight w:val="none"/>
                <w:u w:val="none"/>
                <w:lang w:val="en-US" w:eastAsia="zh-CN"/>
              </w:rPr>
              <w:t>最低价法</w:t>
            </w:r>
            <w:r>
              <w:rPr>
                <w:rFonts w:hint="eastAsia" w:ascii="宋体" w:hAnsi="宋体" w:eastAsia="宋体" w:cs="宋体"/>
                <w:iCs/>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46"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highlight w:val="yellow"/>
              </w:rPr>
            </w:pPr>
            <w:r>
              <w:rPr>
                <w:rFonts w:hint="eastAsia" w:ascii="宋体" w:hAnsi="宋体" w:eastAsia="宋体" w:cs="宋体"/>
                <w:b/>
                <w:sz w:val="21"/>
                <w:szCs w:val="21"/>
              </w:rPr>
              <w:t>资格要求</w:t>
            </w:r>
          </w:p>
        </w:tc>
        <w:tc>
          <w:tcPr>
            <w:tcW w:w="7788"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iCs/>
                <w:sz w:val="21"/>
                <w:szCs w:val="21"/>
              </w:rPr>
              <w:t>谈判单位须为具有独立法人资格、自主经营、独立核算的公司</w:t>
            </w:r>
            <w:r>
              <w:rPr>
                <w:rFonts w:hint="eastAsia" w:ascii="宋体" w:hAnsi="宋体" w:eastAsia="宋体" w:cs="宋体"/>
                <w:iCs/>
                <w:sz w:val="21"/>
                <w:szCs w:val="21"/>
                <w:lang w:val="en-US" w:eastAsia="zh-CN"/>
              </w:rPr>
              <w:t>/单位</w:t>
            </w:r>
            <w:r>
              <w:rPr>
                <w:rFonts w:hint="eastAsia" w:ascii="宋体" w:hAnsi="宋体" w:eastAsia="宋体" w:cs="宋体"/>
                <w:iCs/>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.谈判单位在本项目响应文件递交截止之日前36个月内须具有</w:t>
            </w:r>
            <w:r>
              <w:rPr>
                <w:rFonts w:hint="eastAsia" w:ascii="宋体" w:hAnsi="宋体" w:eastAsia="宋体" w:cs="宋体"/>
                <w:sz w:val="21"/>
                <w:szCs w:val="21"/>
                <w:u w:val="none"/>
              </w:rPr>
              <w:t>单项合同金额</w:t>
            </w:r>
            <w:r>
              <w:rPr>
                <w:rFonts w:hint="eastAsia" w:ascii="宋体" w:hAnsi="宋体" w:eastAsia="宋体" w:cs="宋体"/>
                <w:sz w:val="21"/>
                <w:szCs w:val="21"/>
                <w:u w:val="none"/>
                <w:lang w:eastAsia="zh-CN"/>
              </w:rPr>
              <w:t>不少于</w:t>
            </w:r>
            <w:r>
              <w:rPr>
                <w:rFonts w:hint="eastAsia" w:ascii="宋体" w:hAnsi="宋体" w:eastAsia="宋体" w:cs="宋体"/>
                <w:sz w:val="21"/>
                <w:szCs w:val="21"/>
                <w:u w:val="none"/>
                <w:lang w:val="en-US" w:eastAsia="zh-CN"/>
              </w:rPr>
              <w:t>7</w:t>
            </w:r>
            <w:r>
              <w:rPr>
                <w:rFonts w:hint="eastAsia" w:ascii="宋体" w:hAnsi="宋体" w:eastAsia="宋体" w:cs="宋体"/>
                <w:sz w:val="21"/>
                <w:szCs w:val="21"/>
                <w:u w:val="none"/>
              </w:rPr>
              <w:t>万元/年的票款押运网络监控服务业绩。</w:t>
            </w:r>
            <w:r>
              <w:rPr>
                <w:rFonts w:hint="eastAsia" w:ascii="宋体" w:hAnsi="宋体" w:eastAsia="宋体" w:cs="宋体"/>
                <w:sz w:val="21"/>
                <w:szCs w:val="21"/>
                <w:lang w:val="en-US" w:eastAsia="zh-CN"/>
              </w:rPr>
              <w:t>不接受联合体业绩、港澳台或境外业绩。</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i w:val="0"/>
                <w:iCs w:val="0"/>
                <w:color w:val="000000"/>
                <w:sz w:val="21"/>
                <w:szCs w:val="21"/>
                <w:highlight w:val="none"/>
                <w:u w:val="none"/>
                <w:lang w:val="en-US" w:eastAsia="zh-CN"/>
              </w:rPr>
              <w:t>业绩证明材料以同时提供的合同复印件和发票（开票金额不少于合同金额的10%）复印件（均须加盖谈判单位公章）为准，业绩金额以合同中金额为准，时间以合同中甲方签字时间为准。</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highlight w:val="none"/>
              </w:rPr>
              <w:t>本</w:t>
            </w:r>
            <w:r>
              <w:rPr>
                <w:rFonts w:hint="eastAsia" w:ascii="宋体" w:hAnsi="宋体" w:eastAsia="宋体" w:cs="宋体"/>
                <w:sz w:val="21"/>
                <w:szCs w:val="21"/>
                <w:highlight w:val="none"/>
                <w:lang w:eastAsia="zh-CN"/>
              </w:rPr>
              <w:t>项目谈判</w:t>
            </w:r>
            <w:r>
              <w:rPr>
                <w:rFonts w:hint="eastAsia" w:ascii="宋体" w:hAnsi="宋体" w:eastAsia="宋体" w:cs="宋体"/>
                <w:sz w:val="21"/>
                <w:szCs w:val="21"/>
                <w:highlight w:val="none"/>
                <w:u w:val="none"/>
              </w:rPr>
              <w:t>不接受</w:t>
            </w:r>
            <w:r>
              <w:rPr>
                <w:rFonts w:hint="eastAsia" w:ascii="宋体" w:hAnsi="宋体" w:eastAsia="宋体" w:cs="宋体"/>
                <w:sz w:val="21"/>
                <w:szCs w:val="21"/>
                <w:highlight w:val="none"/>
              </w:rPr>
              <w:t>联合体</w:t>
            </w:r>
            <w:r>
              <w:rPr>
                <w:rFonts w:hint="eastAsia" w:ascii="宋体" w:hAnsi="宋体" w:eastAsia="宋体" w:cs="宋体"/>
                <w:sz w:val="21"/>
                <w:szCs w:val="21"/>
                <w:highlight w:val="none"/>
                <w:lang w:eastAsia="zh-CN"/>
              </w:rPr>
              <w:t>形式参与</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sz w:val="21"/>
                <w:szCs w:val="21"/>
                <w:highlight w:val="yellow"/>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i w:val="0"/>
                <w:iCs w:val="0"/>
                <w:color w:val="000000"/>
                <w:sz w:val="21"/>
                <w:szCs w:val="21"/>
                <w:highlight w:val="none"/>
                <w:u w:val="none"/>
                <w:lang w:val="en-US" w:eastAsia="zh-CN"/>
              </w:rPr>
              <w:t>被长沙市轨道交通集团函告禁止在一定期限内参与轨道公司项目投标或谈判的单位按函告内容执行。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谈判答疑文件递交截止时间</w:t>
            </w:r>
          </w:p>
        </w:tc>
        <w:tc>
          <w:tcPr>
            <w:tcW w:w="7788" w:type="dxa"/>
            <w:vAlign w:val="center"/>
          </w:tcPr>
          <w:p>
            <w:pPr>
              <w:pStyle w:val="25"/>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sz w:val="21"/>
                <w:szCs w:val="21"/>
                <w:u w:val="single"/>
              </w:rPr>
              <w:t>2019</w:t>
            </w:r>
            <w:r>
              <w:rPr>
                <w:rFonts w:hint="eastAsia" w:ascii="宋体" w:hAnsi="宋体" w:eastAsia="宋体" w:cs="宋体"/>
                <w:sz w:val="21"/>
                <w:szCs w:val="21"/>
              </w:rPr>
              <w:t>年</w:t>
            </w:r>
            <w:r>
              <w:rPr>
                <w:rFonts w:hint="eastAsia" w:hAnsi="宋体" w:cs="宋体"/>
                <w:sz w:val="21"/>
                <w:szCs w:val="21"/>
                <w:u w:val="single"/>
                <w:lang w:val="en-US" w:eastAsia="zh-CN"/>
              </w:rPr>
              <w:t>10</w:t>
            </w:r>
            <w:r>
              <w:rPr>
                <w:rFonts w:hint="eastAsia" w:ascii="宋体" w:hAnsi="宋体" w:eastAsia="宋体" w:cs="宋体"/>
                <w:sz w:val="21"/>
                <w:szCs w:val="21"/>
              </w:rPr>
              <w:t>月</w:t>
            </w:r>
            <w:r>
              <w:rPr>
                <w:rFonts w:hint="eastAsia" w:hAnsi="宋体" w:cs="宋体"/>
                <w:sz w:val="21"/>
                <w:szCs w:val="21"/>
                <w:u w:val="single"/>
                <w:lang w:val="en-US" w:eastAsia="zh-CN"/>
              </w:rPr>
              <w:t>18</w:t>
            </w:r>
            <w:r>
              <w:rPr>
                <w:rFonts w:hint="eastAsia" w:ascii="宋体" w:hAnsi="宋体" w:eastAsia="宋体" w:cs="宋体"/>
                <w:sz w:val="21"/>
                <w:szCs w:val="21"/>
              </w:rPr>
              <w:t>日</w:t>
            </w:r>
            <w:r>
              <w:rPr>
                <w:rFonts w:hint="eastAsia" w:hAnsi="宋体" w:cs="宋体"/>
                <w:sz w:val="21"/>
                <w:szCs w:val="21"/>
                <w:u w:val="single"/>
                <w:lang w:val="en-US" w:eastAsia="zh-CN"/>
              </w:rPr>
              <w:t>17</w:t>
            </w:r>
            <w:r>
              <w:rPr>
                <w:rFonts w:hint="eastAsia" w:ascii="宋体" w:hAnsi="宋体" w:eastAsia="宋体" w:cs="宋体"/>
                <w:sz w:val="21"/>
                <w:szCs w:val="21"/>
              </w:rPr>
              <w:t>时</w:t>
            </w:r>
            <w:r>
              <w:rPr>
                <w:rFonts w:hint="eastAsia" w:hAnsi="宋体" w:cs="宋体"/>
                <w:sz w:val="21"/>
                <w:szCs w:val="21"/>
                <w:u w:val="single"/>
                <w:lang w:val="en-US" w:eastAsia="zh-CN"/>
              </w:rPr>
              <w:t>00</w:t>
            </w:r>
            <w:bookmarkStart w:id="168" w:name="_GoBack"/>
            <w:bookmarkEnd w:id="168"/>
            <w:r>
              <w:rPr>
                <w:rFonts w:hint="eastAsia" w:ascii="宋体" w:hAnsi="宋体" w:eastAsia="宋体" w:cs="宋体"/>
                <w:sz w:val="21"/>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谈判答疑文件递交方式及地点</w:t>
            </w:r>
          </w:p>
        </w:tc>
        <w:tc>
          <w:tcPr>
            <w:tcW w:w="7788" w:type="dxa"/>
            <w:vAlign w:val="center"/>
          </w:tcPr>
          <w:p>
            <w:pPr>
              <w:pStyle w:val="25"/>
              <w:adjustRightInd w:val="0"/>
              <w:snapToGrid w:val="0"/>
              <w:spacing w:line="360" w:lineRule="auto"/>
              <w:rPr>
                <w:rFonts w:hint="eastAsia" w:ascii="宋体" w:hAnsi="宋体" w:eastAsia="宋体" w:cs="宋体"/>
                <w:iCs/>
                <w:color w:val="FF0000"/>
                <w:sz w:val="21"/>
                <w:szCs w:val="21"/>
              </w:rPr>
            </w:pPr>
            <w:r>
              <w:rPr>
                <w:rFonts w:hint="eastAsia" w:ascii="宋体" w:hAnsi="宋体" w:eastAsia="宋体" w:cs="宋体"/>
                <w:sz w:val="21"/>
                <w:szCs w:val="21"/>
              </w:rPr>
              <w:t>谈判答疑文件应以书面形式递交至长沙市天心区蔡锷南路69号天辰腾达商务大厦6楼湖南国联招标有限公司。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响应文件的递交截止及谈判时间</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2019</w:t>
            </w:r>
            <w:r>
              <w:rPr>
                <w:rFonts w:hint="eastAsia" w:ascii="宋体" w:hAnsi="宋体" w:eastAsia="宋体" w:cs="宋体"/>
                <w:sz w:val="21"/>
                <w:szCs w:val="21"/>
              </w:rPr>
              <w:t>年</w:t>
            </w:r>
            <w:r>
              <w:rPr>
                <w:rFonts w:hint="eastAsia" w:ascii="宋体" w:hAnsi="宋体" w:cs="宋体"/>
                <w:sz w:val="21"/>
                <w:szCs w:val="21"/>
                <w:u w:val="single"/>
                <w:lang w:val="en-US" w:eastAsia="zh-CN"/>
              </w:rPr>
              <w:t>10</w:t>
            </w:r>
            <w:r>
              <w:rPr>
                <w:rFonts w:hint="eastAsia" w:ascii="宋体" w:hAnsi="宋体" w:eastAsia="宋体" w:cs="宋体"/>
                <w:sz w:val="21"/>
                <w:szCs w:val="21"/>
              </w:rPr>
              <w:t>月</w:t>
            </w:r>
            <w:r>
              <w:rPr>
                <w:rFonts w:hint="eastAsia" w:ascii="宋体" w:hAnsi="宋体" w:cs="宋体"/>
                <w:sz w:val="21"/>
                <w:szCs w:val="21"/>
                <w:u w:val="single"/>
                <w:lang w:val="en-US" w:eastAsia="zh-CN"/>
              </w:rPr>
              <w:t>24</w:t>
            </w:r>
            <w:r>
              <w:rPr>
                <w:rFonts w:hint="eastAsia" w:ascii="宋体" w:hAnsi="宋体" w:eastAsia="宋体" w:cs="宋体"/>
                <w:sz w:val="21"/>
                <w:szCs w:val="21"/>
              </w:rPr>
              <w:t>日</w:t>
            </w:r>
            <w:r>
              <w:rPr>
                <w:rFonts w:hint="eastAsia" w:ascii="宋体" w:hAnsi="宋体" w:cs="宋体"/>
                <w:sz w:val="21"/>
                <w:szCs w:val="21"/>
                <w:u w:val="single"/>
                <w:lang w:val="en-US" w:eastAsia="zh-CN"/>
              </w:rPr>
              <w:t>14</w:t>
            </w:r>
            <w:r>
              <w:rPr>
                <w:rFonts w:hint="eastAsia" w:ascii="宋体" w:hAnsi="宋体" w:eastAsia="宋体" w:cs="宋体"/>
                <w:sz w:val="21"/>
                <w:szCs w:val="21"/>
              </w:rPr>
              <w:t>时</w:t>
            </w:r>
            <w:r>
              <w:rPr>
                <w:rFonts w:hint="eastAsia" w:ascii="宋体" w:hAnsi="宋体" w:cs="宋体"/>
                <w:sz w:val="21"/>
                <w:szCs w:val="21"/>
                <w:u w:val="single"/>
                <w:lang w:val="en-US" w:eastAsia="zh-CN"/>
              </w:rPr>
              <w:t>30</w:t>
            </w:r>
            <w:r>
              <w:rPr>
                <w:rFonts w:hint="eastAsia" w:ascii="宋体" w:hAnsi="宋体" w:eastAsia="宋体" w:cs="宋体"/>
                <w:sz w:val="21"/>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响应文件的递交及谈判地点</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bCs/>
                <w:sz w:val="21"/>
                <w:szCs w:val="21"/>
              </w:rPr>
              <w:t>长沙市</w:t>
            </w:r>
            <w:r>
              <w:rPr>
                <w:rFonts w:hint="eastAsia" w:ascii="宋体" w:hAnsi="宋体" w:eastAsia="宋体" w:cs="宋体"/>
                <w:iCs/>
                <w:sz w:val="21"/>
                <w:szCs w:val="21"/>
              </w:rPr>
              <w:t>劳动东路二段48号</w:t>
            </w:r>
            <w:r>
              <w:rPr>
                <w:rFonts w:hint="eastAsia" w:ascii="宋体" w:hAnsi="宋体" w:eastAsia="宋体" w:cs="宋体"/>
                <w:sz w:val="21"/>
                <w:szCs w:val="21"/>
              </w:rPr>
              <w:t>长沙市轨道交通运营有限公司</w:t>
            </w:r>
            <w:r>
              <w:rPr>
                <w:rFonts w:hint="eastAsia" w:ascii="宋体" w:hAnsi="宋体" w:eastAsia="宋体" w:cs="宋体"/>
                <w:iCs/>
                <w:sz w:val="21"/>
                <w:szCs w:val="21"/>
              </w:rPr>
              <w:t>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谈判现场验证须提交的资料</w:t>
            </w:r>
          </w:p>
        </w:tc>
        <w:tc>
          <w:tcPr>
            <w:tcW w:w="7788" w:type="dxa"/>
            <w:vAlign w:val="center"/>
          </w:tcPr>
          <w:p>
            <w:pPr>
              <w:adjustRightInd w:val="0"/>
              <w:snapToGrid w:val="0"/>
              <w:spacing w:line="360" w:lineRule="auto"/>
              <w:jc w:val="left"/>
              <w:rPr>
                <w:rFonts w:hint="eastAsia" w:ascii="宋体" w:hAnsi="宋体" w:eastAsia="宋体" w:cs="宋体"/>
                <w:color w:val="FF0000"/>
                <w:sz w:val="21"/>
                <w:szCs w:val="21"/>
              </w:rPr>
            </w:pPr>
            <w:r>
              <w:rPr>
                <w:rFonts w:hint="eastAsia" w:ascii="宋体" w:hAnsi="宋体" w:eastAsia="宋体" w:cs="宋体"/>
                <w:iCs/>
                <w:sz w:val="21"/>
                <w:szCs w:val="21"/>
              </w:rPr>
              <w:t>1.谈判单位代表是谈判单位法定代表人参加的，法定代表人须提供法定代表人身份证明书原件</w:t>
            </w:r>
            <w:r>
              <w:rPr>
                <w:rFonts w:hint="eastAsia" w:ascii="宋体" w:hAnsi="宋体" w:eastAsia="宋体" w:cs="宋体"/>
                <w:b/>
                <w:bCs/>
                <w:iCs/>
                <w:sz w:val="21"/>
                <w:szCs w:val="21"/>
              </w:rPr>
              <w:t>（格式详见本文件第</w:t>
            </w:r>
            <w:r>
              <w:rPr>
                <w:rFonts w:hint="eastAsia" w:ascii="宋体" w:hAnsi="宋体" w:eastAsia="宋体" w:cs="宋体"/>
                <w:b/>
                <w:bCs/>
                <w:iCs/>
                <w:sz w:val="21"/>
                <w:szCs w:val="21"/>
                <w:lang w:eastAsia="zh-CN"/>
              </w:rPr>
              <w:t>六</w:t>
            </w:r>
            <w:r>
              <w:rPr>
                <w:rFonts w:hint="eastAsia" w:ascii="宋体" w:hAnsi="宋体" w:eastAsia="宋体" w:cs="宋体"/>
                <w:b/>
                <w:bCs/>
                <w:iCs/>
                <w:sz w:val="21"/>
                <w:szCs w:val="21"/>
              </w:rPr>
              <w:t>章）</w:t>
            </w:r>
            <w:r>
              <w:rPr>
                <w:rFonts w:hint="eastAsia" w:ascii="宋体" w:hAnsi="宋体" w:eastAsia="宋体" w:cs="宋体"/>
                <w:sz w:val="21"/>
                <w:szCs w:val="21"/>
              </w:rPr>
              <w:t>及本人身份证原件。</w:t>
            </w:r>
          </w:p>
          <w:p>
            <w:pPr>
              <w:adjustRightInd w:val="0"/>
              <w:snapToGrid w:val="0"/>
              <w:spacing w:line="360" w:lineRule="auto"/>
              <w:jc w:val="left"/>
              <w:rPr>
                <w:rFonts w:hint="eastAsia" w:ascii="宋体" w:hAnsi="宋体" w:eastAsia="宋体" w:cs="宋体"/>
                <w:iCs/>
                <w:sz w:val="21"/>
                <w:szCs w:val="21"/>
              </w:rPr>
            </w:pPr>
            <w:r>
              <w:rPr>
                <w:rFonts w:hint="eastAsia" w:ascii="宋体" w:hAnsi="宋体" w:eastAsia="宋体" w:cs="宋体"/>
                <w:sz w:val="21"/>
                <w:szCs w:val="21"/>
              </w:rPr>
              <w:t>2.谈判单位代表是由谈判单位法定代表人授权的委托代理人参加的，其授权委托代理人须提供授权委托书原件</w:t>
            </w:r>
            <w:r>
              <w:rPr>
                <w:rFonts w:hint="eastAsia" w:ascii="宋体" w:hAnsi="宋体" w:eastAsia="宋体" w:cs="宋体"/>
                <w:b/>
                <w:sz w:val="21"/>
                <w:szCs w:val="21"/>
              </w:rPr>
              <w:t>（格式详见本文件</w:t>
            </w:r>
            <w:r>
              <w:rPr>
                <w:rFonts w:hint="eastAsia" w:ascii="宋体" w:hAnsi="宋体" w:eastAsia="宋体" w:cs="宋体"/>
                <w:b/>
                <w:bCs/>
                <w:iCs/>
                <w:sz w:val="21"/>
                <w:szCs w:val="21"/>
              </w:rPr>
              <w:t>第</w:t>
            </w:r>
            <w:r>
              <w:rPr>
                <w:rFonts w:hint="eastAsia" w:ascii="宋体" w:hAnsi="宋体" w:eastAsia="宋体" w:cs="宋体"/>
                <w:b/>
                <w:bCs/>
                <w:iCs/>
                <w:sz w:val="21"/>
                <w:szCs w:val="21"/>
                <w:lang w:eastAsia="zh-CN"/>
              </w:rPr>
              <w:t>六</w:t>
            </w:r>
            <w:r>
              <w:rPr>
                <w:rFonts w:hint="eastAsia" w:ascii="宋体" w:hAnsi="宋体" w:eastAsia="宋体" w:cs="宋体"/>
                <w:b/>
                <w:bCs/>
                <w:iCs/>
                <w:sz w:val="21"/>
                <w:szCs w:val="21"/>
              </w:rPr>
              <w:t>章</w:t>
            </w:r>
            <w:r>
              <w:rPr>
                <w:rFonts w:hint="eastAsia" w:ascii="宋体" w:hAnsi="宋体" w:eastAsia="宋体" w:cs="宋体"/>
                <w:b/>
                <w:sz w:val="21"/>
                <w:szCs w:val="21"/>
              </w:rPr>
              <w:t>）</w:t>
            </w:r>
            <w:r>
              <w:rPr>
                <w:rFonts w:hint="eastAsia" w:ascii="宋体" w:hAnsi="宋体" w:eastAsia="宋体" w:cs="宋体"/>
                <w:sz w:val="21"/>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响应文件有效期</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u w:val="none"/>
              </w:rPr>
              <w:t>180日历天</w:t>
            </w:r>
            <w:r>
              <w:rPr>
                <w:rFonts w:hint="eastAsia" w:ascii="宋体" w:hAnsi="宋体" w:eastAsia="宋体" w:cs="宋体"/>
                <w:sz w:val="21"/>
                <w:szCs w:val="21"/>
              </w:rPr>
              <w:t>，从谈判截止之日起算。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响应文件份数</w:t>
            </w:r>
          </w:p>
        </w:tc>
        <w:tc>
          <w:tcPr>
            <w:tcW w:w="7788" w:type="dxa"/>
            <w:vAlign w:val="center"/>
          </w:tcPr>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价格承包内容</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color w:val="000000"/>
                <w:sz w:val="21"/>
                <w:szCs w:val="21"/>
              </w:rPr>
              <w:t>本项目为单价合同，酬金包括运营期票款押运网络监控服务过程中的人工、材料、设备材料（含采购及租用）、故障维修及其它在服务过程中所需的管理费、利润、税金等一切费用。在项目实施中出现任何遗漏，均由乙方免费提供，甲方不再支付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FF0000"/>
                <w:sz w:val="21"/>
                <w:szCs w:val="21"/>
              </w:rPr>
            </w:pPr>
            <w:r>
              <w:rPr>
                <w:rFonts w:hint="eastAsia" w:ascii="宋体" w:hAnsi="宋体" w:eastAsia="宋体" w:cs="宋体"/>
                <w:b/>
                <w:bCs w:val="0"/>
                <w:color w:val="auto"/>
                <w:sz w:val="21"/>
                <w:szCs w:val="21"/>
                <w:highlight w:val="none"/>
              </w:rPr>
              <w:t>项目支付方式</w:t>
            </w:r>
          </w:p>
        </w:tc>
        <w:tc>
          <w:tcPr>
            <w:tcW w:w="7788" w:type="dxa"/>
            <w:vAlign w:val="center"/>
          </w:tcPr>
          <w:p>
            <w:pPr>
              <w:spacing w:line="360" w:lineRule="auto"/>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付款周期为每半年支付一次，甲方对乙方工作进行验收，且乙方按甲方的支付程序办理请款手续并提供合规的增值税专用发票后28个工作日内，由甲方向乙方支付</w:t>
            </w:r>
            <w:r>
              <w:rPr>
                <w:rFonts w:hint="eastAsia" w:ascii="宋体" w:hAnsi="宋体" w:eastAsia="宋体" w:cs="宋体"/>
                <w:color w:val="000000"/>
                <w:sz w:val="21"/>
                <w:szCs w:val="21"/>
                <w:lang w:eastAsia="zh-CN"/>
              </w:rPr>
              <w:t>。</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每次支付金额为当期计量金额综合当期检查考评结果后的金额，甲方验收合格后向乙方支付上一个付款周期的价款，最后一个付款周期需在办完履约验收完成后付款。</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lang w:eastAsia="zh-CN"/>
              </w:rPr>
              <w:t>其中，当期计量金额=（联网报警单价+视频监控单价+每个站点初装费平均到当期的费用）×当期实际服务站点。</w:t>
            </w:r>
          </w:p>
          <w:p>
            <w:pPr>
              <w:pStyle w:val="45"/>
              <w:adjustRightInd w:val="0"/>
              <w:snapToGrid w:val="0"/>
              <w:spacing w:after="0" w:line="360" w:lineRule="auto"/>
              <w:ind w:firstLine="0" w:firstLineChars="0"/>
              <w:rPr>
                <w:rFonts w:hint="eastAsia" w:ascii="宋体" w:hAnsi="宋体" w:eastAsia="宋体" w:cs="宋体"/>
                <w:bCs/>
                <w:color w:val="FF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履约验收完成付款：乙方按合同规定完成履约，且收到乙方提交经审批同意的支付申请及增值税专用税务发票、有效期内的履约担保复印件等相关资料后28个工作日内，支付最后一个付款周期的酬金。项目履约验收按相关规定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信息发布</w:t>
            </w:r>
          </w:p>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指定媒体</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长沙市轨道交通集团有限公司</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"http://www.hncsmtr.com/" </w:instrText>
            </w:r>
            <w:r>
              <w:rPr>
                <w:rFonts w:hint="eastAsia" w:ascii="宋体" w:hAnsi="宋体" w:eastAsia="宋体" w:cs="宋体"/>
                <w:color w:val="auto"/>
                <w:sz w:val="21"/>
                <w:szCs w:val="21"/>
              </w:rPr>
              <w:fldChar w:fldCharType="separate"/>
            </w:r>
            <w:r>
              <w:rPr>
                <w:rStyle w:val="55"/>
                <w:rFonts w:hint="eastAsia" w:ascii="宋体" w:hAnsi="宋体" w:eastAsia="宋体" w:cs="宋体"/>
                <w:color w:val="auto"/>
                <w:sz w:val="21"/>
                <w:szCs w:val="21"/>
              </w:rPr>
              <w:t>http://www.hncsmtr.com/</w:t>
            </w:r>
            <w:r>
              <w:rPr>
                <w:rStyle w:val="55"/>
                <w:rFonts w:hint="eastAsia" w:ascii="宋体" w:hAnsi="宋体" w:eastAsia="宋体" w:cs="宋体"/>
                <w:color w:val="auto"/>
                <w:sz w:val="21"/>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采购代理服务费</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其他规定</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（如有）</w:t>
            </w:r>
          </w:p>
        </w:tc>
      </w:tr>
    </w:tbl>
    <w:p>
      <w:pPr>
        <w:pStyle w:val="4"/>
        <w:keepNext w:val="0"/>
        <w:keepLines w:val="0"/>
        <w:jc w:val="center"/>
        <w:rPr>
          <w:rFonts w:ascii="黑体" w:hAnsi="黑体" w:eastAsia="黑体"/>
          <w:sz w:val="30"/>
          <w:szCs w:val="30"/>
        </w:rPr>
      </w:pPr>
      <w:bookmarkStart w:id="15" w:name="_Toc14891067"/>
    </w:p>
    <w:p>
      <w:pPr>
        <w:widowControl/>
        <w:jc w:val="left"/>
      </w:pPr>
      <w:r>
        <w:br w:type="page"/>
      </w:r>
    </w:p>
    <w:p>
      <w:pPr>
        <w:pStyle w:val="4"/>
        <w:keepNext w:val="0"/>
        <w:keepLines w:val="0"/>
        <w:pageBreakBefore w:val="0"/>
        <w:widowControl w:val="0"/>
        <w:kinsoku/>
        <w:wordWrap/>
        <w:overflowPunct/>
        <w:topLinePunct w:val="0"/>
        <w:autoSpaceDE/>
        <w:autoSpaceDN/>
        <w:bidi w:val="0"/>
        <w:jc w:val="center"/>
        <w:textAlignment w:val="auto"/>
        <w:rPr>
          <w:rFonts w:hint="eastAsia" w:ascii="宋体" w:hAnsi="宋体" w:eastAsia="宋体" w:cs="宋体"/>
          <w:b/>
          <w:bCs/>
          <w:sz w:val="32"/>
          <w:szCs w:val="32"/>
        </w:rPr>
      </w:pPr>
      <w:bookmarkStart w:id="16" w:name="_Toc31558"/>
      <w:bookmarkStart w:id="17" w:name="_Toc26157"/>
      <w:bookmarkStart w:id="18" w:name="_Toc30640"/>
      <w:bookmarkStart w:id="19" w:name="_Toc16939"/>
      <w:r>
        <w:rPr>
          <w:rFonts w:hint="eastAsia" w:ascii="宋体" w:hAnsi="宋体" w:eastAsia="宋体" w:cs="宋体"/>
          <w:b/>
          <w:bCs/>
          <w:sz w:val="32"/>
          <w:szCs w:val="32"/>
        </w:rPr>
        <w:t>谈判须知正文</w:t>
      </w:r>
      <w:bookmarkEnd w:id="15"/>
      <w:bookmarkEnd w:id="16"/>
      <w:bookmarkEnd w:id="17"/>
      <w:bookmarkEnd w:id="18"/>
      <w:bookmarkEnd w:id="19"/>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0" w:name="_Toc14891068"/>
      <w:bookmarkStart w:id="21" w:name="_Toc11440"/>
      <w:r>
        <w:rPr>
          <w:rFonts w:hint="eastAsia" w:ascii="宋体" w:hAnsi="宋体" w:eastAsia="宋体" w:cs="宋体"/>
          <w:sz w:val="21"/>
          <w:szCs w:val="21"/>
        </w:rPr>
        <w:t>一、说明</w:t>
      </w:r>
      <w:bookmarkEnd w:id="20"/>
      <w:bookmarkEnd w:id="21"/>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1.</w:t>
      </w:r>
      <w:r>
        <w:rPr>
          <w:rFonts w:hint="eastAsia" w:ascii="宋体" w:hAnsi="宋体" w:eastAsia="宋体" w:cs="宋体"/>
          <w:b/>
          <w:sz w:val="21"/>
          <w:szCs w:val="21"/>
        </w:rPr>
        <w:t>本《自主竞争性谈判文件》（以下简称“谈判文件”）仅适用于谈判须知前附表(以下简称前附表)中所叙述的采购项目。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sz w:val="21"/>
          <w:szCs w:val="21"/>
        </w:rPr>
        <w:t>2.本谈判文件的解释权属于</w:t>
      </w:r>
      <w:r>
        <w:rPr>
          <w:rFonts w:hint="eastAsia" w:ascii="宋体" w:hAnsi="宋体" w:eastAsia="宋体" w:cs="宋体"/>
          <w:b/>
          <w:sz w:val="21"/>
          <w:szCs w:val="21"/>
          <w:highlight w:val="none"/>
        </w:rPr>
        <w:t>长沙市轨道交通运营有限公司。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3.定义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sz w:val="21"/>
          <w:szCs w:val="21"/>
        </w:rPr>
        <w:t>3.1“采购单位”是指依法进行采购的法人组织。本项目的采购单位名称见</w:t>
      </w:r>
      <w:r>
        <w:rPr>
          <w:rFonts w:hint="eastAsia" w:ascii="宋体" w:hAnsi="宋体" w:eastAsia="宋体" w:cs="宋体"/>
          <w:b/>
          <w:sz w:val="21"/>
          <w:szCs w:val="21"/>
        </w:rPr>
        <w:t>前附表</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3.2“谈判单位”是指响应本谈判文件要求、参加谈判的法人组织。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3.3“采购代理机构”是指接受采购人委托，代理采购项目的机构。本采购项目的采购代理机构名称见</w:t>
      </w:r>
      <w:r>
        <w:rPr>
          <w:rFonts w:hint="eastAsia" w:ascii="宋体" w:hAnsi="宋体" w:eastAsia="宋体" w:cs="宋体"/>
          <w:b/>
          <w:bCs/>
          <w:sz w:val="21"/>
          <w:szCs w:val="21"/>
        </w:rPr>
        <w:t>前附表</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3.4“谈判</w:t>
      </w:r>
      <w:r>
        <w:rPr>
          <w:rFonts w:hint="eastAsia" w:ascii="宋体" w:hAnsi="宋体" w:eastAsia="宋体" w:cs="宋体"/>
          <w:b/>
          <w:bCs/>
          <w:sz w:val="21"/>
          <w:szCs w:val="21"/>
        </w:rPr>
        <w:t>评审</w:t>
      </w:r>
      <w:r>
        <w:rPr>
          <w:rFonts w:hint="eastAsia" w:ascii="宋体" w:hAnsi="宋体" w:eastAsia="宋体" w:cs="宋体"/>
          <w:sz w:val="21"/>
          <w:szCs w:val="21"/>
        </w:rPr>
        <w:t>小组”是指采购单位按其规定组建，依法依规履行其职责和义务的机构。</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4.谈判单位资格要求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4.1参与谈判的单位应当符合</w:t>
      </w:r>
      <w:r>
        <w:rPr>
          <w:rFonts w:hint="eastAsia" w:ascii="宋体" w:hAnsi="宋体" w:eastAsia="宋体" w:cs="宋体"/>
          <w:b/>
          <w:sz w:val="21"/>
          <w:szCs w:val="21"/>
        </w:rPr>
        <w:t>前附表</w:t>
      </w:r>
      <w:r>
        <w:rPr>
          <w:rFonts w:hint="eastAsia" w:ascii="宋体" w:hAnsi="宋体" w:eastAsia="宋体" w:cs="宋体"/>
          <w:sz w:val="21"/>
          <w:szCs w:val="21"/>
        </w:rPr>
        <w:t>中规定的资格要求；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4.2参与谈判的单位存在下列情形之一的，其</w:t>
      </w:r>
      <w:r>
        <w:rPr>
          <w:rFonts w:hint="eastAsia" w:ascii="宋体" w:hAnsi="宋体" w:eastAsia="宋体" w:cs="宋体"/>
          <w:bCs/>
          <w:sz w:val="21"/>
          <w:szCs w:val="21"/>
        </w:rPr>
        <w:t>谈判</w:t>
      </w:r>
      <w:r>
        <w:rPr>
          <w:rFonts w:hint="eastAsia" w:ascii="宋体" w:hAnsi="宋体" w:eastAsia="宋体" w:cs="宋体"/>
          <w:sz w:val="21"/>
          <w:szCs w:val="21"/>
        </w:rPr>
        <w:t>将被</w:t>
      </w:r>
      <w:r>
        <w:rPr>
          <w:rFonts w:hint="eastAsia" w:ascii="宋体" w:hAnsi="宋体" w:eastAsia="宋体" w:cs="宋体"/>
          <w:b/>
          <w:bCs/>
          <w:sz w:val="21"/>
          <w:szCs w:val="21"/>
        </w:rPr>
        <w:t>否决</w:t>
      </w:r>
      <w:r>
        <w:rPr>
          <w:rFonts w:hint="eastAsia" w:ascii="宋体" w:hAnsi="宋体" w:eastAsia="宋体" w:cs="宋体"/>
          <w:sz w:val="21"/>
          <w:szCs w:val="21"/>
        </w:rPr>
        <w:t>：</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（1）与采购单位（或本项目采购代理机构）存在利害关系且可能影响采购公正性；</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（2）谈判单位法定代表人或负责人与其他谈判单位法定代表人或负责人为同一人；</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（3）与本采购项目的其他谈判单位存在控股、管理关系；</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（4）被责令停产停业、暂扣或者吊销许可证、暂扣或者吊销执照；</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（5）进入破产、清算、注销程序，或存在其他可能丧失履约能力的情形；</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（6）在国家企业信用信息公示系统中显示已被列入严重违法失信企业名单；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trike/>
          <w:sz w:val="21"/>
          <w:szCs w:val="21"/>
        </w:rPr>
      </w:pPr>
      <w:r>
        <w:rPr>
          <w:rFonts w:hint="eastAsia" w:ascii="宋体" w:hAnsi="宋体" w:eastAsia="宋体" w:cs="宋体"/>
          <w:sz w:val="21"/>
          <w:szCs w:val="21"/>
        </w:rPr>
        <w:t>（7）在“信用中国”网站（www.creditchina.gov.cn）或“信用湖南”网站（www.credithunan.gov.cn）中显示已被列入失信被执行人名单。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5.参与谈判的费用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5.1无论谈判的结果如何，谈判单位应自行承担所有与本次竞争性谈判活动有关的全部费用。</w:t>
      </w:r>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5.2采购代理服务费由中选单位全额承担。本项目采购代理服务费以中选价为基数，按谈判须知</w:t>
      </w:r>
      <w:r>
        <w:rPr>
          <w:rFonts w:hint="eastAsia" w:ascii="宋体" w:hAnsi="宋体" w:eastAsia="宋体" w:cs="宋体"/>
          <w:b/>
          <w:bCs/>
          <w:sz w:val="21"/>
          <w:szCs w:val="21"/>
        </w:rPr>
        <w:t>《采购代理服务费收费标准》（详见本须知附件）</w:t>
      </w:r>
      <w:r>
        <w:rPr>
          <w:rFonts w:hint="eastAsia" w:ascii="宋体" w:hAnsi="宋体" w:eastAsia="宋体" w:cs="宋体"/>
          <w:sz w:val="21"/>
          <w:szCs w:val="21"/>
        </w:rPr>
        <w:t>向中选单位收取。</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sz w:val="21"/>
          <w:szCs w:val="21"/>
        </w:rPr>
        <w:t>6．</w:t>
      </w:r>
      <w:r>
        <w:rPr>
          <w:rFonts w:hint="eastAsia" w:ascii="宋体" w:hAnsi="宋体" w:eastAsia="宋体" w:cs="宋体"/>
          <w:b/>
          <w:bCs/>
          <w:sz w:val="21"/>
          <w:szCs w:val="21"/>
        </w:rPr>
        <w:t>谈判单位代表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6.1谈判单位代表为谈判单位法定代表人的：应提供法定代表人身份证明书</w:t>
      </w:r>
      <w:r>
        <w:rPr>
          <w:rFonts w:hint="eastAsia" w:ascii="宋体" w:hAnsi="宋体" w:eastAsia="宋体" w:cs="宋体"/>
          <w:b/>
          <w:bCs/>
          <w:sz w:val="21"/>
          <w:szCs w:val="21"/>
        </w:rPr>
        <w:t>（见</w:t>
      </w:r>
      <w:r>
        <w:rPr>
          <w:rFonts w:hint="eastAsia" w:ascii="宋体" w:hAnsi="宋体" w:eastAsia="宋体" w:cs="宋体"/>
          <w:b/>
          <w:bCs/>
          <w:iCs/>
          <w:strike w:val="0"/>
          <w:dstrike w:val="0"/>
          <w:sz w:val="21"/>
          <w:szCs w:val="21"/>
        </w:rPr>
        <w:t>第</w:t>
      </w:r>
      <w:r>
        <w:rPr>
          <w:rFonts w:hint="eastAsia" w:ascii="宋体" w:hAnsi="宋体" w:eastAsia="宋体" w:cs="宋体"/>
          <w:b/>
          <w:bCs/>
          <w:iCs/>
          <w:strike w:val="0"/>
          <w:dstrike w:val="0"/>
          <w:sz w:val="21"/>
          <w:szCs w:val="21"/>
          <w:lang w:eastAsia="zh-CN"/>
        </w:rPr>
        <w:t>六</w:t>
      </w:r>
      <w:r>
        <w:rPr>
          <w:rFonts w:hint="eastAsia" w:ascii="宋体" w:hAnsi="宋体" w:eastAsia="宋体" w:cs="宋体"/>
          <w:b/>
          <w:bCs/>
          <w:iCs/>
          <w:strike w:val="0"/>
          <w:dstrike w:val="0"/>
          <w:sz w:val="21"/>
          <w:szCs w:val="21"/>
        </w:rPr>
        <w:t>章</w:t>
      </w:r>
      <w:r>
        <w:rPr>
          <w:rFonts w:hint="eastAsia" w:ascii="宋体" w:hAnsi="宋体" w:eastAsia="宋体" w:cs="宋体"/>
          <w:b/>
          <w:bCs/>
          <w:strike w:val="0"/>
          <w:sz w:val="21"/>
          <w:szCs w:val="21"/>
        </w:rPr>
        <w:t>响应文件格式</w:t>
      </w:r>
      <w:r>
        <w:rPr>
          <w:rFonts w:hint="eastAsia" w:ascii="宋体" w:hAnsi="宋体" w:eastAsia="宋体" w:cs="宋体"/>
          <w:b/>
          <w:bCs/>
          <w:sz w:val="21"/>
          <w:szCs w:val="21"/>
        </w:rPr>
        <w:t>）</w:t>
      </w:r>
      <w:r>
        <w:rPr>
          <w:rFonts w:hint="eastAsia" w:ascii="宋体" w:hAnsi="宋体" w:eastAsia="宋体" w:cs="宋体"/>
          <w:sz w:val="21"/>
          <w:szCs w:val="21"/>
        </w:rPr>
        <w:t>原件及本人身份证原件。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trike/>
          <w:sz w:val="21"/>
          <w:szCs w:val="21"/>
        </w:rPr>
      </w:pPr>
      <w:r>
        <w:rPr>
          <w:rFonts w:hint="eastAsia" w:ascii="宋体" w:hAnsi="宋体" w:eastAsia="宋体" w:cs="宋体"/>
          <w:sz w:val="21"/>
          <w:szCs w:val="21"/>
        </w:rPr>
        <w:t>6.2谈判单位代表不是谈判单位法定代表人的：应提供授权委托书</w:t>
      </w:r>
      <w:r>
        <w:rPr>
          <w:rFonts w:hint="eastAsia" w:ascii="宋体" w:hAnsi="宋体" w:eastAsia="宋体" w:cs="宋体"/>
          <w:b/>
          <w:bCs/>
          <w:sz w:val="21"/>
          <w:szCs w:val="21"/>
        </w:rPr>
        <w:t>（见</w:t>
      </w:r>
      <w:r>
        <w:rPr>
          <w:rFonts w:hint="eastAsia" w:ascii="宋体" w:hAnsi="宋体" w:eastAsia="宋体" w:cs="宋体"/>
          <w:b/>
          <w:bCs/>
          <w:iCs/>
          <w:strike w:val="0"/>
          <w:dstrike w:val="0"/>
          <w:sz w:val="21"/>
          <w:szCs w:val="21"/>
        </w:rPr>
        <w:t>第</w:t>
      </w:r>
      <w:r>
        <w:rPr>
          <w:rFonts w:hint="eastAsia" w:ascii="宋体" w:hAnsi="宋体" w:eastAsia="宋体" w:cs="宋体"/>
          <w:b/>
          <w:bCs/>
          <w:iCs/>
          <w:strike w:val="0"/>
          <w:dstrike w:val="0"/>
          <w:sz w:val="21"/>
          <w:szCs w:val="21"/>
          <w:lang w:eastAsia="zh-CN"/>
        </w:rPr>
        <w:t>六</w:t>
      </w:r>
      <w:r>
        <w:rPr>
          <w:rFonts w:hint="eastAsia" w:ascii="宋体" w:hAnsi="宋体" w:eastAsia="宋体" w:cs="宋体"/>
          <w:b/>
          <w:bCs/>
          <w:iCs/>
          <w:strike w:val="0"/>
          <w:dstrike w:val="0"/>
          <w:sz w:val="21"/>
          <w:szCs w:val="21"/>
        </w:rPr>
        <w:t>章</w:t>
      </w:r>
      <w:r>
        <w:rPr>
          <w:rFonts w:hint="eastAsia" w:ascii="宋体" w:hAnsi="宋体" w:eastAsia="宋体" w:cs="宋体"/>
          <w:b/>
          <w:bCs/>
          <w:sz w:val="21"/>
          <w:szCs w:val="21"/>
        </w:rPr>
        <w:t>响应文件格式）</w:t>
      </w:r>
      <w:r>
        <w:rPr>
          <w:rFonts w:hint="eastAsia" w:ascii="宋体" w:hAnsi="宋体" w:eastAsia="宋体" w:cs="宋体"/>
          <w:sz w:val="21"/>
          <w:szCs w:val="21"/>
        </w:rPr>
        <w:t>原件及本人身份证原件。</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2" w:name="_Toc303"/>
      <w:bookmarkStart w:id="23" w:name="_Toc14891069"/>
      <w:r>
        <w:rPr>
          <w:rFonts w:hint="eastAsia" w:ascii="宋体" w:hAnsi="宋体" w:eastAsia="宋体" w:cs="宋体"/>
          <w:sz w:val="21"/>
          <w:szCs w:val="21"/>
        </w:rPr>
        <w:t>二、谈判文件</w:t>
      </w:r>
      <w:bookmarkEnd w:id="22"/>
      <w:bookmarkEnd w:id="23"/>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7．谈判文件的组成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7.1谈判文件由下列文件组成：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第一章 谈判邀请公告</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第二章 谈判须知</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第三章 评审办法及标准</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第四章 用户需求书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第五章 合同格式条款</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第六章  响应文件组成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7.2</w:t>
      </w:r>
      <w:r>
        <w:rPr>
          <w:rFonts w:hint="eastAsia" w:ascii="宋体" w:hAnsi="宋体" w:eastAsia="宋体" w:cs="宋体"/>
          <w:kern w:val="0"/>
          <w:sz w:val="21"/>
          <w:szCs w:val="21"/>
        </w:rPr>
        <w:t>响应文件递交截止时间前对谈判文件澄清或者修改内容，均为谈判文件的组成部分。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7.3谈判单位应仔细阅读</w:t>
      </w:r>
      <w:r>
        <w:rPr>
          <w:rFonts w:hint="eastAsia" w:ascii="宋体" w:hAnsi="宋体" w:eastAsia="宋体" w:cs="宋体"/>
          <w:bCs/>
          <w:sz w:val="21"/>
          <w:szCs w:val="21"/>
        </w:rPr>
        <w:t>谈判</w:t>
      </w:r>
      <w:r>
        <w:rPr>
          <w:rFonts w:hint="eastAsia" w:ascii="宋体" w:hAnsi="宋体" w:eastAsia="宋体" w:cs="宋体"/>
          <w:sz w:val="21"/>
          <w:szCs w:val="21"/>
        </w:rPr>
        <w:t>文件的全部内容，按照</w:t>
      </w:r>
      <w:r>
        <w:rPr>
          <w:rFonts w:hint="eastAsia" w:ascii="宋体" w:hAnsi="宋体" w:eastAsia="宋体" w:cs="宋体"/>
          <w:bCs/>
          <w:sz w:val="21"/>
          <w:szCs w:val="21"/>
        </w:rPr>
        <w:t>谈判</w:t>
      </w:r>
      <w:r>
        <w:rPr>
          <w:rFonts w:hint="eastAsia" w:ascii="宋体" w:hAnsi="宋体" w:eastAsia="宋体" w:cs="宋体"/>
          <w:sz w:val="21"/>
          <w:szCs w:val="21"/>
        </w:rPr>
        <w:t>文件要求编制响应文件。任何对</w:t>
      </w:r>
      <w:r>
        <w:rPr>
          <w:rFonts w:hint="eastAsia" w:ascii="宋体" w:hAnsi="宋体" w:eastAsia="宋体" w:cs="宋体"/>
          <w:bCs/>
          <w:sz w:val="21"/>
          <w:szCs w:val="21"/>
        </w:rPr>
        <w:t>谈判</w:t>
      </w:r>
      <w:r>
        <w:rPr>
          <w:rFonts w:hint="eastAsia" w:ascii="宋体" w:hAnsi="宋体" w:eastAsia="宋体" w:cs="宋体"/>
          <w:sz w:val="21"/>
          <w:szCs w:val="21"/>
        </w:rPr>
        <w:t>文件的忽略或误解不能作为响应文件存在缺陷或瑕疵的理由，其风险由谈判单位承担。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bCs/>
          <w:sz w:val="21"/>
          <w:szCs w:val="21"/>
        </w:rPr>
        <w:t>8.</w:t>
      </w:r>
      <w:r>
        <w:rPr>
          <w:rFonts w:hint="eastAsia" w:ascii="宋体" w:hAnsi="宋体" w:eastAsia="宋体" w:cs="宋体"/>
          <w:b/>
          <w:kern w:val="0"/>
          <w:sz w:val="21"/>
          <w:szCs w:val="21"/>
        </w:rPr>
        <w:t>谈判文件的澄清及答疑</w:t>
      </w:r>
    </w:p>
    <w:p>
      <w:pPr>
        <w:keepNext w:val="0"/>
        <w:keepLines w:val="0"/>
        <w:pageBreakBefore w:val="0"/>
        <w:widowControl w:val="0"/>
        <w:kinsoku/>
        <w:wordWrap/>
        <w:overflowPunct/>
        <w:topLinePunct w:val="0"/>
        <w:autoSpaceDE/>
        <w:autoSpaceDN/>
        <w:bidi w:val="0"/>
        <w:spacing w:line="360" w:lineRule="auto"/>
        <w:ind w:right="0" w:rightChars="0" w:firstLine="420" w:firstLineChars="200"/>
        <w:jc w:val="both"/>
        <w:textAlignment w:val="auto"/>
        <w:rPr>
          <w:rFonts w:hint="eastAsia" w:ascii="宋体" w:hAnsi="宋体" w:eastAsia="宋体" w:cs="宋体"/>
          <w:iCs/>
          <w:sz w:val="21"/>
          <w:szCs w:val="21"/>
        </w:rPr>
      </w:pPr>
      <w:r>
        <w:rPr>
          <w:rFonts w:hint="eastAsia" w:ascii="宋体" w:hAnsi="宋体" w:eastAsia="宋体" w:cs="宋体"/>
          <w:iCs/>
          <w:sz w:val="21"/>
          <w:szCs w:val="21"/>
        </w:rPr>
        <w:t>8.1.谈判单位应仔细阅读和检查谈判文件的全部内容，如有疑问，</w:t>
      </w:r>
      <w:r>
        <w:rPr>
          <w:rFonts w:hint="eastAsia" w:ascii="宋体" w:hAnsi="宋体" w:eastAsia="宋体" w:cs="宋体"/>
          <w:sz w:val="21"/>
          <w:szCs w:val="21"/>
        </w:rPr>
        <w:t>应按</w:t>
      </w:r>
      <w:r>
        <w:rPr>
          <w:rFonts w:hint="eastAsia" w:ascii="宋体" w:hAnsi="宋体" w:eastAsia="宋体" w:cs="宋体"/>
          <w:b/>
          <w:bCs/>
          <w:sz w:val="21"/>
          <w:szCs w:val="21"/>
        </w:rPr>
        <w:t>前附表</w:t>
      </w:r>
      <w:r>
        <w:rPr>
          <w:rFonts w:hint="eastAsia" w:ascii="宋体" w:hAnsi="宋体" w:eastAsia="宋体" w:cs="宋体"/>
          <w:sz w:val="21"/>
          <w:szCs w:val="21"/>
        </w:rPr>
        <w:t>规定的时间、方式及地点</w:t>
      </w:r>
      <w:r>
        <w:rPr>
          <w:rFonts w:hint="eastAsia" w:ascii="宋体" w:hAnsi="宋体" w:eastAsia="宋体" w:cs="宋体"/>
          <w:iCs/>
          <w:sz w:val="21"/>
          <w:szCs w:val="21"/>
        </w:rPr>
        <w:t>向采购代理机构提出，</w:t>
      </w:r>
      <w:r>
        <w:rPr>
          <w:rFonts w:hint="eastAsia" w:ascii="宋体" w:hAnsi="宋体" w:eastAsia="宋体" w:cs="宋体"/>
          <w:sz w:val="21"/>
          <w:szCs w:val="21"/>
        </w:rPr>
        <w:t>否则，由此引起的损失由谈判单位自己承担。</w:t>
      </w:r>
    </w:p>
    <w:p>
      <w:pPr>
        <w:keepNext w:val="0"/>
        <w:keepLines w:val="0"/>
        <w:pageBreakBefore w:val="0"/>
        <w:widowControl w:val="0"/>
        <w:kinsoku/>
        <w:wordWrap/>
        <w:overflowPunct/>
        <w:topLinePunct w:val="0"/>
        <w:autoSpaceDE/>
        <w:autoSpaceDN/>
        <w:bidi w:val="0"/>
        <w:spacing w:line="360" w:lineRule="auto"/>
        <w:ind w:right="0" w:rightChars="0" w:firstLine="420" w:firstLineChars="200"/>
        <w:jc w:val="both"/>
        <w:textAlignment w:val="auto"/>
        <w:rPr>
          <w:rFonts w:hint="eastAsia" w:ascii="宋体" w:hAnsi="宋体" w:eastAsia="宋体" w:cs="宋体"/>
          <w:iCs/>
          <w:sz w:val="21"/>
          <w:szCs w:val="21"/>
        </w:rPr>
      </w:pPr>
      <w:r>
        <w:rPr>
          <w:rFonts w:hint="eastAsia" w:ascii="宋体" w:hAnsi="宋体" w:eastAsia="宋体" w:cs="宋体"/>
          <w:iCs/>
          <w:sz w:val="21"/>
          <w:szCs w:val="21"/>
        </w:rPr>
        <w:t>8.2.在谈判截止时间前，采购单位或采购代理机构可主动地或在解答谈判单位提出的问题时对谈判文件进行澄清或修改。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kern w:val="0"/>
          <w:sz w:val="21"/>
          <w:szCs w:val="21"/>
        </w:rPr>
      </w:pPr>
      <w:r>
        <w:rPr>
          <w:rFonts w:hint="eastAsia" w:ascii="宋体" w:hAnsi="宋体" w:eastAsia="宋体" w:cs="宋体"/>
          <w:sz w:val="21"/>
          <w:szCs w:val="21"/>
        </w:rPr>
        <w:t>8.3</w:t>
      </w:r>
      <w:r>
        <w:rPr>
          <w:rFonts w:hint="eastAsia" w:ascii="宋体" w:hAnsi="宋体" w:eastAsia="宋体" w:cs="宋体"/>
          <w:kern w:val="0"/>
          <w:sz w:val="21"/>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代理机构不负任何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9.</w:t>
      </w:r>
      <w:r>
        <w:rPr>
          <w:rFonts w:hint="eastAsia" w:ascii="宋体" w:hAnsi="宋体" w:eastAsia="宋体" w:cs="宋体"/>
          <w:b/>
          <w:kern w:val="0"/>
          <w:sz w:val="21"/>
          <w:szCs w:val="21"/>
        </w:rPr>
        <w:t>响应文件递交截止时间、谈判会议时间及地点</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9.1</w:t>
      </w:r>
      <w:r>
        <w:rPr>
          <w:rFonts w:hint="eastAsia" w:ascii="宋体" w:hAnsi="宋体" w:eastAsia="宋体" w:cs="宋体"/>
          <w:kern w:val="0"/>
          <w:sz w:val="21"/>
          <w:szCs w:val="21"/>
        </w:rPr>
        <w:t>谈判单位递交响应文件截止时间、谈判会议</w:t>
      </w:r>
      <w:r>
        <w:rPr>
          <w:rFonts w:hint="eastAsia" w:ascii="宋体" w:hAnsi="宋体" w:eastAsia="宋体" w:cs="宋体"/>
          <w:sz w:val="21"/>
          <w:szCs w:val="21"/>
        </w:rPr>
        <w:t>时间及地点见</w:t>
      </w:r>
      <w:r>
        <w:rPr>
          <w:rFonts w:hint="eastAsia" w:ascii="宋体" w:hAnsi="宋体" w:eastAsia="宋体" w:cs="宋体"/>
          <w:b/>
          <w:sz w:val="21"/>
          <w:szCs w:val="21"/>
        </w:rPr>
        <w:t>前附表</w:t>
      </w:r>
      <w:r>
        <w:rPr>
          <w:rFonts w:hint="eastAsia" w:ascii="宋体" w:hAnsi="宋体" w:eastAsia="宋体" w:cs="宋体"/>
          <w:sz w:val="21"/>
          <w:szCs w:val="21"/>
        </w:rPr>
        <w:t>。</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4" w:name="_Toc9387"/>
      <w:bookmarkStart w:id="25" w:name="_Toc14891070"/>
      <w:r>
        <w:rPr>
          <w:rFonts w:hint="eastAsia" w:ascii="宋体" w:hAnsi="宋体" w:eastAsia="宋体" w:cs="宋体"/>
          <w:sz w:val="21"/>
          <w:szCs w:val="21"/>
        </w:rPr>
        <w:t>三、响应文件</w:t>
      </w:r>
      <w:bookmarkEnd w:id="24"/>
      <w:bookmarkEnd w:id="25"/>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10.一般要求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10.1谈判单位应仔细阅读谈判文件的所有内容，按谈判文件的要求编制响应文件，并保证所提供的全部资料的真实性。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10.2</w:t>
      </w:r>
      <w:r>
        <w:rPr>
          <w:rFonts w:hint="eastAsia" w:ascii="宋体" w:hAnsi="宋体" w:eastAsia="宋体" w:cs="宋体"/>
          <w:sz w:val="21"/>
          <w:szCs w:val="21"/>
        </w:rPr>
        <w:t>谈判单位提交的响应文件、谈判单位与采购单位及采购代理机构的所有来往函电均使用中文。</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bCs/>
          <w:sz w:val="21"/>
          <w:szCs w:val="21"/>
        </w:rPr>
        <w:t>10.3</w:t>
      </w:r>
      <w:r>
        <w:rPr>
          <w:rFonts w:hint="eastAsia" w:ascii="宋体" w:hAnsi="宋体" w:eastAsia="宋体" w:cs="宋体"/>
          <w:sz w:val="21"/>
          <w:szCs w:val="21"/>
        </w:rPr>
        <w:t>计量单位应使用我国法定计量单位，未列明时应默认为我国法定计量单位。</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10.4响应文件应采用书面形式，电报、传真、电子邮件形式的响应文件概不接受。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10.5谈判单位提交的响应文件应按谈判文件中提供的响应文件格式编制。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11.</w:t>
      </w:r>
      <w:r>
        <w:rPr>
          <w:rFonts w:hint="eastAsia" w:ascii="宋体" w:hAnsi="宋体" w:eastAsia="宋体" w:cs="宋体"/>
          <w:b/>
          <w:sz w:val="21"/>
          <w:szCs w:val="21"/>
        </w:rPr>
        <w:t>响应文件</w:t>
      </w:r>
      <w:r>
        <w:rPr>
          <w:rFonts w:hint="eastAsia" w:ascii="宋体" w:hAnsi="宋体" w:eastAsia="宋体" w:cs="宋体"/>
          <w:b/>
          <w:bCs/>
          <w:sz w:val="21"/>
          <w:szCs w:val="21"/>
        </w:rPr>
        <w:t>的组成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11.1响应文件应包括下列内容：</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（1）谈判承诺书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（2）法定代表人身份证明书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（3）授权委托书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（4）谈判单位资格条件证明文件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（5）服务方案</w:t>
      </w:r>
      <w:r>
        <w:rPr>
          <w:rFonts w:hint="eastAsia" w:ascii="宋体" w:hAnsi="宋体" w:eastAsia="宋体" w:cs="宋体"/>
          <w:sz w:val="21"/>
          <w:szCs w:val="21"/>
          <w:lang w:eastAsia="zh-CN"/>
        </w:rPr>
        <w:t>（如有）</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（6）报价一览表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（7）分项价格表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（8）其他资料（如有）</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11.2在谈判过程中，谈判单位根据</w:t>
      </w:r>
      <w:r>
        <w:rPr>
          <w:rFonts w:hint="eastAsia" w:ascii="宋体" w:hAnsi="宋体" w:eastAsia="宋体" w:cs="宋体"/>
          <w:kern w:val="0"/>
          <w:sz w:val="21"/>
          <w:szCs w:val="21"/>
        </w:rPr>
        <w:t>谈判评审小组</w:t>
      </w:r>
      <w:r>
        <w:rPr>
          <w:rFonts w:hint="eastAsia" w:ascii="宋体" w:hAnsi="宋体" w:eastAsia="宋体" w:cs="宋体"/>
          <w:bCs/>
          <w:sz w:val="21"/>
          <w:szCs w:val="21"/>
        </w:rPr>
        <w:t>要求</w:t>
      </w:r>
      <w:r>
        <w:rPr>
          <w:rFonts w:hint="eastAsia" w:ascii="宋体" w:hAnsi="宋体" w:eastAsia="宋体" w:cs="宋体"/>
          <w:kern w:val="0"/>
          <w:sz w:val="21"/>
          <w:szCs w:val="21"/>
        </w:rPr>
        <w:t>提交的</w:t>
      </w:r>
      <w:r>
        <w:rPr>
          <w:rFonts w:hint="eastAsia" w:ascii="宋体" w:hAnsi="宋体" w:eastAsia="宋体" w:cs="宋体"/>
          <w:sz w:val="21"/>
          <w:szCs w:val="21"/>
        </w:rPr>
        <w:t>书面承诺或其他文件是响应文件的有效组成部分。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11.3谈判单位无论成交与否，其递交的响应文件均不予退还。</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12.报价要求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12.1谈判单位应按第六章“响应文件格式”的要求在报价文件中进行报价。谈判单位所报的总价及综合单价均不得超过谈判控制价，不超过谈判控制价的报价方为有效报价，谈判时需明确税费，税率必须符合国家政策法规规定，合同支付时服务单位需开具经</w:t>
      </w:r>
      <w:r>
        <w:rPr>
          <w:rFonts w:hint="eastAsia" w:ascii="宋体" w:hAnsi="宋体" w:eastAsia="宋体" w:cs="宋体"/>
          <w:b/>
          <w:sz w:val="21"/>
          <w:szCs w:val="21"/>
        </w:rPr>
        <w:t>采购单位</w:t>
      </w:r>
      <w:r>
        <w:rPr>
          <w:rFonts w:hint="eastAsia" w:ascii="宋体" w:hAnsi="宋体" w:eastAsia="宋体" w:cs="宋体"/>
          <w:sz w:val="21"/>
          <w:szCs w:val="21"/>
        </w:rPr>
        <w:t>认可的合法完税单据。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12.2谈判单位应充分了解该项目的总体情况以及影响谈判报价的其他要素。</w:t>
      </w:r>
      <w:r>
        <w:rPr>
          <w:rFonts w:hint="eastAsia" w:ascii="宋体" w:hAnsi="宋体" w:eastAsia="宋体" w:cs="宋体"/>
          <w:b/>
          <w:color w:val="auto"/>
          <w:sz w:val="21"/>
          <w:szCs w:val="21"/>
          <w:highlight w:val="none"/>
        </w:rPr>
        <w:t>最终结算以长沙市轨道交通</w:t>
      </w:r>
      <w:r>
        <w:rPr>
          <w:rFonts w:hint="eastAsia" w:ascii="宋体" w:hAnsi="宋体" w:eastAsia="宋体" w:cs="宋体"/>
          <w:b/>
          <w:color w:val="auto"/>
          <w:sz w:val="21"/>
          <w:szCs w:val="21"/>
          <w:highlight w:val="none"/>
          <w:lang w:eastAsia="zh-CN"/>
        </w:rPr>
        <w:t>运营</w:t>
      </w:r>
      <w:r>
        <w:rPr>
          <w:rFonts w:hint="eastAsia" w:ascii="宋体" w:hAnsi="宋体" w:eastAsia="宋体" w:cs="宋体"/>
          <w:b/>
          <w:color w:val="auto"/>
          <w:sz w:val="21"/>
          <w:szCs w:val="21"/>
          <w:highlight w:val="none"/>
        </w:rPr>
        <w:t>有限公司审核为准。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12.4本项目谈判控制价见</w:t>
      </w:r>
      <w:r>
        <w:rPr>
          <w:rFonts w:hint="eastAsia" w:ascii="宋体" w:hAnsi="宋体" w:eastAsia="宋体" w:cs="宋体"/>
          <w:b/>
          <w:sz w:val="21"/>
          <w:szCs w:val="21"/>
        </w:rPr>
        <w:t>前附表</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12.5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12.6谈判单位递交两份或多份内容不同的报价文件，或在一份报价文件中对同一项目报有两个或多个报价，且未声明哪一个有效的，将被认为是非实质响应而被拒绝。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FF0000"/>
          <w:sz w:val="21"/>
          <w:szCs w:val="21"/>
        </w:rPr>
      </w:pPr>
      <w:r>
        <w:rPr>
          <w:rFonts w:hint="eastAsia" w:ascii="宋体" w:hAnsi="宋体" w:eastAsia="宋体" w:cs="宋体"/>
          <w:bCs/>
          <w:sz w:val="21"/>
          <w:szCs w:val="21"/>
        </w:rPr>
        <w:t>12.7最低报价不能作为中选的保证。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rPr>
      </w:pPr>
      <w:r>
        <w:rPr>
          <w:rFonts w:hint="eastAsia" w:ascii="宋体" w:hAnsi="宋体" w:eastAsia="宋体" w:cs="宋体"/>
          <w:kern w:val="2"/>
          <w:sz w:val="21"/>
          <w:szCs w:val="21"/>
          <w:lang w:val="en-US" w:eastAsia="zh-CN" w:bidi="ar-SA"/>
        </w:rPr>
        <w:t>12.8本项目为单价合同</w:t>
      </w:r>
      <w:r>
        <w:rPr>
          <w:rFonts w:hint="eastAsia" w:ascii="宋体" w:hAnsi="宋体" w:eastAsia="宋体" w:cs="宋体"/>
          <w:color w:val="000000"/>
        </w:rPr>
        <w:t>，酬金包括运营期票款押运网络监控服务过程中的人工、材料、设备材料（含采购及租用）、故障维修及其它在服务过程中所需的管理费、利润、税金等一切费用。在项目实施中出现任何遗漏，均由乙方免费提供，甲方不再支付任何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13.响应文件有效期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13.1响应文件有效期见</w:t>
      </w:r>
      <w:r>
        <w:rPr>
          <w:rFonts w:hint="eastAsia" w:ascii="宋体" w:hAnsi="宋体" w:eastAsia="宋体" w:cs="宋体"/>
          <w:b/>
          <w:sz w:val="21"/>
          <w:szCs w:val="21"/>
        </w:rPr>
        <w:t>前附表</w:t>
      </w:r>
      <w:r>
        <w:rPr>
          <w:rFonts w:hint="eastAsia" w:ascii="宋体" w:hAnsi="宋体" w:eastAsia="宋体" w:cs="宋体"/>
          <w:sz w:val="21"/>
          <w:szCs w:val="21"/>
        </w:rPr>
        <w:t>，在此期间响应文件对谈判单位具有法律约束力，从</w:t>
      </w:r>
      <w:r>
        <w:rPr>
          <w:rFonts w:hint="eastAsia" w:ascii="宋体" w:hAnsi="宋体" w:eastAsia="宋体" w:cs="宋体"/>
          <w:b/>
          <w:sz w:val="21"/>
          <w:szCs w:val="21"/>
        </w:rPr>
        <w:t>前附表</w:t>
      </w:r>
      <w:r>
        <w:rPr>
          <w:rFonts w:hint="eastAsia" w:ascii="宋体" w:hAnsi="宋体" w:eastAsia="宋体" w:cs="宋体"/>
          <w:sz w:val="21"/>
          <w:szCs w:val="21"/>
        </w:rPr>
        <w:t>规定的</w:t>
      </w:r>
      <w:r>
        <w:rPr>
          <w:rFonts w:hint="eastAsia" w:ascii="宋体" w:hAnsi="宋体" w:eastAsia="宋体" w:cs="宋体"/>
          <w:kern w:val="0"/>
          <w:sz w:val="21"/>
          <w:szCs w:val="21"/>
        </w:rPr>
        <w:t>响应文件递交截止时间</w:t>
      </w:r>
      <w:r>
        <w:rPr>
          <w:rFonts w:hint="eastAsia" w:ascii="宋体" w:hAnsi="宋体" w:eastAsia="宋体" w:cs="宋体"/>
          <w:sz w:val="21"/>
          <w:szCs w:val="21"/>
        </w:rPr>
        <w:t>之日起计算。响应文件有效期不足的将被视为无效响应。</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14.响应文件的编制</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14.1响应文件应按</w:t>
      </w:r>
      <w:r>
        <w:rPr>
          <w:rFonts w:hint="eastAsia" w:ascii="宋体" w:hAnsi="宋体" w:eastAsia="宋体" w:cs="宋体"/>
          <w:b/>
          <w:bCs/>
          <w:strike w:val="0"/>
          <w:dstrike w:val="0"/>
          <w:sz w:val="21"/>
          <w:szCs w:val="21"/>
        </w:rPr>
        <w:t>第</w:t>
      </w:r>
      <w:r>
        <w:rPr>
          <w:rFonts w:hint="eastAsia" w:ascii="宋体" w:hAnsi="宋体" w:eastAsia="宋体" w:cs="宋体"/>
          <w:b/>
          <w:bCs/>
          <w:strike w:val="0"/>
          <w:dstrike w:val="0"/>
          <w:sz w:val="21"/>
          <w:szCs w:val="21"/>
          <w:lang w:eastAsia="zh-CN"/>
        </w:rPr>
        <w:t>六</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“响应文件格式”进行编写，如有必要，可以增加附页，作为响应文件的组成部分。</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14.2响应文件应用不褪色的材料书写或打印（建议双面打印），并按</w:t>
      </w:r>
      <w:r>
        <w:rPr>
          <w:rFonts w:hint="eastAsia" w:ascii="宋体" w:hAnsi="宋体" w:eastAsia="宋体" w:cs="宋体"/>
          <w:b/>
          <w:bCs/>
          <w:strike w:val="0"/>
          <w:dstrike w:val="0"/>
          <w:sz w:val="21"/>
          <w:szCs w:val="21"/>
        </w:rPr>
        <w:t>第</w:t>
      </w:r>
      <w:r>
        <w:rPr>
          <w:rFonts w:hint="eastAsia" w:ascii="宋体" w:hAnsi="宋体" w:eastAsia="宋体" w:cs="宋体"/>
          <w:b/>
          <w:bCs/>
          <w:strike w:val="0"/>
          <w:dstrike w:val="0"/>
          <w:sz w:val="21"/>
          <w:szCs w:val="21"/>
          <w:lang w:eastAsia="zh-CN"/>
        </w:rPr>
        <w:t>六</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ascii="宋体" w:hAnsi="宋体" w:eastAsia="宋体" w:cs="宋体"/>
          <w:b/>
          <w:bCs/>
          <w:strike w:val="0"/>
          <w:dstrike w:val="0"/>
          <w:sz w:val="21"/>
          <w:szCs w:val="21"/>
        </w:rPr>
        <w:t>第</w:t>
      </w:r>
      <w:r>
        <w:rPr>
          <w:rFonts w:hint="eastAsia" w:ascii="宋体" w:hAnsi="宋体" w:eastAsia="宋体" w:cs="宋体"/>
          <w:b/>
          <w:bCs/>
          <w:strike w:val="0"/>
          <w:dstrike w:val="0"/>
          <w:sz w:val="21"/>
          <w:szCs w:val="21"/>
          <w:lang w:eastAsia="zh-CN"/>
        </w:rPr>
        <w:t>六</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“响应文件格式”的要求。</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14.3响应文件应尽量避免涂改、行间插字或删除。如果出现上述情况，改动之处应由谈判单位的法定代表人或其授权的代理人签字或盖单位公章。</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14.4响应文件为一式三份，其中正本一份，副本两份，均须胶装成册；电子文件一份（U盘或光盘，应包含响应文件的所有内容，并标注谈判单位名称）。响应文件正本和副本的封面上应清楚地标记</w:t>
      </w:r>
      <w:r>
        <w:rPr>
          <w:rFonts w:hint="eastAsia" w:ascii="宋体" w:hAnsi="宋体" w:eastAsia="宋体" w:cs="宋体"/>
          <w:b/>
          <w:bCs/>
          <w:sz w:val="21"/>
          <w:szCs w:val="21"/>
        </w:rPr>
        <w:t>“正本”</w:t>
      </w:r>
      <w:r>
        <w:rPr>
          <w:rFonts w:hint="eastAsia" w:ascii="宋体" w:hAnsi="宋体" w:eastAsia="宋体" w:cs="宋体"/>
          <w:sz w:val="21"/>
          <w:szCs w:val="21"/>
        </w:rPr>
        <w:t>或</w:t>
      </w:r>
      <w:r>
        <w:rPr>
          <w:rFonts w:hint="eastAsia" w:ascii="宋体" w:hAnsi="宋体" w:eastAsia="宋体" w:cs="宋体"/>
          <w:b/>
          <w:bCs/>
          <w:sz w:val="21"/>
          <w:szCs w:val="21"/>
        </w:rPr>
        <w:t>“副本”</w:t>
      </w:r>
      <w:r>
        <w:rPr>
          <w:rFonts w:hint="eastAsia" w:ascii="宋体" w:hAnsi="宋体" w:eastAsia="宋体" w:cs="宋体"/>
          <w:sz w:val="21"/>
          <w:szCs w:val="21"/>
        </w:rPr>
        <w:t>的字样，若响应文件副本为正本的复印件，还需在谈判文件要求盖章处加盖单位公章。当正本和副本有差异时，以正本为准。</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6" w:name="_Toc1468"/>
      <w:bookmarkStart w:id="27" w:name="_Toc14891071"/>
      <w:r>
        <w:rPr>
          <w:rFonts w:hint="eastAsia" w:ascii="宋体" w:hAnsi="宋体" w:eastAsia="宋体" w:cs="宋体"/>
          <w:sz w:val="21"/>
          <w:szCs w:val="21"/>
        </w:rPr>
        <w:t>四、响应文件的递交</w:t>
      </w:r>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15.</w:t>
      </w:r>
      <w:r>
        <w:rPr>
          <w:rFonts w:hint="eastAsia" w:ascii="宋体" w:hAnsi="宋体" w:eastAsia="宋体" w:cs="宋体"/>
          <w:b/>
          <w:sz w:val="21"/>
          <w:szCs w:val="21"/>
        </w:rPr>
        <w:t>响应文件</w:t>
      </w:r>
      <w:r>
        <w:rPr>
          <w:rFonts w:hint="eastAsia" w:ascii="宋体" w:hAnsi="宋体" w:eastAsia="宋体" w:cs="宋体"/>
          <w:b/>
          <w:bCs/>
          <w:sz w:val="21"/>
          <w:szCs w:val="21"/>
        </w:rPr>
        <w:t>的密封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sz w:val="21"/>
          <w:szCs w:val="21"/>
        </w:rPr>
      </w:pPr>
      <w:r>
        <w:rPr>
          <w:rFonts w:hint="eastAsia" w:ascii="宋体" w:hAnsi="宋体" w:eastAsia="宋体" w:cs="宋体"/>
          <w:sz w:val="21"/>
          <w:szCs w:val="21"/>
        </w:rPr>
        <w:t>15.1谈判单位须将响应文件一正两副与电子文件一起密封包装。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16.响应文件的标记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sz w:val="21"/>
          <w:szCs w:val="21"/>
        </w:rPr>
      </w:pPr>
      <w:r>
        <w:rPr>
          <w:rFonts w:hint="eastAsia" w:ascii="宋体" w:hAnsi="宋体" w:eastAsia="宋体" w:cs="宋体"/>
          <w:sz w:val="21"/>
          <w:szCs w:val="21"/>
        </w:rPr>
        <w:t>16.1</w:t>
      </w:r>
      <w:r>
        <w:rPr>
          <w:rFonts w:hint="eastAsia" w:ascii="宋体" w:hAnsi="宋体" w:eastAsia="宋体" w:cs="宋体"/>
          <w:bCs/>
          <w:sz w:val="21"/>
          <w:szCs w:val="21"/>
        </w:rPr>
        <w:t>响应文件的密封封套上须写明如下内容</w:t>
      </w:r>
      <w:r>
        <w:rPr>
          <w:rFonts w:hint="eastAsia" w:ascii="宋体" w:hAnsi="宋体" w:eastAsia="宋体" w:cs="宋体"/>
          <w:b w:val="0"/>
          <w:bCs w:val="0"/>
          <w:sz w:val="21"/>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trPr>
        <w:tc>
          <w:tcPr>
            <w:tcW w:w="7938" w:type="dxa"/>
          </w:tcPr>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采购单位：</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项目名称：</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谈判单位：</w:t>
            </w:r>
            <w:r>
              <w:rPr>
                <w:rFonts w:hint="eastAsia" w:ascii="宋体" w:hAnsi="宋体" w:eastAsia="宋体" w:cs="宋体"/>
                <w:sz w:val="21"/>
                <w:szCs w:val="21"/>
                <w:u w:val="single"/>
              </w:rPr>
              <w:t xml:space="preserve">（填写单位名称并加盖单位公章）         </w:t>
            </w:r>
          </w:p>
          <w:p>
            <w:pPr>
              <w:spacing w:line="360" w:lineRule="auto"/>
              <w:ind w:firstLine="840" w:firstLineChars="400"/>
              <w:rPr>
                <w:rFonts w:hint="eastAsia" w:ascii="宋体" w:hAnsi="宋体" w:eastAsia="宋体" w:cs="宋体"/>
                <w:sz w:val="21"/>
                <w:szCs w:val="21"/>
              </w:rPr>
            </w:pPr>
            <w:r>
              <w:rPr>
                <w:rFonts w:hint="eastAsia" w:ascii="宋体" w:hAnsi="宋体" w:eastAsia="宋体" w:cs="宋体"/>
                <w:bCs/>
                <w:sz w:val="21"/>
                <w:szCs w:val="21"/>
              </w:rPr>
              <w:t>年</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日</w:t>
            </w:r>
          </w:p>
        </w:tc>
      </w:tr>
    </w:tbl>
    <w:p>
      <w:pPr>
        <w:adjustRightInd w:val="0"/>
        <w:snapToGrid w:val="0"/>
        <w:spacing w:line="360" w:lineRule="auto"/>
        <w:ind w:firstLine="413" w:firstLineChars="196"/>
        <w:rPr>
          <w:rFonts w:hint="eastAsia" w:ascii="宋体" w:hAnsi="宋体" w:eastAsia="宋体" w:cs="宋体"/>
          <w:b/>
          <w:bCs/>
          <w:color w:val="FF000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17.响应文件的递交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sz w:val="21"/>
          <w:szCs w:val="21"/>
        </w:rPr>
        <w:t>17.1谈判单位应按要求在</w:t>
      </w:r>
      <w:r>
        <w:rPr>
          <w:rFonts w:hint="eastAsia" w:ascii="宋体" w:hAnsi="宋体" w:eastAsia="宋体" w:cs="宋体"/>
          <w:kern w:val="0"/>
          <w:sz w:val="21"/>
          <w:szCs w:val="21"/>
        </w:rPr>
        <w:t>响应文件递交截止时间</w:t>
      </w:r>
      <w:r>
        <w:rPr>
          <w:rFonts w:hint="eastAsia" w:ascii="宋体" w:hAnsi="宋体" w:eastAsia="宋体" w:cs="宋体"/>
          <w:sz w:val="21"/>
          <w:szCs w:val="21"/>
        </w:rPr>
        <w:t>前，将响应文件送达指定地点，响应文件递交截止时间、地点及要求见</w:t>
      </w:r>
      <w:r>
        <w:rPr>
          <w:rFonts w:hint="eastAsia" w:ascii="宋体" w:hAnsi="宋体" w:eastAsia="宋体" w:cs="宋体"/>
          <w:b/>
          <w:sz w:val="21"/>
          <w:szCs w:val="21"/>
        </w:rPr>
        <w:t>前附表</w:t>
      </w:r>
      <w:r>
        <w:rPr>
          <w:rFonts w:hint="eastAsia" w:ascii="宋体" w:hAnsi="宋体" w:eastAsia="宋体" w:cs="宋体"/>
          <w:sz w:val="21"/>
          <w:szCs w:val="21"/>
        </w:rPr>
        <w:t>。</w:t>
      </w:r>
      <w:r>
        <w:rPr>
          <w:rFonts w:hint="eastAsia" w:ascii="宋体" w:hAnsi="宋体" w:eastAsia="宋体" w:cs="宋体"/>
          <w:kern w:val="0"/>
          <w:sz w:val="21"/>
          <w:szCs w:val="21"/>
        </w:rPr>
        <w:t>在截止时间后送达的响应文件，采购单位应当拒收。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bCs/>
          <w:sz w:val="21"/>
          <w:szCs w:val="21"/>
        </w:rPr>
        <w:t>17.2采购单位在</w:t>
      </w:r>
      <w:r>
        <w:rPr>
          <w:rFonts w:hint="eastAsia" w:ascii="宋体" w:hAnsi="宋体" w:eastAsia="宋体" w:cs="宋体"/>
          <w:b/>
          <w:bCs/>
          <w:sz w:val="21"/>
          <w:szCs w:val="21"/>
        </w:rPr>
        <w:t>前附表</w:t>
      </w:r>
      <w:r>
        <w:rPr>
          <w:rFonts w:hint="eastAsia" w:ascii="宋体" w:hAnsi="宋体" w:eastAsia="宋体" w:cs="宋体"/>
          <w:bCs/>
          <w:sz w:val="21"/>
          <w:szCs w:val="21"/>
        </w:rPr>
        <w:t>规定的谈判时间和地点，组织谈判单位签到并接收谈判文件。</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8" w:name="_Toc14891072"/>
      <w:bookmarkStart w:id="29" w:name="_Toc13483"/>
      <w:r>
        <w:rPr>
          <w:rFonts w:hint="eastAsia" w:ascii="宋体" w:hAnsi="宋体" w:eastAsia="宋体" w:cs="宋体"/>
          <w:sz w:val="21"/>
          <w:szCs w:val="21"/>
        </w:rPr>
        <w:t>五、响应文件的评审</w:t>
      </w:r>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18.</w:t>
      </w:r>
      <w:r>
        <w:rPr>
          <w:rFonts w:hint="eastAsia" w:ascii="宋体" w:hAnsi="宋体" w:eastAsia="宋体" w:cs="宋体"/>
          <w:bCs/>
          <w:sz w:val="21"/>
          <w:szCs w:val="21"/>
        </w:rPr>
        <w:t>评审由谈判评审小组负责，谈判评审小组应按照本谈判文件第三章“评审办法及标准”的内容和程序对响应文件进行评审。</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30" w:name="_Toc14891073"/>
      <w:bookmarkStart w:id="31" w:name="_Toc21358"/>
      <w:r>
        <w:rPr>
          <w:rFonts w:hint="eastAsia" w:ascii="宋体" w:hAnsi="宋体" w:eastAsia="宋体" w:cs="宋体"/>
          <w:sz w:val="21"/>
          <w:szCs w:val="21"/>
        </w:rPr>
        <w:t>六、响应文件的澄清、说明及补正</w:t>
      </w:r>
      <w:bookmarkEnd w:id="30"/>
      <w:bookmarkEnd w:id="31"/>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19.澄清</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19.1谈判评审小组可就响应文件中含糊之处要求谈判单位进行解释或澄清要求，谈判单位必须按照要求派法定代表人或授权委托人进行答疑和澄清。</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20.说明及补正</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20.1必要时谈判评审小组可要求谈判单位就澄清的问题作书面回答或承诺，该书面回答或承诺应有谈判单位法定代表人或委托代理人的签字或盖章，并将作为响应文件的一部分。</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20.2谈判单位对响应文件的澄清不得改变谈判报价及实质内容。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kern w:val="0"/>
          <w:sz w:val="21"/>
          <w:szCs w:val="21"/>
        </w:rPr>
        <w:t>20.3与谈判文件有重大偏离的响应文件将被拒绝。重大偏离指谈判总报价、谈判有限期、服务期明显不能满足谈判文件的要求。这些偏离不允许在响应文件递交截止时间之后修正。</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32" w:name="_Toc14891074"/>
      <w:bookmarkStart w:id="33" w:name="_Toc20130"/>
      <w:r>
        <w:rPr>
          <w:rFonts w:hint="eastAsia" w:ascii="宋体" w:hAnsi="宋体" w:eastAsia="宋体" w:cs="宋体"/>
          <w:sz w:val="21"/>
          <w:szCs w:val="21"/>
        </w:rPr>
        <w:t>七、中选结果与授予合同</w:t>
      </w:r>
      <w:bookmarkEnd w:id="32"/>
      <w:bookmarkEnd w:id="3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21.中选信息的公布</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21.1中选单位确定后，采购单位应将结果信息在</w:t>
      </w:r>
      <w:r>
        <w:rPr>
          <w:rFonts w:hint="eastAsia" w:ascii="宋体" w:hAnsi="宋体" w:eastAsia="宋体" w:cs="宋体"/>
          <w:b/>
          <w:sz w:val="21"/>
          <w:szCs w:val="21"/>
        </w:rPr>
        <w:t>前附表</w:t>
      </w:r>
      <w:r>
        <w:rPr>
          <w:rFonts w:hint="eastAsia" w:ascii="宋体" w:hAnsi="宋体" w:eastAsia="宋体" w:cs="宋体"/>
          <w:sz w:val="21"/>
          <w:szCs w:val="21"/>
        </w:rPr>
        <w:t>指定的媒体上公布，</w:t>
      </w:r>
      <w:r>
        <w:rPr>
          <w:rFonts w:hint="eastAsia" w:ascii="宋体" w:hAnsi="宋体" w:eastAsia="宋体" w:cs="宋体"/>
          <w:b/>
          <w:bCs/>
          <w:sz w:val="21"/>
          <w:szCs w:val="21"/>
        </w:rPr>
        <w:t>公示期限为3个工作日</w:t>
      </w:r>
      <w:r>
        <w:rPr>
          <w:rFonts w:hint="eastAsia" w:ascii="宋体" w:hAnsi="宋体" w:eastAsia="宋体" w:cs="宋体"/>
          <w:sz w:val="21"/>
          <w:szCs w:val="21"/>
        </w:rPr>
        <w:t>。</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22.评审结果异议</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kern w:val="0"/>
          <w:sz w:val="21"/>
          <w:szCs w:val="21"/>
        </w:rPr>
        <w:t>22.1谈判单位对评审结果有异议的，应当在结果公示期间提出。</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23.中选通知</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23.1中选单位确定后，采购单位将以书面形式向中选单位发出中选通知书。中选通知书对采购单位和中选单位具有同等法律效力。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24.签订合同</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24.1谈判文件、中选单位的响应文件及其补充的文件等均为签订合同的依据。</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24.2中选单位应当在中选通知书发出后及时与采购单位签订合同。</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24.3中选单位应当按照合同约定履行义务。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25.纪律和监督</w:t>
      </w:r>
    </w:p>
    <w:p>
      <w:pPr>
        <w:keepNext w:val="0"/>
        <w:keepLines w:val="0"/>
        <w:pageBreakBefore w:val="0"/>
        <w:widowControl w:val="0"/>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25.1对采购单位的纪律要求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采购单位不得泄露谈判活动中应当保密的情况和资料，不得与谈判单位串通损害国家利益、社会公共利益或者他人合法权益。</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25.2对谈判单位的纪律要求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25.3对</w:t>
      </w:r>
      <w:r>
        <w:rPr>
          <w:rFonts w:hint="eastAsia" w:ascii="宋体" w:hAnsi="宋体" w:eastAsia="宋体" w:cs="宋体"/>
          <w:b/>
          <w:sz w:val="21"/>
          <w:szCs w:val="21"/>
        </w:rPr>
        <w:t>谈判评审小组</w:t>
      </w:r>
      <w:r>
        <w:rPr>
          <w:rFonts w:hint="eastAsia" w:ascii="宋体" w:hAnsi="宋体" w:eastAsia="宋体" w:cs="宋体"/>
          <w:b/>
          <w:bCs/>
          <w:sz w:val="21"/>
          <w:szCs w:val="21"/>
        </w:rPr>
        <w:t>成员的纪律要求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4" w:name="page32"/>
      <w:bookmarkEnd w:id="34"/>
      <w:r>
        <w:rPr>
          <w:rFonts w:hint="eastAsia" w:ascii="宋体" w:hAnsi="宋体" w:eastAsia="宋体" w:cs="宋体"/>
          <w:sz w:val="21"/>
          <w:szCs w:val="21"/>
        </w:rPr>
        <w:t>三章“评审办法”没有规定的评审因素和标准进行评审。</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25.4对与评审活动有关的工作人员的纪律要求</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lang w:val="en-US" w:eastAsia="zh-CN"/>
        </w:rPr>
      </w:pPr>
      <w:bookmarkStart w:id="35" w:name="_Toc14891075"/>
      <w:bookmarkStart w:id="36" w:name="_Toc2045"/>
      <w:r>
        <w:rPr>
          <w:rFonts w:hint="eastAsia" w:ascii="宋体" w:hAnsi="宋体" w:eastAsia="宋体" w:cs="宋体"/>
          <w:sz w:val="21"/>
          <w:szCs w:val="21"/>
        </w:rPr>
        <w:t>八、其他</w:t>
      </w:r>
      <w:bookmarkEnd w:id="35"/>
      <w:bookmarkEnd w:id="36"/>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Ansi="宋体"/>
          <w:sz w:val="21"/>
          <w:szCs w:val="21"/>
        </w:rPr>
      </w:pPr>
      <w:r>
        <w:rPr>
          <w:rFonts w:hint="eastAsia" w:ascii="宋体" w:hAnsi="宋体" w:eastAsia="宋体" w:cs="宋体"/>
          <w:sz w:val="21"/>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pPr>
        <w:adjustRightInd w:val="0"/>
        <w:snapToGrid w:val="0"/>
        <w:spacing w:line="360" w:lineRule="auto"/>
        <w:ind w:left="964" w:hanging="964" w:hangingChars="300"/>
        <w:jc w:val="center"/>
        <w:rPr>
          <w:rFonts w:ascii="黑体" w:eastAsia="黑体"/>
          <w:b/>
          <w:sz w:val="32"/>
          <w:szCs w:val="32"/>
        </w:rPr>
        <w:sectPr>
          <w:footerReference r:id="rId5" w:type="default"/>
          <w:pgSz w:w="11906" w:h="16838"/>
          <w:pgMar w:top="1440" w:right="1797" w:bottom="1440" w:left="1797" w:header="851" w:footer="851" w:gutter="0"/>
          <w:pgNumType w:fmt="decimal"/>
          <w:cols w:space="720" w:num="1"/>
          <w:docGrid w:linePitch="312" w:charSpace="0"/>
        </w:sectPr>
      </w:pPr>
    </w:p>
    <w:p>
      <w:pPr>
        <w:adjustRightInd w:val="0"/>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附件：采购代理服务费收费标准</w:t>
      </w:r>
    </w:p>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采购代理服务收费参照汇率表</w:t>
      </w:r>
    </w:p>
    <w:tbl>
      <w:tblPr>
        <w:tblStyle w:val="47"/>
        <w:tblpPr w:leftFromText="180" w:rightFromText="180" w:vertAnchor="text" w:horzAnchor="page" w:tblpXSpec="center" w:tblpY="258"/>
        <w:tblOverlap w:val="never"/>
        <w:tblW w:w="93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sz w:val="21"/>
                <w:szCs w:val="21"/>
              </w:rPr>
            </w:pPr>
            <w:r>
              <w:rPr>
                <w:rFonts w:hint="eastAsia" w:ascii="宋体" w:hAnsi="宋体"/>
                <w:sz w:val="21"/>
                <w:szCs w:val="21"/>
              </w:rPr>
              <w:t>汇率</w:t>
            </w:r>
          </w:p>
          <w:p>
            <w:pPr>
              <w:adjustRightInd w:val="0"/>
              <w:snapToGrid w:val="0"/>
              <w:rPr>
                <w:rFonts w:ascii="宋体" w:hAnsi="宋体"/>
                <w:sz w:val="21"/>
                <w:szCs w:val="21"/>
              </w:rPr>
            </w:pPr>
            <w:r>
              <w:rPr>
                <w:rFonts w:hint="eastAsia" w:ascii="宋体" w:hAnsi="宋体"/>
                <w:sz w:val="21"/>
                <w:szCs w:val="21"/>
              </w:rPr>
              <w:t>中</w:t>
            </w:r>
            <w:r>
              <w:rPr>
                <w:rFonts w:ascii="宋体" w:hAnsi="宋体"/>
                <w:sz w:val="21"/>
                <w:szCs w:val="21"/>
              </w:rPr>
              <w:t>选金额</w:t>
            </w:r>
          </w:p>
        </w:tc>
        <w:tc>
          <w:tcPr>
            <w:tcW w:w="2451" w:type="dxa"/>
            <w:tcBorders>
              <w:top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货物</w:t>
            </w:r>
            <w:r>
              <w:rPr>
                <w:rFonts w:ascii="宋体" w:hAnsi="宋体"/>
                <w:sz w:val="21"/>
                <w:szCs w:val="21"/>
              </w:rPr>
              <w:t>采购</w:t>
            </w:r>
          </w:p>
        </w:tc>
        <w:tc>
          <w:tcPr>
            <w:tcW w:w="2325" w:type="dxa"/>
            <w:tcBorders>
              <w:top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服务</w:t>
            </w:r>
            <w:r>
              <w:rPr>
                <w:rFonts w:ascii="宋体" w:hAnsi="宋体"/>
                <w:sz w:val="21"/>
                <w:szCs w:val="21"/>
              </w:rPr>
              <w:t>采购</w:t>
            </w:r>
          </w:p>
        </w:tc>
        <w:tc>
          <w:tcPr>
            <w:tcW w:w="2367" w:type="dxa"/>
            <w:tcBorders>
              <w:top w:val="single" w:color="auto" w:sz="12" w:space="0"/>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工程</w:t>
            </w:r>
            <w:r>
              <w:rPr>
                <w:rFonts w:ascii="宋体" w:hAnsi="宋体"/>
                <w:sz w:val="21"/>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100万</w:t>
            </w:r>
            <w:r>
              <w:rPr>
                <w:rFonts w:ascii="宋体" w:hAnsi="宋体"/>
                <w:sz w:val="21"/>
                <w:szCs w:val="21"/>
              </w:rPr>
              <w:t>元以下</w:t>
            </w:r>
          </w:p>
        </w:tc>
        <w:tc>
          <w:tcPr>
            <w:tcW w:w="2451" w:type="dxa"/>
            <w:vAlign w:val="center"/>
          </w:tcPr>
          <w:p>
            <w:pPr>
              <w:adjustRightInd w:val="0"/>
              <w:snapToGrid w:val="0"/>
              <w:jc w:val="center"/>
              <w:rPr>
                <w:rFonts w:ascii="宋体" w:hAnsi="宋体"/>
                <w:sz w:val="21"/>
                <w:szCs w:val="21"/>
              </w:rPr>
            </w:pPr>
            <w:r>
              <w:rPr>
                <w:rFonts w:hint="eastAsia" w:ascii="宋体" w:hAnsi="宋体"/>
                <w:sz w:val="21"/>
                <w:szCs w:val="21"/>
              </w:rPr>
              <w:t>1.5%</w:t>
            </w:r>
          </w:p>
        </w:tc>
        <w:tc>
          <w:tcPr>
            <w:tcW w:w="2325" w:type="dxa"/>
            <w:vAlign w:val="center"/>
          </w:tcPr>
          <w:p>
            <w:pPr>
              <w:adjustRightInd w:val="0"/>
              <w:snapToGrid w:val="0"/>
              <w:jc w:val="center"/>
              <w:rPr>
                <w:rFonts w:ascii="宋体" w:hAnsi="宋体"/>
                <w:sz w:val="21"/>
                <w:szCs w:val="21"/>
              </w:rPr>
            </w:pPr>
            <w:r>
              <w:rPr>
                <w:rFonts w:hint="eastAsia" w:ascii="宋体" w:hAnsi="宋体"/>
                <w:sz w:val="21"/>
                <w:szCs w:val="21"/>
              </w:rPr>
              <w:t>1.5%</w:t>
            </w:r>
          </w:p>
        </w:tc>
        <w:tc>
          <w:tcPr>
            <w:tcW w:w="2367" w:type="dxa"/>
            <w:tcBorders>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w:t>
            </w:r>
            <w:r>
              <w:rPr>
                <w:rFonts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100～400万</w:t>
            </w:r>
            <w:r>
              <w:rPr>
                <w:rFonts w:ascii="宋体" w:hAnsi="宋体"/>
                <w:sz w:val="21"/>
                <w:szCs w:val="21"/>
              </w:rPr>
              <w:t>元</w:t>
            </w:r>
          </w:p>
        </w:tc>
        <w:tc>
          <w:tcPr>
            <w:tcW w:w="2451" w:type="dxa"/>
            <w:vAlign w:val="center"/>
          </w:tcPr>
          <w:p>
            <w:pPr>
              <w:adjustRightInd w:val="0"/>
              <w:snapToGrid w:val="0"/>
              <w:jc w:val="center"/>
              <w:rPr>
                <w:rFonts w:ascii="宋体" w:hAnsi="宋体"/>
                <w:sz w:val="21"/>
                <w:szCs w:val="21"/>
              </w:rPr>
            </w:pPr>
            <w:r>
              <w:rPr>
                <w:rFonts w:hint="eastAsia" w:ascii="宋体" w:hAnsi="宋体"/>
                <w:sz w:val="21"/>
                <w:szCs w:val="21"/>
              </w:rPr>
              <w:t>1.1%</w:t>
            </w:r>
          </w:p>
        </w:tc>
        <w:tc>
          <w:tcPr>
            <w:tcW w:w="2325" w:type="dxa"/>
            <w:vAlign w:val="center"/>
          </w:tcPr>
          <w:p>
            <w:pPr>
              <w:adjustRightInd w:val="0"/>
              <w:snapToGrid w:val="0"/>
              <w:jc w:val="center"/>
              <w:rPr>
                <w:rFonts w:ascii="宋体" w:hAnsi="宋体"/>
                <w:sz w:val="21"/>
                <w:szCs w:val="21"/>
              </w:rPr>
            </w:pPr>
            <w:r>
              <w:rPr>
                <w:rFonts w:hint="eastAsia" w:ascii="宋体" w:hAnsi="宋体"/>
                <w:sz w:val="21"/>
                <w:szCs w:val="21"/>
              </w:rPr>
              <w:t>0.8%</w:t>
            </w:r>
          </w:p>
        </w:tc>
        <w:tc>
          <w:tcPr>
            <w:tcW w:w="2367" w:type="dxa"/>
            <w:tcBorders>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sz w:val="21"/>
                <w:szCs w:val="21"/>
              </w:rPr>
            </w:pPr>
            <w:r>
              <w:rPr>
                <w:rFonts w:hint="eastAsia" w:ascii="宋体" w:hAnsi="宋体"/>
                <w:sz w:val="21"/>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sz w:val="21"/>
                <w:szCs w:val="21"/>
              </w:rPr>
            </w:pPr>
            <w:r>
              <w:rPr>
                <w:rFonts w:hint="eastAsia" w:ascii="宋体" w:hAnsi="宋体"/>
                <w:sz w:val="21"/>
                <w:szCs w:val="21"/>
              </w:rPr>
              <w:t>采购代理</w:t>
            </w:r>
            <w:r>
              <w:rPr>
                <w:rFonts w:ascii="宋体" w:hAnsi="宋体"/>
                <w:sz w:val="21"/>
                <w:szCs w:val="21"/>
              </w:rPr>
              <w:t>服务费的收费标准为：以中选价为基数，按《</w:t>
            </w:r>
            <w:r>
              <w:rPr>
                <w:rFonts w:hint="eastAsia" w:ascii="宋体" w:hAnsi="宋体"/>
                <w:sz w:val="21"/>
                <w:szCs w:val="21"/>
              </w:rPr>
              <w:t>采购</w:t>
            </w:r>
            <w:r>
              <w:rPr>
                <w:rFonts w:ascii="宋体" w:hAnsi="宋体"/>
                <w:sz w:val="21"/>
                <w:szCs w:val="21"/>
              </w:rPr>
              <w:t>代理服务收费参照汇率表》</w:t>
            </w:r>
            <w:r>
              <w:rPr>
                <w:rFonts w:hint="eastAsia" w:ascii="宋体" w:hAnsi="宋体"/>
                <w:sz w:val="21"/>
                <w:szCs w:val="21"/>
              </w:rPr>
              <w:t>进行</w:t>
            </w:r>
            <w:r>
              <w:rPr>
                <w:rFonts w:ascii="宋体" w:hAnsi="宋体"/>
                <w:sz w:val="21"/>
                <w:szCs w:val="21"/>
              </w:rPr>
              <w:t>计算后，向中选单位收取。服务</w:t>
            </w:r>
            <w:r>
              <w:rPr>
                <w:rFonts w:hint="eastAsia" w:ascii="宋体" w:hAnsi="宋体"/>
                <w:sz w:val="21"/>
                <w:szCs w:val="21"/>
              </w:rPr>
              <w:t>费</w:t>
            </w:r>
            <w:r>
              <w:rPr>
                <w:rFonts w:ascii="宋体" w:hAnsi="宋体"/>
                <w:sz w:val="21"/>
                <w:szCs w:val="21"/>
              </w:rPr>
              <w:t>超过</w:t>
            </w:r>
            <w:r>
              <w:rPr>
                <w:rFonts w:hint="eastAsia" w:ascii="宋体" w:hAnsi="宋体"/>
                <w:sz w:val="21"/>
                <w:szCs w:val="21"/>
              </w:rPr>
              <w:t>2万</w:t>
            </w:r>
            <w:r>
              <w:rPr>
                <w:rFonts w:ascii="宋体" w:hAnsi="宋体"/>
                <w:sz w:val="21"/>
                <w:szCs w:val="21"/>
              </w:rPr>
              <w:t>元的，按</w:t>
            </w:r>
            <w:r>
              <w:rPr>
                <w:rFonts w:hint="eastAsia" w:ascii="宋体" w:hAnsi="宋体"/>
                <w:sz w:val="21"/>
                <w:szCs w:val="21"/>
              </w:rPr>
              <w:t>2万</w:t>
            </w:r>
            <w:r>
              <w:rPr>
                <w:rFonts w:ascii="宋体" w:hAnsi="宋体"/>
                <w:sz w:val="21"/>
                <w:szCs w:val="21"/>
              </w:rPr>
              <w:t>元</w:t>
            </w:r>
            <w:r>
              <w:rPr>
                <w:rFonts w:hint="eastAsia" w:ascii="宋体" w:hAnsi="宋体"/>
                <w:sz w:val="21"/>
                <w:szCs w:val="21"/>
              </w:rPr>
              <w:t>计</w:t>
            </w:r>
            <w:r>
              <w:rPr>
                <w:rFonts w:ascii="宋体" w:hAnsi="宋体"/>
                <w:sz w:val="21"/>
                <w:szCs w:val="21"/>
              </w:rPr>
              <w:t>取，服务费低于</w:t>
            </w:r>
            <w:r>
              <w:rPr>
                <w:rFonts w:hint="eastAsia" w:ascii="宋体" w:hAnsi="宋体"/>
                <w:sz w:val="21"/>
                <w:szCs w:val="21"/>
              </w:rPr>
              <w:t>5000元</w:t>
            </w:r>
            <w:r>
              <w:rPr>
                <w:rFonts w:ascii="宋体" w:hAnsi="宋体"/>
                <w:sz w:val="21"/>
                <w:szCs w:val="21"/>
              </w:rPr>
              <w:t>的，按</w:t>
            </w:r>
            <w:r>
              <w:rPr>
                <w:rFonts w:hint="eastAsia" w:ascii="宋体" w:hAnsi="宋体"/>
                <w:sz w:val="21"/>
                <w:szCs w:val="21"/>
              </w:rPr>
              <w:t>5000元</w:t>
            </w:r>
            <w:r>
              <w:rPr>
                <w:rFonts w:ascii="宋体" w:hAnsi="宋体"/>
                <w:sz w:val="21"/>
                <w:szCs w:val="21"/>
              </w:rPr>
              <w:t>计取。</w:t>
            </w:r>
          </w:p>
        </w:tc>
      </w:tr>
    </w:tbl>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100万元×1.0%＝1万元</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（300-100）万元×0.7%＝1.4万元</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合计收费＝1+1.4＝2.4（万元）</w:t>
      </w:r>
    </w:p>
    <w:p>
      <w:pPr>
        <w:adjustRightInd w:val="0"/>
        <w:snapToGrid w:val="0"/>
        <w:spacing w:line="360" w:lineRule="auto"/>
        <w:ind w:firstLine="420" w:firstLineChars="200"/>
        <w:jc w:val="left"/>
        <w:rPr>
          <w:rFonts w:hint="eastAsia" w:ascii="宋体" w:hAnsi="宋体" w:eastAsia="宋体" w:cs="宋体"/>
          <w:b/>
          <w:sz w:val="21"/>
          <w:szCs w:val="21"/>
        </w:rPr>
        <w:sectPr>
          <w:footerReference r:id="rId6" w:type="default"/>
          <w:pgSz w:w="11906" w:h="16838"/>
          <w:pgMar w:top="1440" w:right="1797" w:bottom="1440" w:left="1797" w:header="851" w:footer="851" w:gutter="0"/>
          <w:pgNumType w:fmt="decimal"/>
          <w:cols w:space="720" w:num="1"/>
          <w:docGrid w:linePitch="312" w:charSpace="0"/>
        </w:sectPr>
      </w:pPr>
      <w:r>
        <w:rPr>
          <w:rFonts w:hint="eastAsia" w:ascii="宋体" w:hAnsi="宋体" w:eastAsia="宋体" w:cs="宋体"/>
          <w:sz w:val="21"/>
          <w:szCs w:val="21"/>
        </w:rPr>
        <w:t>本项目采购代理服务费为2万元</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sz w:val="32"/>
          <w:szCs w:val="32"/>
        </w:rPr>
      </w:pPr>
      <w:bookmarkStart w:id="37" w:name="_Toc28427"/>
      <w:bookmarkStart w:id="38" w:name="_Toc5567"/>
      <w:bookmarkStart w:id="39" w:name="_Toc1719"/>
      <w:bookmarkStart w:id="40" w:name="_Toc4275"/>
      <w:r>
        <w:rPr>
          <w:rFonts w:hint="eastAsia" w:ascii="宋体" w:hAnsi="宋体" w:eastAsia="宋体" w:cs="宋体"/>
          <w:bCs w:val="0"/>
          <w:sz w:val="32"/>
          <w:szCs w:val="32"/>
        </w:rPr>
        <w:t>第三章  评审办法及标准</w:t>
      </w:r>
      <w:bookmarkEnd w:id="37"/>
      <w:bookmarkEnd w:id="38"/>
      <w:bookmarkEnd w:id="39"/>
      <w:bookmarkEnd w:id="40"/>
    </w:p>
    <w:p>
      <w:pPr>
        <w:adjustRightInd w:val="0"/>
        <w:snapToGrid w:val="0"/>
        <w:spacing w:line="360" w:lineRule="auto"/>
        <w:ind w:left="723" w:hanging="632" w:hangingChars="300"/>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rPr>
      </w:pPr>
      <w:r>
        <w:rPr>
          <w:rFonts w:hint="eastAsia" w:ascii="宋体" w:hAnsi="宋体" w:eastAsia="宋体" w:cs="宋体"/>
          <w:b/>
          <w:sz w:val="21"/>
          <w:szCs w:val="21"/>
        </w:rPr>
        <w:t>一、评审办法</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1.本项目采用经符合性审查合格后的</w:t>
      </w:r>
      <w:r>
        <w:rPr>
          <w:rFonts w:hint="eastAsia" w:ascii="宋体" w:hAnsi="宋体" w:eastAsia="宋体" w:cs="宋体"/>
          <w:b/>
          <w:bCs/>
          <w:color w:val="auto"/>
          <w:sz w:val="21"/>
          <w:szCs w:val="21"/>
          <w:u w:val="single"/>
        </w:rPr>
        <w:t>最低价法</w:t>
      </w:r>
      <w:r>
        <w:rPr>
          <w:rFonts w:hint="eastAsia" w:ascii="宋体" w:hAnsi="宋体" w:eastAsia="宋体" w:cs="宋体"/>
          <w:b w:val="0"/>
          <w:bCs w:val="0"/>
          <w:color w:val="auto"/>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sz w:val="21"/>
          <w:szCs w:val="21"/>
        </w:rPr>
      </w:pPr>
      <w:r>
        <w:rPr>
          <w:rFonts w:hint="eastAsia" w:ascii="宋体" w:hAnsi="宋体" w:eastAsia="宋体" w:cs="宋体"/>
          <w:b/>
          <w:sz w:val="21"/>
          <w:szCs w:val="21"/>
        </w:rPr>
        <w:t>二、谈判程序</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2.采购单位在前附表内规定的谈判时间及地点组织谈判活动。谈判活动由采购单位、谈判单位代表参与。</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3．谈判程序分为：</w:t>
      </w:r>
      <w:r>
        <w:rPr>
          <w:rFonts w:hint="eastAsia" w:ascii="宋体" w:hAnsi="宋体" w:eastAsia="宋体" w:cs="宋体"/>
          <w:b/>
          <w:color w:val="auto"/>
          <w:sz w:val="21"/>
          <w:szCs w:val="21"/>
        </w:rPr>
        <w:t>谈判验证阶段及谈判评审阶段。</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三、谈判验证阶段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谈判验证阶段分为身份验证和唱价。</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4.身份验证阶段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4.1采购单位按本文件前附表内规定的响应文件的谈判现场验证要求，对参与谈判的单位代表身份进行验证。</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4.2参与谈判的代表身份经验证不合格的，视为无效响应，</w:t>
      </w:r>
      <w:r>
        <w:rPr>
          <w:rFonts w:hint="eastAsia" w:ascii="宋体" w:hAnsi="宋体" w:eastAsia="宋体" w:cs="宋体"/>
          <w:color w:val="auto"/>
          <w:sz w:val="21"/>
          <w:szCs w:val="21"/>
        </w:rPr>
        <w:t>不得进入下一阶段。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5.唱价阶段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5.1身份验证结束后，由采购单位当众拆封经身份验证合格的谈判单位的谈判响应文件，宣读响应文件中《报价一览表》内容，并记录在案。</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5.2谈判单位法定代表人或授权委托人、现场监委、记录人等有关人员在唱价记录表上签字确认，谈判单位对本阶段有异议的应当场提出，采购人当场作出答复，并记录在案，未提出的，视为无异议。</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四、谈判</w:t>
      </w:r>
      <w:r>
        <w:rPr>
          <w:rFonts w:hint="eastAsia" w:ascii="宋体" w:hAnsi="宋体" w:eastAsia="宋体" w:cs="宋体"/>
          <w:b/>
          <w:color w:val="auto"/>
          <w:sz w:val="21"/>
          <w:szCs w:val="21"/>
          <w:lang w:eastAsia="zh-CN"/>
        </w:rPr>
        <w:t>评审</w:t>
      </w:r>
      <w:r>
        <w:rPr>
          <w:rFonts w:hint="eastAsia" w:ascii="宋体" w:hAnsi="宋体" w:eastAsia="宋体" w:cs="宋体"/>
          <w:b/>
          <w:color w:val="auto"/>
          <w:sz w:val="21"/>
          <w:szCs w:val="21"/>
        </w:rPr>
        <w:t>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谈判评审阶段分为符合性审查、详细评审及推荐中选单位。</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6.符合性审查阶段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符合性审查分为对谈判单位资格的符合性审查及报价的符合性审查。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6.1资格的符合性审查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谈判评审</w:t>
      </w:r>
      <w:r>
        <w:rPr>
          <w:rFonts w:hint="eastAsia" w:ascii="宋体" w:hAnsi="宋体" w:eastAsia="宋体" w:cs="宋体"/>
          <w:bCs/>
          <w:color w:val="auto"/>
          <w:sz w:val="21"/>
          <w:szCs w:val="21"/>
        </w:rPr>
        <w:t>小组</w:t>
      </w:r>
      <w:r>
        <w:rPr>
          <w:rFonts w:hint="eastAsia" w:ascii="宋体" w:hAnsi="宋体" w:eastAsia="宋体" w:cs="宋体"/>
          <w:color w:val="auto"/>
          <w:sz w:val="21"/>
          <w:szCs w:val="21"/>
        </w:rPr>
        <w:t>根据本谈判文件</w:t>
      </w:r>
      <w:r>
        <w:rPr>
          <w:rFonts w:hint="eastAsia" w:ascii="宋体" w:hAnsi="宋体" w:eastAsia="宋体" w:cs="宋体"/>
          <w:b/>
          <w:color w:val="auto"/>
          <w:sz w:val="21"/>
          <w:szCs w:val="21"/>
        </w:rPr>
        <w:t>前附表</w:t>
      </w:r>
      <w:r>
        <w:rPr>
          <w:rFonts w:hint="eastAsia" w:ascii="宋体" w:hAnsi="宋体" w:eastAsia="宋体" w:cs="宋体"/>
          <w:color w:val="auto"/>
          <w:sz w:val="21"/>
          <w:szCs w:val="21"/>
        </w:rPr>
        <w:t>内规定的谈判单位资格要求，对谈判单位进行符合性审查，资格审查以谈判单位递交的原件资料为准。</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6.2报价的符合性审查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谈判评审小组根据谈判文件的规定，对报价文件的有效性、完整性等进行符合性审查。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6.3有下列情形之一的，为符合性审查不合格，视为无效响应，不进入下一阶段：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（1）未按照谈判文件规定要求签署盖章的；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（2）响应</w:t>
      </w:r>
      <w:r>
        <w:rPr>
          <w:rFonts w:hint="eastAsia" w:ascii="宋体" w:hAnsi="宋体" w:eastAsia="宋体" w:cs="宋体"/>
          <w:color w:val="auto"/>
          <w:kern w:val="0"/>
          <w:sz w:val="21"/>
          <w:szCs w:val="21"/>
        </w:rPr>
        <w:t>文件有效期不满足谈判文件规定的；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（3）不满足资格条件要求的；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（4）不满足用户需求书要求书的；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（5）超过谈判控制价的；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lang w:eastAsia="zh-CN"/>
        </w:rPr>
      </w:pPr>
      <w:r>
        <w:rPr>
          <w:rFonts w:hint="eastAsia" w:ascii="宋体" w:hAnsi="宋体" w:eastAsia="宋体" w:cs="宋体"/>
          <w:color w:val="auto"/>
          <w:sz w:val="21"/>
          <w:szCs w:val="21"/>
        </w:rPr>
        <w:t>（6）递交两份或多份内容不同的报价文件，或在一份报价文件中对同一项目报有两个或多个报价，且未声明哪一个有效的</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color w:val="auto"/>
          <w:sz w:val="21"/>
          <w:szCs w:val="21"/>
        </w:rPr>
        <w:t>7.</w:t>
      </w:r>
      <w:r>
        <w:rPr>
          <w:rFonts w:hint="eastAsia" w:ascii="宋体" w:hAnsi="宋体" w:eastAsia="宋体" w:cs="宋体"/>
          <w:b/>
          <w:bCs/>
          <w:color w:val="auto"/>
          <w:sz w:val="21"/>
          <w:szCs w:val="21"/>
        </w:rPr>
        <w:t>详细评审阶段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7.1谈判评审小组应按以下要求对经符合性审查合格的谈判单位进行详细评审：</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（1）</w:t>
      </w:r>
      <w:r>
        <w:rPr>
          <w:rFonts w:hint="eastAsia" w:ascii="宋体" w:hAnsi="宋体" w:eastAsia="宋体" w:cs="宋体"/>
          <w:color w:val="auto"/>
          <w:kern w:val="0"/>
          <w:sz w:val="21"/>
          <w:szCs w:val="21"/>
        </w:rPr>
        <w:t>以经谈判评审小组一致认定满足《竞争性谈判文件》要求且谈判总报价最低的报价为基准价，其得分为满分。</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kern w:val="0"/>
          <w:sz w:val="21"/>
          <w:szCs w:val="21"/>
        </w:rPr>
        <w:t>其他有效单位的得分统一按下列公式计算（保留2位小数，第3位四舍五入）：谈判单位得分=(基准价／谈判总报价)×100</w:t>
      </w:r>
    </w:p>
    <w:p>
      <w:pPr>
        <w:keepNext w:val="0"/>
        <w:keepLines w:val="0"/>
        <w:pageBreakBefore w:val="0"/>
        <w:kinsoku/>
        <w:wordWrap/>
        <w:overflowPunct/>
        <w:topLinePunct w:val="0"/>
        <w:autoSpaceDE/>
        <w:autoSpaceDN/>
        <w:bidi w:val="0"/>
        <w:adjustRightInd w:val="0"/>
        <w:snapToGrid w:val="0"/>
        <w:spacing w:line="360" w:lineRule="auto"/>
        <w:ind w:left="0" w:firstLine="413" w:firstLineChars="196"/>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8.推荐中选单位</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bCs/>
          <w:color w:val="auto"/>
          <w:sz w:val="21"/>
          <w:szCs w:val="21"/>
        </w:rPr>
        <w:t>8.1</w:t>
      </w:r>
      <w:r>
        <w:rPr>
          <w:rFonts w:hint="eastAsia" w:ascii="宋体" w:hAnsi="宋体" w:eastAsia="宋体" w:cs="宋体"/>
          <w:color w:val="auto"/>
          <w:kern w:val="0"/>
          <w:sz w:val="21"/>
          <w:szCs w:val="21"/>
        </w:rPr>
        <w:t>谈判评审小组应当在全部评审结束后，按照得分由高到低顺序推荐1名中选单位，并填写评审报告。</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8.2全部评审结束后，若出现报价得分相同的情形，则采用现场抽签方式确定中选单位。</w:t>
      </w:r>
    </w:p>
    <w:p>
      <w:pPr>
        <w:rPr>
          <w:rFonts w:ascii="宋体" w:hAnsi="宋体"/>
          <w:bCs/>
          <w:szCs w:val="21"/>
        </w:rPr>
        <w:sectPr>
          <w:pgSz w:w="11906" w:h="16838"/>
          <w:pgMar w:top="1440" w:right="1797" w:bottom="1440" w:left="1797" w:header="851" w:footer="851" w:gutter="0"/>
          <w:pgNumType w:fmt="decimal"/>
          <w:cols w:space="720" w:num="1"/>
          <w:docGrid w:linePitch="312" w:charSpace="0"/>
        </w:sectPr>
      </w:pPr>
      <w:r>
        <w:rPr>
          <w:rFonts w:hint="eastAsia" w:ascii="宋体" w:hAnsi="宋体" w:eastAsia="宋体" w:cs="宋体"/>
          <w:color w:val="auto"/>
          <w:kern w:val="0"/>
          <w:sz w:val="21"/>
          <w:szCs w:val="21"/>
        </w:rPr>
        <w:br w:type="page"/>
      </w:r>
    </w:p>
    <w:p>
      <w:pPr>
        <w:pStyle w:val="3"/>
        <w:keepNext w:val="0"/>
        <w:rPr>
          <w:rFonts w:hint="eastAsia" w:ascii="宋体" w:hAnsi="宋体" w:eastAsia="宋体" w:cs="宋体"/>
          <w:bCs w:val="0"/>
          <w:sz w:val="32"/>
          <w:szCs w:val="32"/>
        </w:rPr>
      </w:pPr>
      <w:bookmarkStart w:id="41" w:name="_Toc17997"/>
      <w:bookmarkStart w:id="42" w:name="_Toc17562"/>
      <w:bookmarkStart w:id="43" w:name="_Toc23442"/>
      <w:bookmarkStart w:id="44" w:name="_Toc18202"/>
      <w:bookmarkStart w:id="45" w:name="_Toc14891077"/>
      <w:r>
        <w:rPr>
          <w:rFonts w:hint="eastAsia" w:ascii="宋体" w:hAnsi="宋体" w:eastAsia="宋体" w:cs="宋体"/>
          <w:bCs w:val="0"/>
          <w:sz w:val="32"/>
          <w:szCs w:val="32"/>
        </w:rPr>
        <w:t>第四章  用户需求书</w:t>
      </w:r>
      <w:bookmarkEnd w:id="41"/>
      <w:bookmarkEnd w:id="42"/>
      <w:bookmarkEnd w:id="43"/>
      <w:bookmarkEnd w:id="44"/>
      <w:bookmarkEnd w:id="45"/>
    </w:p>
    <w:p>
      <w:pPr>
        <w:pStyle w:val="32"/>
        <w:tabs>
          <w:tab w:val="right" w:leader="dot" w:pos="8306"/>
        </w:tabs>
        <w:spacing w:line="360" w:lineRule="auto"/>
        <w:ind w:firstLine="422" w:firstLineChars="200"/>
        <w:outlineLvl w:val="0"/>
        <w:rPr>
          <w:rFonts w:ascii="宋体" w:hAnsi="宋体" w:cs="楷体"/>
          <w:b/>
          <w:szCs w:val="21"/>
        </w:rPr>
      </w:pPr>
    </w:p>
    <w:p>
      <w:pPr>
        <w:pStyle w:val="32"/>
        <w:tabs>
          <w:tab w:val="right" w:leader="dot" w:pos="8306"/>
        </w:tabs>
        <w:spacing w:line="360" w:lineRule="auto"/>
        <w:ind w:firstLine="422" w:firstLineChars="200"/>
        <w:outlineLvl w:val="9"/>
        <w:rPr>
          <w:rFonts w:ascii="宋体" w:hAnsi="宋体" w:cs="楷体"/>
          <w:b/>
          <w:i/>
          <w:iCs/>
          <w:szCs w:val="21"/>
        </w:rPr>
      </w:pPr>
      <w:bookmarkStart w:id="46" w:name="_Toc12281516"/>
      <w:r>
        <w:rPr>
          <w:rFonts w:hint="eastAsia" w:ascii="宋体" w:hAnsi="宋体" w:eastAsia="宋体" w:cs="宋体"/>
          <w:b/>
          <w:bCs w:val="0"/>
          <w:szCs w:val="21"/>
        </w:rPr>
        <w:t>一、</w:t>
      </w:r>
      <w:r>
        <w:rPr>
          <w:rFonts w:hint="eastAsia" w:ascii="宋体" w:hAnsi="宋体" w:eastAsia="宋体" w:cs="宋体"/>
          <w:b/>
          <w:bCs w:val="0"/>
        </w:rPr>
        <w:fldChar w:fldCharType="begin"/>
      </w:r>
      <w:r>
        <w:rPr>
          <w:rFonts w:hint="eastAsia" w:ascii="宋体" w:hAnsi="宋体" w:eastAsia="宋体" w:cs="宋体"/>
          <w:b/>
          <w:bCs w:val="0"/>
        </w:rPr>
        <w:instrText xml:space="preserve"> HYPERLINK \l "_Toc28139" </w:instrText>
      </w:r>
      <w:r>
        <w:rPr>
          <w:rFonts w:hint="eastAsia" w:ascii="宋体" w:hAnsi="宋体" w:eastAsia="宋体" w:cs="宋体"/>
          <w:b/>
          <w:bCs w:val="0"/>
        </w:rPr>
        <w:fldChar w:fldCharType="separate"/>
      </w:r>
      <w:r>
        <w:rPr>
          <w:rFonts w:hint="eastAsia" w:ascii="宋体" w:hAnsi="宋体" w:eastAsia="宋体" w:cs="宋体"/>
          <w:b/>
          <w:bCs w:val="0"/>
          <w:szCs w:val="21"/>
        </w:rPr>
        <w:t>项目概况及招标范围</w:t>
      </w:r>
      <w:bookmarkEnd w:id="46"/>
      <w:r>
        <w:rPr>
          <w:rFonts w:hint="eastAsia" w:ascii="宋体" w:hAnsi="宋体" w:eastAsia="宋体" w:cs="宋体"/>
          <w:b/>
          <w:bCs w:val="0"/>
          <w:szCs w:val="21"/>
        </w:rPr>
        <w:fldChar w:fldCharType="end"/>
      </w:r>
    </w:p>
    <w:p>
      <w:pPr>
        <w:keepNext w:val="0"/>
        <w:keepLines w:val="0"/>
        <w:pageBreakBefore w:val="0"/>
        <w:widowControl w:val="0"/>
        <w:kinsoku/>
        <w:wordWrap/>
        <w:overflowPunct/>
        <w:topLinePunct w:val="0"/>
        <w:autoSpaceDE/>
        <w:autoSpaceDN/>
        <w:bidi w:val="0"/>
        <w:adjustRightInd w:val="0"/>
        <w:snapToGrid/>
        <w:spacing w:line="360" w:lineRule="auto"/>
        <w:ind w:left="0" w:firstLine="420" w:firstLineChars="200"/>
        <w:textAlignment w:val="auto"/>
        <w:outlineLvl w:val="9"/>
        <w:rPr>
          <w:rFonts w:ascii="宋体" w:hAnsi="宋体"/>
          <w:szCs w:val="21"/>
        </w:rPr>
      </w:pPr>
      <w:bookmarkStart w:id="47" w:name="_Toc12281517"/>
      <w:r>
        <w:rPr>
          <w:rFonts w:hint="eastAsia" w:ascii="宋体" w:hAnsi="宋体"/>
          <w:szCs w:val="21"/>
        </w:rPr>
        <w:t>（一）项目概况</w:t>
      </w:r>
      <w:bookmarkEnd w:id="47"/>
    </w:p>
    <w:p>
      <w:pPr>
        <w:keepNext w:val="0"/>
        <w:keepLines w:val="0"/>
        <w:pageBreakBefore w:val="0"/>
        <w:widowControl w:val="0"/>
        <w:kinsoku/>
        <w:wordWrap/>
        <w:overflowPunct/>
        <w:topLinePunct w:val="0"/>
        <w:autoSpaceDE/>
        <w:autoSpaceDN/>
        <w:bidi w:val="0"/>
        <w:snapToGrid/>
        <w:spacing w:line="360" w:lineRule="auto"/>
        <w:ind w:left="0" w:firstLine="420" w:firstLineChars="200"/>
        <w:textAlignment w:val="auto"/>
        <w:outlineLvl w:val="9"/>
        <w:rPr>
          <w:rFonts w:ascii="宋体" w:hAnsi="宋体" w:cs="仿宋_GB2312"/>
          <w:szCs w:val="21"/>
        </w:rPr>
      </w:pPr>
      <w:r>
        <w:rPr>
          <w:rFonts w:hint="eastAsia" w:ascii="宋体" w:hAnsi="宋体" w:cs="仿宋_GB2312"/>
          <w:szCs w:val="21"/>
        </w:rPr>
        <w:t>长沙市轨道交通5号线一期工程运营期票款押运网络视频监控服务项目（2020-2021年度）包括视频监控服务和联网报警服务。按照公安部及银行的相关要求，提供指定区域范围内监控目标的智能管理，实现对目标的全面控制、重点防范、快速反应、精准打击。</w:t>
      </w:r>
    </w:p>
    <w:p>
      <w:pPr>
        <w:keepNext w:val="0"/>
        <w:keepLines w:val="0"/>
        <w:pageBreakBefore w:val="0"/>
        <w:widowControl w:val="0"/>
        <w:kinsoku/>
        <w:wordWrap/>
        <w:overflowPunct/>
        <w:topLinePunct w:val="0"/>
        <w:autoSpaceDE/>
        <w:autoSpaceDN/>
        <w:bidi w:val="0"/>
        <w:adjustRightInd w:val="0"/>
        <w:snapToGrid/>
        <w:spacing w:line="360" w:lineRule="auto"/>
        <w:ind w:left="0" w:firstLine="420" w:firstLineChars="200"/>
        <w:textAlignment w:val="auto"/>
        <w:outlineLvl w:val="9"/>
        <w:rPr>
          <w:rFonts w:ascii="宋体" w:hAnsi="宋体"/>
          <w:szCs w:val="21"/>
        </w:rPr>
      </w:pPr>
      <w:bookmarkStart w:id="48" w:name="_Toc12281518"/>
      <w:r>
        <w:rPr>
          <w:rFonts w:hint="eastAsia" w:ascii="宋体" w:hAnsi="宋体"/>
          <w:szCs w:val="21"/>
        </w:rPr>
        <w:t>（二）招标范围</w:t>
      </w:r>
      <w:bookmarkEnd w:id="48"/>
    </w:p>
    <w:p>
      <w:pPr>
        <w:keepNext w:val="0"/>
        <w:keepLines w:val="0"/>
        <w:pageBreakBefore w:val="0"/>
        <w:widowControl w:val="0"/>
        <w:kinsoku/>
        <w:wordWrap/>
        <w:overflowPunct/>
        <w:topLinePunct w:val="0"/>
        <w:autoSpaceDE/>
        <w:autoSpaceDN/>
        <w:bidi w:val="0"/>
        <w:snapToGrid/>
        <w:spacing w:line="360" w:lineRule="auto"/>
        <w:ind w:left="0" w:firstLine="420" w:firstLineChars="200"/>
        <w:textAlignment w:val="auto"/>
        <w:outlineLvl w:val="9"/>
        <w:rPr>
          <w:rFonts w:ascii="宋体" w:hAnsi="宋体"/>
          <w:szCs w:val="21"/>
        </w:rPr>
      </w:pPr>
      <w:r>
        <w:rPr>
          <w:rFonts w:hint="eastAsia" w:ascii="宋体" w:hAnsi="宋体"/>
          <w:szCs w:val="21"/>
        </w:rPr>
        <w:t>本项目为长沙市轨道交通5号线一期工程全线的</w:t>
      </w:r>
      <w:r>
        <w:rPr>
          <w:rFonts w:hint="eastAsia" w:ascii="宋体" w:hAnsi="宋体" w:cs="仿宋_GB2312"/>
          <w:szCs w:val="21"/>
        </w:rPr>
        <w:t>车站范围内票款押运视频监控服务和联网报警服务并包括相关票款押运网络监控设备故障维护</w:t>
      </w:r>
      <w:r>
        <w:rPr>
          <w:rFonts w:hint="eastAsia" w:ascii="宋体" w:hAnsi="宋体"/>
          <w:szCs w:val="21"/>
        </w:rPr>
        <w:t>。服务范围包含</w:t>
      </w:r>
      <w:r>
        <w:rPr>
          <w:rFonts w:hint="eastAsia" w:ascii="宋体" w:hAnsi="宋体" w:cs="仿宋_GB2312"/>
          <w:szCs w:val="21"/>
        </w:rPr>
        <w:t>18座车站（以最终实际需要安装的站点为准），由北向南站点分布为水渡河站、土桥站、白茅铺站、月湖公园北站、马栏山站、鸭子铺站、火炬村站、马王堆站、万家丽广场站、芙蓉区政府站、高桥北站、高桥南站、圭塘站、木桥站、雨花区政府站、大塘站、板塘冲站、毛竹塘站。</w:t>
      </w:r>
    </w:p>
    <w:p>
      <w:pPr>
        <w:keepNext w:val="0"/>
        <w:keepLines w:val="0"/>
        <w:pageBreakBefore w:val="0"/>
        <w:widowControl w:val="0"/>
        <w:kinsoku/>
        <w:wordWrap/>
        <w:overflowPunct/>
        <w:topLinePunct w:val="0"/>
        <w:autoSpaceDE/>
        <w:autoSpaceDN/>
        <w:bidi w:val="0"/>
        <w:snapToGrid/>
        <w:spacing w:line="360" w:lineRule="auto"/>
        <w:ind w:left="0" w:firstLine="420" w:firstLineChars="200"/>
        <w:textAlignment w:val="auto"/>
        <w:outlineLvl w:val="9"/>
        <w:rPr>
          <w:rFonts w:ascii="宋体" w:hAnsi="宋体" w:cs="仿宋_GB2312"/>
          <w:szCs w:val="21"/>
        </w:rPr>
      </w:pPr>
      <w:r>
        <w:rPr>
          <w:rFonts w:hint="eastAsia" w:ascii="宋体" w:hAnsi="宋体" w:cs="仿宋_GB2312"/>
          <w:szCs w:val="21"/>
        </w:rPr>
        <w:t>长沙市轨道交通5号线一期工程18个站点（车站站名以投入运营正式名称为准）。具体详见表一：</w:t>
      </w:r>
    </w:p>
    <w:tbl>
      <w:tblPr>
        <w:tblStyle w:val="46"/>
        <w:tblW w:w="88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836"/>
        <w:gridCol w:w="2126"/>
        <w:gridCol w:w="2694"/>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exact"/>
          <w:jc w:val="center"/>
        </w:trPr>
        <w:tc>
          <w:tcPr>
            <w:tcW w:w="8849" w:type="dxa"/>
            <w:gridSpan w:val="5"/>
            <w:vAlign w:val="center"/>
          </w:tcPr>
          <w:p>
            <w:pPr>
              <w:spacing w:line="360" w:lineRule="auto"/>
              <w:jc w:val="center"/>
              <w:rPr>
                <w:rFonts w:ascii="宋体" w:hAnsi="宋体" w:cs="仿宋"/>
                <w:szCs w:val="21"/>
              </w:rPr>
            </w:pPr>
            <w:r>
              <w:rPr>
                <w:rFonts w:hint="eastAsia" w:ascii="宋体" w:hAnsi="宋体" w:cs="仿宋"/>
                <w:b/>
                <w:bCs/>
                <w:szCs w:val="21"/>
              </w:rPr>
              <w:t>表一  5号线票款押运相关服务及相关设备安装点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exact"/>
          <w:jc w:val="center"/>
        </w:trPr>
        <w:tc>
          <w:tcPr>
            <w:tcW w:w="942" w:type="dxa"/>
            <w:vAlign w:val="center"/>
          </w:tcPr>
          <w:p>
            <w:pPr>
              <w:spacing w:line="360" w:lineRule="auto"/>
              <w:jc w:val="center"/>
              <w:rPr>
                <w:rFonts w:ascii="宋体" w:hAnsi="宋体" w:cs="仿宋"/>
                <w:b/>
                <w:bCs/>
                <w:szCs w:val="21"/>
              </w:rPr>
            </w:pPr>
            <w:r>
              <w:rPr>
                <w:rFonts w:hint="eastAsia" w:ascii="宋体" w:hAnsi="宋体" w:cs="仿宋"/>
                <w:b/>
                <w:bCs/>
                <w:szCs w:val="21"/>
              </w:rPr>
              <w:t>序号</w:t>
            </w:r>
          </w:p>
        </w:tc>
        <w:tc>
          <w:tcPr>
            <w:tcW w:w="1836" w:type="dxa"/>
            <w:vAlign w:val="center"/>
          </w:tcPr>
          <w:p>
            <w:pPr>
              <w:spacing w:line="360" w:lineRule="auto"/>
              <w:jc w:val="center"/>
              <w:rPr>
                <w:rFonts w:ascii="宋体" w:hAnsi="宋体" w:cs="仿宋"/>
                <w:b/>
                <w:bCs/>
                <w:szCs w:val="21"/>
              </w:rPr>
            </w:pPr>
            <w:r>
              <w:rPr>
                <w:rFonts w:hint="eastAsia" w:ascii="宋体" w:hAnsi="宋体" w:cs="仿宋"/>
                <w:b/>
                <w:bCs/>
                <w:szCs w:val="21"/>
              </w:rPr>
              <w:t>网点名称</w:t>
            </w:r>
          </w:p>
        </w:tc>
        <w:tc>
          <w:tcPr>
            <w:tcW w:w="2126" w:type="dxa"/>
            <w:vAlign w:val="center"/>
          </w:tcPr>
          <w:p>
            <w:pPr>
              <w:spacing w:line="360" w:lineRule="auto"/>
              <w:jc w:val="center"/>
              <w:rPr>
                <w:rFonts w:ascii="宋体" w:hAnsi="宋体" w:cs="仿宋"/>
                <w:b/>
                <w:bCs/>
                <w:szCs w:val="21"/>
              </w:rPr>
            </w:pPr>
            <w:r>
              <w:rPr>
                <w:rFonts w:hint="eastAsia" w:ascii="宋体" w:hAnsi="宋体" w:cs="仿宋"/>
                <w:b/>
                <w:bCs/>
                <w:szCs w:val="21"/>
              </w:rPr>
              <w:t>联网报警设备安装地点</w:t>
            </w:r>
          </w:p>
        </w:tc>
        <w:tc>
          <w:tcPr>
            <w:tcW w:w="2694" w:type="dxa"/>
            <w:vAlign w:val="center"/>
          </w:tcPr>
          <w:p>
            <w:pPr>
              <w:spacing w:line="360" w:lineRule="auto"/>
              <w:jc w:val="center"/>
              <w:rPr>
                <w:rFonts w:ascii="宋体" w:hAnsi="宋体" w:cs="仿宋"/>
                <w:b/>
                <w:bCs/>
                <w:szCs w:val="21"/>
              </w:rPr>
            </w:pPr>
            <w:r>
              <w:rPr>
                <w:rFonts w:hint="eastAsia" w:ascii="宋体" w:hAnsi="宋体" w:cs="仿宋"/>
                <w:b/>
                <w:bCs/>
                <w:szCs w:val="21"/>
              </w:rPr>
              <w:t>视频监控设备安装地点</w:t>
            </w:r>
          </w:p>
        </w:tc>
        <w:tc>
          <w:tcPr>
            <w:tcW w:w="1251" w:type="dxa"/>
            <w:vAlign w:val="center"/>
          </w:tcPr>
          <w:p>
            <w:pPr>
              <w:spacing w:line="360" w:lineRule="auto"/>
              <w:jc w:val="center"/>
              <w:rPr>
                <w:rFonts w:ascii="宋体" w:hAnsi="宋体" w:cs="仿宋"/>
                <w:b/>
                <w:bCs/>
                <w:szCs w:val="21"/>
              </w:rPr>
            </w:pPr>
            <w:r>
              <w:rPr>
                <w:rFonts w:hint="eastAsia" w:ascii="宋体" w:hAnsi="宋体" w:cs="仿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1</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水渡河站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2</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土桥站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3</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白茅铺站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4</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月湖公园北站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5</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马栏山站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6</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鸭子铺站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7</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火炬村站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8</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马王堆站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9</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万家丽广场站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10</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芙蓉区政府站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11</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高桥北站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12</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高桥南站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13</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圭塘站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14</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木桥站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15</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雨花区政府站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16</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大塘站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17</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板塘冲站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18</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毛竹塘站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仿宋_GB2312"/>
          <w:szCs w:val="21"/>
        </w:rPr>
      </w:pPr>
      <w:r>
        <w:rPr>
          <w:rFonts w:hint="eastAsia" w:ascii="宋体" w:hAnsi="宋体" w:cs="仿宋_GB2312"/>
          <w:szCs w:val="21"/>
        </w:rPr>
        <w:t>项目采购范围包括联网报警设备初装。初装联网报警设备需求数量详见表二，报警</w:t>
      </w:r>
      <w:r>
        <w:rPr>
          <w:rFonts w:ascii="宋体" w:hAnsi="宋体" w:cs="仿宋_GB2312"/>
          <w:szCs w:val="21"/>
        </w:rPr>
        <w:t>主机应采用主流品牌</w:t>
      </w:r>
      <w:r>
        <w:rPr>
          <w:rFonts w:hint="eastAsia" w:ascii="宋体" w:hAnsi="宋体" w:cs="仿宋_GB2312"/>
          <w:szCs w:val="21"/>
        </w:rPr>
        <w:t>，选用设备性能不得低于既有线路联网报警现场设备性能，1、2、4号线报警设备统计情况见表三，</w:t>
      </w:r>
      <w:r>
        <w:rPr>
          <w:rFonts w:ascii="宋体" w:hAnsi="宋体" w:cs="仿宋_GB2312"/>
          <w:szCs w:val="21"/>
        </w:rPr>
        <w:t>且具有接入不同监控平台的能力</w:t>
      </w:r>
      <w:r>
        <w:rPr>
          <w:rFonts w:hint="eastAsia" w:ascii="宋体" w:hAnsi="宋体" w:cs="仿宋_GB2312"/>
          <w:szCs w:val="21"/>
        </w:rPr>
        <w:t>。</w:t>
      </w:r>
    </w:p>
    <w:tbl>
      <w:tblPr>
        <w:tblStyle w:val="46"/>
        <w:tblW w:w="8818" w:type="dxa"/>
        <w:jc w:val="center"/>
        <w:tblInd w:w="614" w:type="dxa"/>
        <w:tblLayout w:type="fixed"/>
        <w:tblCellMar>
          <w:top w:w="0" w:type="dxa"/>
          <w:left w:w="108" w:type="dxa"/>
          <w:bottom w:w="0" w:type="dxa"/>
          <w:right w:w="108" w:type="dxa"/>
        </w:tblCellMar>
      </w:tblPr>
      <w:tblGrid>
        <w:gridCol w:w="1135"/>
        <w:gridCol w:w="1760"/>
        <w:gridCol w:w="3489"/>
        <w:gridCol w:w="2434"/>
      </w:tblGrid>
      <w:tr>
        <w:tblPrEx>
          <w:tblLayout w:type="fixed"/>
          <w:tblCellMar>
            <w:top w:w="0" w:type="dxa"/>
            <w:left w:w="108" w:type="dxa"/>
            <w:bottom w:w="0" w:type="dxa"/>
            <w:right w:w="108" w:type="dxa"/>
          </w:tblCellMar>
        </w:tblPrEx>
        <w:trPr>
          <w:trHeight w:val="560" w:hRule="atLeast"/>
          <w:jc w:val="center"/>
        </w:trPr>
        <w:tc>
          <w:tcPr>
            <w:tcW w:w="881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cs="仿宋"/>
                <w:b/>
                <w:bCs/>
                <w:szCs w:val="21"/>
              </w:rPr>
            </w:pPr>
            <w:r>
              <w:rPr>
                <w:rFonts w:hint="eastAsia" w:ascii="宋体" w:hAnsi="宋体" w:cs="仿宋"/>
                <w:b/>
                <w:bCs/>
                <w:szCs w:val="21"/>
              </w:rPr>
              <w:t>表二  5号线初装联网报警设备需求数量</w:t>
            </w:r>
          </w:p>
        </w:tc>
      </w:tr>
      <w:tr>
        <w:tblPrEx>
          <w:tblLayout w:type="fixed"/>
          <w:tblCellMar>
            <w:top w:w="0" w:type="dxa"/>
            <w:left w:w="108" w:type="dxa"/>
            <w:bottom w:w="0" w:type="dxa"/>
            <w:right w:w="108" w:type="dxa"/>
          </w:tblCellMar>
        </w:tblPrEx>
        <w:trPr>
          <w:trHeight w:val="521" w:hRule="atLeast"/>
          <w:jc w:val="center"/>
        </w:trPr>
        <w:tc>
          <w:tcPr>
            <w:tcW w:w="113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cs="仿宋"/>
                <w:b/>
                <w:bCs/>
                <w:szCs w:val="21"/>
              </w:rPr>
            </w:pPr>
            <w:r>
              <w:rPr>
                <w:rFonts w:hint="eastAsia" w:ascii="宋体" w:hAnsi="宋体" w:cs="仿宋"/>
                <w:b/>
                <w:bCs/>
                <w:szCs w:val="21"/>
              </w:rPr>
              <w:t>序号</w:t>
            </w:r>
          </w:p>
        </w:tc>
        <w:tc>
          <w:tcPr>
            <w:tcW w:w="1760" w:type="dxa"/>
            <w:tcBorders>
              <w:top w:val="single" w:color="auto" w:sz="4" w:space="0"/>
              <w:left w:val="single" w:color="auto" w:sz="4" w:space="0"/>
              <w:right w:val="single" w:color="auto" w:sz="4" w:space="0"/>
            </w:tcBorders>
            <w:vAlign w:val="bottom"/>
          </w:tcPr>
          <w:p>
            <w:pPr>
              <w:spacing w:line="360" w:lineRule="auto"/>
              <w:jc w:val="center"/>
              <w:rPr>
                <w:rFonts w:ascii="宋体" w:hAnsi="宋体" w:cs="仿宋"/>
                <w:b/>
                <w:bCs/>
                <w:szCs w:val="21"/>
              </w:rPr>
            </w:pPr>
            <w:r>
              <w:rPr>
                <w:rFonts w:hint="eastAsia" w:ascii="宋体" w:hAnsi="宋体" w:cs="仿宋"/>
                <w:b/>
                <w:bCs/>
                <w:szCs w:val="21"/>
              </w:rPr>
              <w:t>线路</w:t>
            </w:r>
          </w:p>
        </w:tc>
        <w:tc>
          <w:tcPr>
            <w:tcW w:w="3489"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cs="仿宋"/>
                <w:b/>
                <w:bCs/>
                <w:szCs w:val="21"/>
              </w:rPr>
            </w:pPr>
            <w:r>
              <w:rPr>
                <w:rFonts w:hint="eastAsia" w:ascii="宋体" w:hAnsi="宋体" w:cs="仿宋"/>
                <w:b/>
                <w:bCs/>
                <w:szCs w:val="21"/>
              </w:rPr>
              <w:t>设备名称</w:t>
            </w:r>
          </w:p>
        </w:tc>
        <w:tc>
          <w:tcPr>
            <w:tcW w:w="243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cs="仿宋"/>
                <w:b/>
                <w:bCs/>
                <w:szCs w:val="21"/>
              </w:rPr>
            </w:pPr>
            <w:r>
              <w:rPr>
                <w:rFonts w:hint="eastAsia" w:ascii="宋体" w:hAnsi="宋体" w:cs="仿宋"/>
                <w:b/>
                <w:bCs/>
                <w:szCs w:val="21"/>
              </w:rPr>
              <w:t>设备数量</w:t>
            </w:r>
          </w:p>
        </w:tc>
      </w:tr>
      <w:tr>
        <w:tblPrEx>
          <w:tblLayout w:type="fixed"/>
          <w:tblCellMar>
            <w:top w:w="0" w:type="dxa"/>
            <w:left w:w="108" w:type="dxa"/>
            <w:bottom w:w="0" w:type="dxa"/>
            <w:right w:w="108" w:type="dxa"/>
          </w:tblCellMar>
        </w:tblPrEx>
        <w:trPr>
          <w:trHeight w:val="227"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1</w:t>
            </w:r>
          </w:p>
        </w:tc>
        <w:tc>
          <w:tcPr>
            <w:tcW w:w="1760"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5号线</w:t>
            </w:r>
          </w:p>
        </w:tc>
        <w:tc>
          <w:tcPr>
            <w:tcW w:w="3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报警主机</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18</w:t>
            </w:r>
          </w:p>
        </w:tc>
      </w:tr>
      <w:tr>
        <w:tblPrEx>
          <w:tblLayout w:type="fixed"/>
          <w:tblCellMar>
            <w:top w:w="0" w:type="dxa"/>
            <w:left w:w="108" w:type="dxa"/>
            <w:bottom w:w="0" w:type="dxa"/>
            <w:right w:w="108" w:type="dxa"/>
          </w:tblCellMar>
        </w:tblPrEx>
        <w:trPr>
          <w:trHeight w:val="227"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w:t>
            </w:r>
          </w:p>
        </w:tc>
        <w:tc>
          <w:tcPr>
            <w:tcW w:w="1760" w:type="dxa"/>
            <w:vMerge w:val="continue"/>
            <w:tcBorders>
              <w:left w:val="single" w:color="auto" w:sz="4" w:space="0"/>
              <w:right w:val="single" w:color="auto" w:sz="4" w:space="0"/>
            </w:tcBorders>
            <w:vAlign w:val="center"/>
          </w:tcPr>
          <w:p>
            <w:pPr>
              <w:spacing w:line="360" w:lineRule="auto"/>
              <w:ind w:firstLine="420" w:firstLineChars="200"/>
              <w:jc w:val="center"/>
              <w:rPr>
                <w:rFonts w:ascii="宋体" w:hAnsi="宋体" w:cs="仿宋"/>
                <w:szCs w:val="21"/>
              </w:rPr>
            </w:pPr>
          </w:p>
        </w:tc>
        <w:tc>
          <w:tcPr>
            <w:tcW w:w="348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紧急按钮</w:t>
            </w:r>
          </w:p>
        </w:tc>
        <w:tc>
          <w:tcPr>
            <w:tcW w:w="243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18</w:t>
            </w:r>
          </w:p>
        </w:tc>
      </w:tr>
      <w:tr>
        <w:tblPrEx>
          <w:tblLayout w:type="fixed"/>
          <w:tblCellMar>
            <w:top w:w="0" w:type="dxa"/>
            <w:left w:w="108" w:type="dxa"/>
            <w:bottom w:w="0" w:type="dxa"/>
            <w:right w:w="108" w:type="dxa"/>
          </w:tblCellMar>
        </w:tblPrEx>
        <w:trPr>
          <w:trHeight w:val="227"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3</w:t>
            </w:r>
          </w:p>
        </w:tc>
        <w:tc>
          <w:tcPr>
            <w:tcW w:w="1760" w:type="dxa"/>
            <w:vMerge w:val="continue"/>
            <w:tcBorders>
              <w:left w:val="single" w:color="auto" w:sz="4" w:space="0"/>
              <w:right w:val="single" w:color="auto" w:sz="4" w:space="0"/>
            </w:tcBorders>
            <w:vAlign w:val="center"/>
          </w:tcPr>
          <w:p>
            <w:pPr>
              <w:spacing w:line="360" w:lineRule="auto"/>
              <w:ind w:firstLine="420" w:firstLineChars="200"/>
              <w:jc w:val="center"/>
              <w:rPr>
                <w:rFonts w:ascii="宋体" w:hAnsi="宋体" w:cs="仿宋"/>
                <w:szCs w:val="21"/>
              </w:rPr>
            </w:pPr>
          </w:p>
        </w:tc>
        <w:tc>
          <w:tcPr>
            <w:tcW w:w="3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警号</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18</w:t>
            </w:r>
          </w:p>
        </w:tc>
      </w:tr>
      <w:tr>
        <w:tblPrEx>
          <w:tblLayout w:type="fixed"/>
          <w:tblCellMar>
            <w:top w:w="0" w:type="dxa"/>
            <w:left w:w="108" w:type="dxa"/>
            <w:bottom w:w="0" w:type="dxa"/>
            <w:right w:w="108" w:type="dxa"/>
          </w:tblCellMar>
        </w:tblPrEx>
        <w:trPr>
          <w:trHeight w:val="227"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4</w:t>
            </w:r>
          </w:p>
        </w:tc>
        <w:tc>
          <w:tcPr>
            <w:tcW w:w="1760" w:type="dxa"/>
            <w:vMerge w:val="continue"/>
            <w:tcBorders>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仿宋"/>
                <w:szCs w:val="21"/>
              </w:rPr>
            </w:pPr>
          </w:p>
        </w:tc>
        <w:tc>
          <w:tcPr>
            <w:tcW w:w="3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线缆（米）</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900</w:t>
            </w:r>
          </w:p>
        </w:tc>
      </w:tr>
    </w:tbl>
    <w:p>
      <w:pPr>
        <w:spacing w:line="360" w:lineRule="auto"/>
        <w:ind w:firstLine="420" w:firstLineChars="200"/>
        <w:rPr>
          <w:rFonts w:ascii="宋体" w:hAnsi="宋体" w:cs="仿宋_GB2312"/>
          <w:szCs w:val="21"/>
        </w:rPr>
      </w:pPr>
    </w:p>
    <w:tbl>
      <w:tblPr>
        <w:tblStyle w:val="46"/>
        <w:tblW w:w="8799" w:type="dxa"/>
        <w:jc w:val="center"/>
        <w:tblInd w:w="550" w:type="dxa"/>
        <w:tblLayout w:type="fixed"/>
        <w:tblCellMar>
          <w:top w:w="0" w:type="dxa"/>
          <w:left w:w="108" w:type="dxa"/>
          <w:bottom w:w="0" w:type="dxa"/>
          <w:right w:w="108" w:type="dxa"/>
        </w:tblCellMar>
      </w:tblPr>
      <w:tblGrid>
        <w:gridCol w:w="836"/>
        <w:gridCol w:w="1564"/>
        <w:gridCol w:w="1995"/>
        <w:gridCol w:w="2872"/>
        <w:gridCol w:w="1532"/>
      </w:tblGrid>
      <w:tr>
        <w:tblPrEx>
          <w:tblLayout w:type="fixed"/>
          <w:tblCellMar>
            <w:top w:w="0" w:type="dxa"/>
            <w:left w:w="108" w:type="dxa"/>
            <w:bottom w:w="0" w:type="dxa"/>
            <w:right w:w="108" w:type="dxa"/>
          </w:tblCellMar>
        </w:tblPrEx>
        <w:trPr>
          <w:trHeight w:val="569" w:hRule="atLeast"/>
          <w:jc w:val="center"/>
        </w:trPr>
        <w:tc>
          <w:tcPr>
            <w:tcW w:w="8799"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仿宋"/>
                <w:b/>
                <w:bCs/>
                <w:szCs w:val="21"/>
              </w:rPr>
            </w:pPr>
            <w:r>
              <w:rPr>
                <w:rFonts w:hint="eastAsia" w:ascii="宋体" w:hAnsi="宋体" w:cs="仿宋"/>
                <w:b/>
                <w:bCs/>
                <w:szCs w:val="21"/>
              </w:rPr>
              <w:t>表三  1、2、4号线报警设备情况统计表</w:t>
            </w:r>
          </w:p>
        </w:tc>
      </w:tr>
      <w:tr>
        <w:tblPrEx>
          <w:tblLayout w:type="fixed"/>
          <w:tblCellMar>
            <w:top w:w="0" w:type="dxa"/>
            <w:left w:w="108" w:type="dxa"/>
            <w:bottom w:w="0" w:type="dxa"/>
            <w:right w:w="108" w:type="dxa"/>
          </w:tblCellMar>
        </w:tblPrEx>
        <w:trPr>
          <w:trHeight w:val="56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仿宋"/>
                <w:b/>
                <w:bCs/>
                <w:szCs w:val="21"/>
              </w:rPr>
            </w:pPr>
            <w:r>
              <w:rPr>
                <w:rFonts w:hint="eastAsia" w:ascii="宋体" w:hAnsi="宋体" w:cs="仿宋"/>
                <w:b/>
                <w:bCs/>
                <w:szCs w:val="21"/>
              </w:rPr>
              <w:t>序号</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仿宋"/>
                <w:b/>
                <w:bCs/>
                <w:szCs w:val="21"/>
              </w:rPr>
            </w:pPr>
            <w:r>
              <w:rPr>
                <w:rFonts w:hint="eastAsia" w:ascii="宋体" w:hAnsi="宋体" w:cs="仿宋"/>
                <w:b/>
                <w:bCs/>
                <w:szCs w:val="21"/>
              </w:rPr>
              <w:t>线路</w:t>
            </w:r>
          </w:p>
        </w:tc>
        <w:tc>
          <w:tcPr>
            <w:tcW w:w="19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仿宋"/>
                <w:b/>
                <w:bCs/>
                <w:szCs w:val="21"/>
              </w:rPr>
            </w:pPr>
            <w:r>
              <w:rPr>
                <w:rFonts w:hint="eastAsia" w:ascii="宋体" w:hAnsi="宋体" w:cs="仿宋"/>
                <w:b/>
                <w:bCs/>
                <w:szCs w:val="21"/>
              </w:rPr>
              <w:t>设备名称</w:t>
            </w:r>
          </w:p>
        </w:tc>
        <w:tc>
          <w:tcPr>
            <w:tcW w:w="28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仿宋"/>
                <w:b/>
                <w:bCs/>
                <w:szCs w:val="21"/>
              </w:rPr>
            </w:pPr>
            <w:r>
              <w:rPr>
                <w:rFonts w:hint="eastAsia" w:ascii="宋体" w:hAnsi="宋体" w:cs="仿宋"/>
                <w:b/>
                <w:bCs/>
                <w:szCs w:val="21"/>
              </w:rPr>
              <w:t>设备型号</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仿宋"/>
                <w:b/>
                <w:bCs/>
                <w:szCs w:val="21"/>
              </w:rPr>
            </w:pPr>
            <w:r>
              <w:rPr>
                <w:rFonts w:hint="eastAsia" w:ascii="宋体" w:hAnsi="宋体" w:cs="仿宋"/>
                <w:b/>
                <w:bCs/>
                <w:szCs w:val="21"/>
              </w:rPr>
              <w:t>设备数量</w:t>
            </w:r>
          </w:p>
        </w:tc>
      </w:tr>
      <w:tr>
        <w:tblPrEx>
          <w:tblLayout w:type="fixed"/>
          <w:tblCellMar>
            <w:top w:w="0" w:type="dxa"/>
            <w:left w:w="108" w:type="dxa"/>
            <w:bottom w:w="0" w:type="dxa"/>
            <w:right w:w="108" w:type="dxa"/>
          </w:tblCellMar>
        </w:tblPrEx>
        <w:trPr>
          <w:trHeight w:val="56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1</w:t>
            </w:r>
          </w:p>
        </w:tc>
        <w:tc>
          <w:tcPr>
            <w:tcW w:w="156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2号线一期工程</w:t>
            </w: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报警主机</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paradox E55</w:t>
            </w:r>
          </w:p>
        </w:tc>
        <w:tc>
          <w:tcPr>
            <w:tcW w:w="15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19</w:t>
            </w:r>
          </w:p>
        </w:tc>
      </w:tr>
      <w:tr>
        <w:tblPrEx>
          <w:tblLayout w:type="fixed"/>
          <w:tblCellMar>
            <w:top w:w="0" w:type="dxa"/>
            <w:left w:w="108" w:type="dxa"/>
            <w:bottom w:w="0" w:type="dxa"/>
            <w:right w:w="108" w:type="dxa"/>
          </w:tblCellMar>
        </w:tblPrEx>
        <w:trPr>
          <w:trHeight w:val="56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紧急按钮</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paradox E55</w:t>
            </w:r>
          </w:p>
        </w:tc>
        <w:tc>
          <w:tcPr>
            <w:tcW w:w="15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19</w:t>
            </w:r>
          </w:p>
        </w:tc>
      </w:tr>
      <w:tr>
        <w:tblPrEx>
          <w:tblLayout w:type="fixed"/>
          <w:tblCellMar>
            <w:top w:w="0" w:type="dxa"/>
            <w:left w:w="108" w:type="dxa"/>
            <w:bottom w:w="0" w:type="dxa"/>
            <w:right w:w="108" w:type="dxa"/>
          </w:tblCellMar>
        </w:tblPrEx>
        <w:trPr>
          <w:trHeight w:val="56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3</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警号</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paradox E55(SIREN)</w:t>
            </w:r>
          </w:p>
        </w:tc>
        <w:tc>
          <w:tcPr>
            <w:tcW w:w="15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19</w:t>
            </w:r>
          </w:p>
        </w:tc>
      </w:tr>
      <w:tr>
        <w:tblPrEx>
          <w:tblLayout w:type="fixed"/>
          <w:tblCellMar>
            <w:top w:w="0" w:type="dxa"/>
            <w:left w:w="108" w:type="dxa"/>
            <w:bottom w:w="0" w:type="dxa"/>
            <w:right w:w="108" w:type="dxa"/>
          </w:tblCellMar>
        </w:tblPrEx>
        <w:trPr>
          <w:trHeight w:val="56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4</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键盘</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paradox K10</w:t>
            </w:r>
          </w:p>
        </w:tc>
        <w:tc>
          <w:tcPr>
            <w:tcW w:w="15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19</w:t>
            </w:r>
          </w:p>
        </w:tc>
      </w:tr>
      <w:tr>
        <w:tblPrEx>
          <w:tblLayout w:type="fixed"/>
          <w:tblCellMar>
            <w:top w:w="0" w:type="dxa"/>
            <w:left w:w="108" w:type="dxa"/>
            <w:bottom w:w="0" w:type="dxa"/>
            <w:right w:w="108" w:type="dxa"/>
          </w:tblCellMar>
        </w:tblPrEx>
        <w:trPr>
          <w:trHeight w:val="56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5</w:t>
            </w:r>
          </w:p>
        </w:tc>
        <w:tc>
          <w:tcPr>
            <w:tcW w:w="156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2号线西延线及1号线</w:t>
            </w:r>
          </w:p>
        </w:tc>
        <w:tc>
          <w:tcPr>
            <w:tcW w:w="19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报警主机</w:t>
            </w:r>
          </w:p>
        </w:tc>
        <w:tc>
          <w:tcPr>
            <w:tcW w:w="287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DS-19A08-BNG</w:t>
            </w:r>
          </w:p>
        </w:tc>
        <w:tc>
          <w:tcPr>
            <w:tcW w:w="153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23</w:t>
            </w:r>
          </w:p>
        </w:tc>
      </w:tr>
      <w:tr>
        <w:tblPrEx>
          <w:tblLayout w:type="fixed"/>
          <w:tblCellMar>
            <w:top w:w="0" w:type="dxa"/>
            <w:left w:w="108" w:type="dxa"/>
            <w:bottom w:w="0" w:type="dxa"/>
            <w:right w:w="108" w:type="dxa"/>
          </w:tblCellMar>
        </w:tblPrEx>
        <w:trPr>
          <w:trHeight w:val="569" w:hRule="atLeast"/>
          <w:jc w:val="center"/>
        </w:trPr>
        <w:tc>
          <w:tcPr>
            <w:tcW w:w="836"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6</w:t>
            </w:r>
          </w:p>
        </w:tc>
        <w:tc>
          <w:tcPr>
            <w:tcW w:w="1564" w:type="dxa"/>
            <w:vMerge w:val="continue"/>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p>
        </w:tc>
        <w:tc>
          <w:tcPr>
            <w:tcW w:w="1995" w:type="dxa"/>
            <w:tcBorders>
              <w:top w:val="nil"/>
              <w:left w:val="nil"/>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紧急按钮</w:t>
            </w:r>
          </w:p>
        </w:tc>
        <w:tc>
          <w:tcPr>
            <w:tcW w:w="2872" w:type="dxa"/>
            <w:tcBorders>
              <w:top w:val="nil"/>
              <w:left w:val="nil"/>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海康配套</w:t>
            </w:r>
          </w:p>
        </w:tc>
        <w:tc>
          <w:tcPr>
            <w:tcW w:w="1532" w:type="dxa"/>
            <w:tcBorders>
              <w:top w:val="nil"/>
              <w:left w:val="nil"/>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23</w:t>
            </w:r>
          </w:p>
        </w:tc>
      </w:tr>
      <w:tr>
        <w:tblPrEx>
          <w:tblLayout w:type="fixed"/>
          <w:tblCellMar>
            <w:top w:w="0" w:type="dxa"/>
            <w:left w:w="108" w:type="dxa"/>
            <w:bottom w:w="0" w:type="dxa"/>
            <w:right w:w="108" w:type="dxa"/>
          </w:tblCellMar>
        </w:tblPrEx>
        <w:trPr>
          <w:trHeight w:val="56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7</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警号</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海康配套</w:t>
            </w:r>
          </w:p>
        </w:tc>
        <w:tc>
          <w:tcPr>
            <w:tcW w:w="15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23</w:t>
            </w:r>
          </w:p>
        </w:tc>
      </w:tr>
      <w:tr>
        <w:tblPrEx>
          <w:tblLayout w:type="fixed"/>
          <w:tblCellMar>
            <w:top w:w="0" w:type="dxa"/>
            <w:left w:w="108" w:type="dxa"/>
            <w:bottom w:w="0" w:type="dxa"/>
            <w:right w:w="108" w:type="dxa"/>
          </w:tblCellMar>
        </w:tblPrEx>
        <w:trPr>
          <w:trHeight w:val="56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8</w:t>
            </w:r>
          </w:p>
        </w:tc>
        <w:tc>
          <w:tcPr>
            <w:tcW w:w="156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4号线一期工程</w:t>
            </w: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报警主机</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CN4008</w:t>
            </w:r>
          </w:p>
        </w:tc>
        <w:tc>
          <w:tcPr>
            <w:tcW w:w="15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25</w:t>
            </w:r>
          </w:p>
        </w:tc>
      </w:tr>
      <w:tr>
        <w:tblPrEx>
          <w:tblLayout w:type="fixed"/>
          <w:tblCellMar>
            <w:top w:w="0" w:type="dxa"/>
            <w:left w:w="108" w:type="dxa"/>
            <w:bottom w:w="0" w:type="dxa"/>
            <w:right w:w="108" w:type="dxa"/>
          </w:tblCellMar>
        </w:tblPrEx>
        <w:trPr>
          <w:trHeight w:val="56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9</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紧急按钮</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PB2</w:t>
            </w:r>
          </w:p>
        </w:tc>
        <w:tc>
          <w:tcPr>
            <w:tcW w:w="15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25</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仿宋_GB2312"/>
          <w:szCs w:val="21"/>
        </w:rPr>
      </w:pPr>
      <w:r>
        <w:rPr>
          <w:rFonts w:hint="eastAsia" w:ascii="宋体" w:hAnsi="宋体" w:cs="仿宋_GB2312"/>
          <w:szCs w:val="21"/>
        </w:rPr>
        <w:t>所有站点提供平台、通信线路和设备质量符合公安部、国家电信主管部门的质量标准和技术要求并满足招标人应用要求。投标人对采购范围中所列站点2路视频（票务室视频和押运出入口视频）进行票款押运过程视频监控服务及24小时不间断联网报警服务。一旦发现可疑情况应及时通知招标人现场工作人员和押运车组负责人及时处置，如发生抢劫、爆炸等情况投标人值班人员应及时拨打110进行报警。</w:t>
      </w:r>
    </w:p>
    <w:p>
      <w:pPr>
        <w:pStyle w:val="3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楷体"/>
          <w:b/>
          <w:i/>
          <w:iCs/>
          <w:szCs w:val="21"/>
        </w:rPr>
      </w:pPr>
      <w:r>
        <w:fldChar w:fldCharType="begin"/>
      </w:r>
      <w:r>
        <w:instrText xml:space="preserve"> HYPERLINK \l "_Toc11191" </w:instrText>
      </w:r>
      <w:r>
        <w:fldChar w:fldCharType="separate"/>
      </w:r>
      <w:bookmarkStart w:id="49" w:name="_Toc12281519"/>
      <w:r>
        <w:rPr>
          <w:rFonts w:hint="eastAsia" w:ascii="宋体" w:hAnsi="宋体" w:cs="楷体"/>
          <w:b/>
          <w:szCs w:val="21"/>
        </w:rPr>
        <w:t>二、项目计划</w:t>
      </w:r>
      <w:bookmarkEnd w:id="49"/>
      <w:r>
        <w:rPr>
          <w:rFonts w:hint="eastAsia" w:ascii="宋体" w:hAnsi="宋体" w:cs="楷体"/>
          <w:b/>
          <w:szCs w:val="21"/>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仿宋_GB2312"/>
          <w:szCs w:val="21"/>
        </w:rPr>
      </w:pPr>
      <w:r>
        <w:rPr>
          <w:rFonts w:hint="eastAsia" w:ascii="宋体" w:hAnsi="宋体" w:cs="仿宋_GB2312"/>
          <w:szCs w:val="21"/>
        </w:rPr>
        <w:t>本项目服务期限暂定为2020年6月30日至2021年8月17日，总计413日，按照实际服务天数结算（实际服务时间以供应商接到招标人发出的开工令起算，至2021年8月17日止）。</w:t>
      </w:r>
    </w:p>
    <w:p>
      <w:pPr>
        <w:pStyle w:val="3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22" w:firstLineChars="200"/>
        <w:textAlignment w:val="auto"/>
        <w:outlineLvl w:val="9"/>
        <w:rPr>
          <w:rFonts w:ascii="宋体" w:hAnsi="宋体" w:cs="楷体"/>
          <w:b/>
          <w:szCs w:val="21"/>
        </w:rPr>
      </w:pPr>
      <w:bookmarkStart w:id="50" w:name="_Toc12281520"/>
      <w:r>
        <w:rPr>
          <w:rFonts w:hint="eastAsia" w:ascii="宋体" w:hAnsi="宋体" w:cs="楷体"/>
          <w:b/>
          <w:szCs w:val="21"/>
        </w:rPr>
        <w:t>三、相关技术标准及规范</w:t>
      </w:r>
      <w:bookmarkEnd w:id="5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仿宋_GB2312"/>
          <w:szCs w:val="21"/>
        </w:rPr>
      </w:pPr>
      <w:r>
        <w:rPr>
          <w:rFonts w:hint="eastAsia" w:ascii="宋体" w:hAnsi="宋体" w:cs="仿宋_GB2312"/>
          <w:szCs w:val="21"/>
        </w:rPr>
        <w:t>投标人应严格按照下列技术标准及规范等相关标准（包括以下国内技术标准、规范及同行业相关经验，但不限于以下内容）执行，具体详见表四，以下标准如有更新，须按最新标准执行：</w:t>
      </w:r>
    </w:p>
    <w:tbl>
      <w:tblPr>
        <w:tblStyle w:val="46"/>
        <w:tblW w:w="8668" w:type="dxa"/>
        <w:jc w:val="center"/>
        <w:tblInd w:w="-282" w:type="dxa"/>
        <w:tblLayout w:type="fixed"/>
        <w:tblCellMar>
          <w:top w:w="15" w:type="dxa"/>
          <w:left w:w="15" w:type="dxa"/>
          <w:bottom w:w="15" w:type="dxa"/>
          <w:right w:w="15" w:type="dxa"/>
        </w:tblCellMar>
      </w:tblPr>
      <w:tblGrid>
        <w:gridCol w:w="604"/>
        <w:gridCol w:w="2977"/>
        <w:gridCol w:w="5087"/>
      </w:tblGrid>
      <w:tr>
        <w:tblPrEx>
          <w:tblLayout w:type="fixed"/>
          <w:tblCellMar>
            <w:top w:w="15" w:type="dxa"/>
            <w:left w:w="15" w:type="dxa"/>
            <w:bottom w:w="15" w:type="dxa"/>
            <w:right w:w="15" w:type="dxa"/>
          </w:tblCellMar>
        </w:tblPrEx>
        <w:trPr>
          <w:trHeight w:val="630" w:hRule="atLeast"/>
          <w:jc w:val="center"/>
        </w:trPr>
        <w:tc>
          <w:tcPr>
            <w:tcW w:w="866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仿宋"/>
                <w:b/>
                <w:color w:val="000000"/>
                <w:szCs w:val="21"/>
              </w:rPr>
            </w:pPr>
            <w:r>
              <w:rPr>
                <w:rFonts w:hint="eastAsia" w:ascii="宋体" w:hAnsi="宋体" w:cs="仿宋"/>
                <w:b/>
                <w:color w:val="000000"/>
                <w:szCs w:val="21"/>
              </w:rPr>
              <w:t>表四  标准汇总表</w:t>
            </w:r>
          </w:p>
        </w:tc>
      </w:tr>
      <w:tr>
        <w:tblPrEx>
          <w:tblLayout w:type="fixed"/>
          <w:tblCellMar>
            <w:top w:w="15" w:type="dxa"/>
            <w:left w:w="15" w:type="dxa"/>
            <w:bottom w:w="15" w:type="dxa"/>
            <w:right w:w="15" w:type="dxa"/>
          </w:tblCellMar>
        </w:tblPrEx>
        <w:trPr>
          <w:trHeight w:val="286"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b/>
                <w:bCs/>
                <w:szCs w:val="21"/>
              </w:rPr>
            </w:pPr>
            <w:r>
              <w:rPr>
                <w:rFonts w:hint="eastAsia" w:ascii="宋体" w:hAnsi="宋体" w:cs="仿宋"/>
                <w:b/>
                <w:bCs/>
                <w:szCs w:val="21"/>
              </w:rPr>
              <w:t>序号</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b/>
                <w:bCs/>
                <w:szCs w:val="21"/>
              </w:rPr>
            </w:pPr>
            <w:r>
              <w:rPr>
                <w:rFonts w:hint="eastAsia" w:ascii="宋体" w:hAnsi="宋体" w:cs="仿宋"/>
                <w:b/>
                <w:bCs/>
                <w:szCs w:val="21"/>
              </w:rPr>
              <w:t>标准代号</w:t>
            </w:r>
          </w:p>
        </w:tc>
        <w:tc>
          <w:tcPr>
            <w:tcW w:w="5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b/>
                <w:bCs/>
                <w:szCs w:val="21"/>
              </w:rPr>
            </w:pPr>
            <w:r>
              <w:rPr>
                <w:rFonts w:hint="eastAsia" w:ascii="宋体" w:hAnsi="宋体" w:cs="仿宋"/>
                <w:b/>
                <w:bCs/>
                <w:szCs w:val="21"/>
              </w:rPr>
              <w:t>标准名称</w:t>
            </w:r>
          </w:p>
        </w:tc>
      </w:tr>
      <w:tr>
        <w:tblPrEx>
          <w:tblLayout w:type="fixed"/>
          <w:tblCellMar>
            <w:top w:w="15" w:type="dxa"/>
            <w:left w:w="15" w:type="dxa"/>
            <w:bottom w:w="15" w:type="dxa"/>
            <w:right w:w="15" w:type="dxa"/>
          </w:tblCellMar>
        </w:tblPrEx>
        <w:trPr>
          <w:trHeight w:val="510" w:hRule="atLeast"/>
          <w:jc w:val="center"/>
        </w:trPr>
        <w:tc>
          <w:tcPr>
            <w:tcW w:w="604"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cs="仿宋"/>
                <w:szCs w:val="21"/>
              </w:rPr>
            </w:pPr>
            <w:r>
              <w:rPr>
                <w:rFonts w:hint="eastAsia" w:ascii="宋体" w:hAnsi="宋体" w:cs="仿宋"/>
                <w:szCs w:val="21"/>
              </w:rPr>
              <w:t>1</w:t>
            </w:r>
          </w:p>
        </w:tc>
        <w:tc>
          <w:tcPr>
            <w:tcW w:w="2977"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cs="仿宋"/>
                <w:szCs w:val="21"/>
              </w:rPr>
            </w:pPr>
            <w:r>
              <w:rPr>
                <w:rFonts w:hint="eastAsia" w:ascii="宋体" w:hAnsi="宋体" w:cs="仿宋"/>
                <w:szCs w:val="21"/>
              </w:rPr>
              <w:t>CGY/G-105-005-A/0</w:t>
            </w:r>
          </w:p>
        </w:tc>
        <w:tc>
          <w:tcPr>
            <w:tcW w:w="5087"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cs="仿宋"/>
                <w:szCs w:val="21"/>
              </w:rPr>
            </w:pPr>
            <w:r>
              <w:rPr>
                <w:rFonts w:hint="eastAsia" w:ascii="宋体" w:hAnsi="宋体" w:cs="仿宋"/>
                <w:szCs w:val="21"/>
              </w:rPr>
              <w:t>运营公司承包商安全管理办法</w:t>
            </w:r>
          </w:p>
        </w:tc>
      </w:tr>
      <w:tr>
        <w:tblPrEx>
          <w:tblLayout w:type="fixed"/>
          <w:tblCellMar>
            <w:top w:w="15" w:type="dxa"/>
            <w:left w:w="15" w:type="dxa"/>
            <w:bottom w:w="15" w:type="dxa"/>
            <w:right w:w="15" w:type="dxa"/>
          </w:tblCellMar>
        </w:tblPrEx>
        <w:trPr>
          <w:trHeight w:val="510" w:hRule="atLeast"/>
          <w:jc w:val="center"/>
        </w:trPr>
        <w:tc>
          <w:tcPr>
            <w:tcW w:w="604"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cs="仿宋"/>
                <w:szCs w:val="21"/>
              </w:rPr>
            </w:pPr>
            <w:r>
              <w:rPr>
                <w:rFonts w:hint="eastAsia" w:ascii="宋体" w:hAnsi="宋体" w:cs="仿宋"/>
                <w:szCs w:val="21"/>
              </w:rPr>
              <w:t>2</w:t>
            </w:r>
          </w:p>
        </w:tc>
        <w:tc>
          <w:tcPr>
            <w:tcW w:w="2977"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cs="仿宋"/>
                <w:szCs w:val="21"/>
              </w:rPr>
            </w:pPr>
            <w:r>
              <w:rPr>
                <w:rFonts w:hint="eastAsia" w:ascii="宋体" w:hAnsi="宋体" w:cs="仿宋"/>
                <w:szCs w:val="21"/>
              </w:rPr>
              <w:t>CGY/G-108-003-A/0</w:t>
            </w:r>
          </w:p>
        </w:tc>
        <w:tc>
          <w:tcPr>
            <w:tcW w:w="5087"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cs="仿宋"/>
                <w:szCs w:val="21"/>
              </w:rPr>
            </w:pPr>
            <w:r>
              <w:rPr>
                <w:rFonts w:hint="eastAsia" w:ascii="宋体" w:hAnsi="宋体" w:cs="仿宋"/>
                <w:szCs w:val="21"/>
              </w:rPr>
              <w:t>运营公司施工检修管理办法</w:t>
            </w:r>
          </w:p>
        </w:tc>
      </w:tr>
      <w:tr>
        <w:tblPrEx>
          <w:tblLayout w:type="fixed"/>
          <w:tblCellMar>
            <w:top w:w="15" w:type="dxa"/>
            <w:left w:w="15" w:type="dxa"/>
            <w:bottom w:w="15" w:type="dxa"/>
            <w:right w:w="15" w:type="dxa"/>
          </w:tblCellMar>
        </w:tblPrEx>
        <w:trPr>
          <w:trHeight w:val="637" w:hRule="atLeast"/>
          <w:jc w:val="center"/>
        </w:trPr>
        <w:tc>
          <w:tcPr>
            <w:tcW w:w="604"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cs="仿宋"/>
                <w:szCs w:val="21"/>
              </w:rPr>
            </w:pPr>
            <w:r>
              <w:rPr>
                <w:rFonts w:hint="eastAsia" w:ascii="宋体" w:hAnsi="宋体" w:cs="仿宋"/>
                <w:szCs w:val="21"/>
              </w:rPr>
              <w:t>3</w:t>
            </w:r>
          </w:p>
        </w:tc>
        <w:tc>
          <w:tcPr>
            <w:tcW w:w="2977"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cs="仿宋"/>
                <w:szCs w:val="21"/>
              </w:rPr>
            </w:pPr>
            <w:r>
              <w:rPr>
                <w:rFonts w:hint="eastAsia" w:ascii="宋体" w:hAnsi="宋体" w:cs="仿宋"/>
                <w:szCs w:val="21"/>
              </w:rPr>
              <w:t>长公内[2009]24号</w:t>
            </w:r>
          </w:p>
        </w:tc>
        <w:tc>
          <w:tcPr>
            <w:tcW w:w="5087"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cs="仿宋"/>
                <w:szCs w:val="21"/>
              </w:rPr>
            </w:pPr>
            <w:r>
              <w:rPr>
                <w:rFonts w:hint="eastAsia" w:ascii="宋体" w:hAnsi="宋体" w:cs="仿宋"/>
                <w:szCs w:val="21"/>
              </w:rPr>
              <w:t>关于进一步加强金融单位头寸押运工作的通知</w:t>
            </w:r>
          </w:p>
        </w:tc>
      </w:tr>
    </w:tbl>
    <w:p>
      <w:pPr>
        <w:pStyle w:val="32"/>
        <w:tabs>
          <w:tab w:val="right" w:leader="dot" w:pos="8306"/>
        </w:tabs>
        <w:spacing w:line="360" w:lineRule="auto"/>
        <w:outlineLvl w:val="0"/>
        <w:rPr>
          <w:rFonts w:ascii="宋体" w:hAnsi="宋体" w:cs="楷体"/>
          <w:b/>
          <w:i/>
          <w:iCs/>
          <w:szCs w:val="21"/>
        </w:rPr>
      </w:pPr>
      <w:bookmarkStart w:id="51" w:name="_Toc12281521"/>
    </w:p>
    <w:p>
      <w:pPr>
        <w:pStyle w:val="32"/>
        <w:tabs>
          <w:tab w:val="right" w:leader="dot" w:pos="8306"/>
        </w:tabs>
        <w:adjustRightInd w:val="0"/>
        <w:snapToGrid w:val="0"/>
        <w:spacing w:line="360" w:lineRule="auto"/>
        <w:ind w:left="420"/>
        <w:outlineLvl w:val="9"/>
        <w:rPr>
          <w:rFonts w:ascii="宋体" w:hAnsi="宋体" w:cs="楷体"/>
          <w:b/>
          <w:i/>
          <w:iCs/>
          <w:szCs w:val="21"/>
        </w:rPr>
      </w:pPr>
      <w:r>
        <w:rPr>
          <w:rFonts w:hint="eastAsia" w:ascii="宋体" w:hAnsi="宋体" w:cs="楷体"/>
          <w:b/>
          <w:szCs w:val="21"/>
        </w:rPr>
        <w:t>四、项目管控要求</w:t>
      </w:r>
      <w:bookmarkEnd w:id="51"/>
    </w:p>
    <w:p>
      <w:pPr>
        <w:pStyle w:val="195"/>
        <w:framePr w:wrap="auto" w:vAnchor="margin" w:hAnchor="text" w:yAlign="inline"/>
        <w:widowControl/>
        <w:tabs>
          <w:tab w:val="left" w:pos="120"/>
        </w:tabs>
        <w:adjustRightInd w:val="0"/>
        <w:spacing w:line="360" w:lineRule="auto"/>
        <w:ind w:firstLine="422" w:firstLineChars="200"/>
        <w:textAlignment w:val="baseline"/>
        <w:outlineLvl w:val="9"/>
        <w:rPr>
          <w:u w:val="single"/>
        </w:rPr>
      </w:pPr>
      <w:bookmarkStart w:id="52" w:name="_Toc12281522"/>
      <w:r>
        <w:rPr>
          <w:rFonts w:hint="eastAsia"/>
          <w:b/>
          <w:bCs/>
        </w:rPr>
        <w:t>（一）★</w:t>
      </w:r>
      <w:r>
        <w:rPr>
          <w:rFonts w:hint="eastAsia"/>
          <w:u w:val="single"/>
        </w:rPr>
        <w:t>人员配备要求</w:t>
      </w:r>
      <w:bookmarkEnd w:id="52"/>
    </w:p>
    <w:p>
      <w:pPr>
        <w:spacing w:line="360" w:lineRule="auto"/>
        <w:ind w:firstLine="420" w:firstLineChars="200"/>
        <w:outlineLvl w:val="9"/>
        <w:rPr>
          <w:rFonts w:ascii="宋体" w:hAnsi="宋体" w:cs="仿宋_GB2312"/>
          <w:szCs w:val="21"/>
        </w:rPr>
      </w:pPr>
      <w:r>
        <w:rPr>
          <w:rFonts w:hint="eastAsia" w:ascii="宋体" w:hAnsi="宋体" w:cs="仿宋_GB2312"/>
          <w:szCs w:val="21"/>
          <w:u w:val="single"/>
        </w:rPr>
        <w:t>投标人安排人员对视频画面进行每周7×24小时监控，对票款押运过程进行实时监控，</w:t>
      </w:r>
      <w:r>
        <w:rPr>
          <w:rFonts w:hint="eastAsia" w:ascii="宋体" w:hAnsi="宋体" w:cs="仿宋_GB2312"/>
          <w:szCs w:val="21"/>
        </w:rPr>
        <w:t>服务过程中发生可疑情况及时通知招标人现场工作人员和押运车组负责人并拨打110进行报警。</w:t>
      </w:r>
    </w:p>
    <w:p>
      <w:pPr>
        <w:pStyle w:val="195"/>
        <w:keepNext w:val="0"/>
        <w:keepLines w:val="0"/>
        <w:pageBreakBefore w:val="0"/>
        <w:framePr w:wrap="auto" w:vAnchor="margin" w:hAnchor="text" w:yAlign="inline"/>
        <w:widowControl/>
        <w:tabs>
          <w:tab w:val="left" w:pos="120"/>
        </w:tabs>
        <w:kinsoku/>
        <w:wordWrap/>
        <w:overflowPunct/>
        <w:topLinePunct w:val="0"/>
        <w:autoSpaceDE/>
        <w:autoSpaceDN/>
        <w:bidi w:val="0"/>
        <w:adjustRightInd w:val="0"/>
        <w:snapToGrid/>
        <w:spacing w:line="360" w:lineRule="auto"/>
        <w:ind w:left="0" w:firstLine="422" w:firstLineChars="200"/>
        <w:textAlignment w:val="baseline"/>
        <w:outlineLvl w:val="9"/>
        <w:rPr>
          <w:rFonts w:cs="仿宋_GB2312"/>
          <w:b/>
          <w:bCs/>
        </w:rPr>
      </w:pPr>
      <w:bookmarkStart w:id="53" w:name="_Toc12281523"/>
      <w:r>
        <w:rPr>
          <w:rFonts w:hint="eastAsia"/>
          <w:b/>
        </w:rPr>
        <w:t>（二）设备配备要求</w:t>
      </w:r>
      <w:bookmarkEnd w:id="53"/>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投标人要为现场作业人员提供必要的安全生产工器具及劳动防护用品。</w:t>
      </w:r>
    </w:p>
    <w:p>
      <w:pPr>
        <w:pStyle w:val="195"/>
        <w:keepNext w:val="0"/>
        <w:keepLines w:val="0"/>
        <w:pageBreakBefore w:val="0"/>
        <w:framePr w:wrap="auto" w:vAnchor="margin" w:hAnchor="text" w:yAlign="inline"/>
        <w:widowControl/>
        <w:tabs>
          <w:tab w:val="left" w:pos="120"/>
        </w:tabs>
        <w:kinsoku/>
        <w:wordWrap/>
        <w:overflowPunct/>
        <w:topLinePunct w:val="0"/>
        <w:autoSpaceDE/>
        <w:autoSpaceDN/>
        <w:bidi w:val="0"/>
        <w:adjustRightInd w:val="0"/>
        <w:snapToGrid/>
        <w:spacing w:line="360" w:lineRule="auto"/>
        <w:ind w:left="0" w:firstLine="422" w:firstLineChars="200"/>
        <w:textAlignment w:val="baseline"/>
        <w:outlineLvl w:val="9"/>
        <w:rPr>
          <w:b/>
        </w:rPr>
      </w:pPr>
      <w:bookmarkStart w:id="54" w:name="_Toc12281524"/>
      <w:r>
        <w:rPr>
          <w:rFonts w:hint="eastAsia"/>
          <w:b/>
        </w:rPr>
        <w:t>（三）安全管理规定</w:t>
      </w:r>
      <w:bookmarkEnd w:id="54"/>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1.遵守招标人相关管理规章制度，与招标人签订《运营公司承包商安全生产协议》，按照招标人安全管理架构要求组建项目安全管理体系，并落实安全生产责任制。</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2.所有本项目现场设备作业人员要遵守招标人《运营公司施工检修管理办法》等施工管理规定，并必须按照施工规范、方案和各项安全操作规程进行作业。</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3.所有现场作业人员进场前必须接受招标人组织的安全教育，经考核合格后，方可参与作业。作业前由现场作业负责人员向作业人员进行安全技术交底，交底记录留底备查。</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4.投标人管理人员及作业人员应树立“安全第一、预防为主”的思想，做到“不违章指挥、不违章操作、不伤害自己、不被别人伤害”，提高安全防护意识和自我保护能力。</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5.所有投标人管理人员及作业人员要熟练掌握消防设备的性能和使用方法，但不得乱动消防器材。遵守劳动纪律，服从指挥，严禁在作业现场睡觉、嬉戏。作业现场杜绝火种，严禁烟火（吸烟）。</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6.投标人作业人员进入作业现场，必须按要求穿戴工作服及劳保用品；严禁赤脚或穿拖鞋和着装不整进入作业现场。</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7.投标人作业负责人应严格执行运营公司请销点手续。作业完成后，应做好现场作业“三清”工作。</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8.各种电器设备和电力施工机械的金属外壳和金属支架均采用导线可靠接地。</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9.</w:t>
      </w:r>
      <w:r>
        <w:rPr>
          <w:rFonts w:ascii="宋体" w:hAnsi="宋体" w:cs="仿宋_GB2312"/>
          <w:szCs w:val="21"/>
        </w:rPr>
        <w:t>每台用电设备必须有各自专用的开关</w:t>
      </w:r>
      <w:r>
        <w:rPr>
          <w:rFonts w:hint="eastAsia" w:ascii="宋体" w:hAnsi="宋体" w:cs="仿宋_GB2312"/>
          <w:szCs w:val="21"/>
        </w:rPr>
        <w:t>器</w:t>
      </w:r>
      <w:r>
        <w:rPr>
          <w:rFonts w:ascii="宋体" w:hAnsi="宋体" w:cs="仿宋_GB2312"/>
          <w:szCs w:val="21"/>
        </w:rPr>
        <w:t>，严禁同一开关箱直接控制2台及2台以上设备</w:t>
      </w:r>
      <w:r>
        <w:rPr>
          <w:rFonts w:hint="eastAsia" w:ascii="宋体" w:hAnsi="宋体" w:cs="仿宋_GB2312"/>
          <w:szCs w:val="21"/>
        </w:rPr>
        <w:t>，严格按照“一箱</w:t>
      </w:r>
      <w:r>
        <w:rPr>
          <w:rFonts w:ascii="宋体" w:hAnsi="宋体" w:cs="仿宋_GB2312"/>
          <w:szCs w:val="21"/>
        </w:rPr>
        <w:t>一机一闸一漏</w:t>
      </w:r>
      <w:r>
        <w:rPr>
          <w:rFonts w:hint="eastAsia" w:ascii="宋体" w:hAnsi="宋体" w:cs="仿宋_GB2312"/>
          <w:szCs w:val="21"/>
        </w:rPr>
        <w:t>”(“</w:t>
      </w:r>
      <w:r>
        <w:rPr>
          <w:rFonts w:ascii="宋体" w:hAnsi="宋体" w:cs="仿宋_GB2312"/>
          <w:szCs w:val="21"/>
        </w:rPr>
        <w:t>一箱</w:t>
      </w:r>
      <w:r>
        <w:rPr>
          <w:rFonts w:hint="eastAsia" w:ascii="宋体" w:hAnsi="宋体" w:cs="仿宋_GB2312"/>
          <w:szCs w:val="21"/>
        </w:rPr>
        <w:t>”</w:t>
      </w:r>
      <w:r>
        <w:rPr>
          <w:rFonts w:ascii="宋体" w:hAnsi="宋体" w:cs="仿宋_GB2312"/>
          <w:szCs w:val="21"/>
        </w:rPr>
        <w:t>指一个专用开关箱，</w:t>
      </w:r>
      <w:r>
        <w:rPr>
          <w:rFonts w:hint="eastAsia" w:ascii="宋体" w:hAnsi="宋体" w:cs="仿宋_GB2312"/>
          <w:szCs w:val="21"/>
        </w:rPr>
        <w:t>“</w:t>
      </w:r>
      <w:r>
        <w:rPr>
          <w:rFonts w:ascii="宋体" w:hAnsi="宋体" w:cs="仿宋_GB2312"/>
          <w:szCs w:val="21"/>
        </w:rPr>
        <w:t>一机</w:t>
      </w:r>
      <w:r>
        <w:rPr>
          <w:rFonts w:hint="eastAsia" w:ascii="宋体" w:hAnsi="宋体" w:cs="仿宋_GB2312"/>
          <w:szCs w:val="21"/>
        </w:rPr>
        <w:t>”</w:t>
      </w:r>
      <w:r>
        <w:rPr>
          <w:rFonts w:ascii="宋体" w:hAnsi="宋体" w:cs="仿宋_GB2312"/>
          <w:szCs w:val="21"/>
        </w:rPr>
        <w:t>指一台用电设备，</w:t>
      </w:r>
      <w:r>
        <w:rPr>
          <w:rFonts w:hint="eastAsia" w:ascii="宋体" w:hAnsi="宋体" w:cs="仿宋_GB2312"/>
          <w:szCs w:val="21"/>
        </w:rPr>
        <w:t>“</w:t>
      </w:r>
      <w:r>
        <w:rPr>
          <w:rFonts w:ascii="宋体" w:hAnsi="宋体" w:cs="仿宋_GB2312"/>
          <w:szCs w:val="21"/>
        </w:rPr>
        <w:t>一闸</w:t>
      </w:r>
      <w:r>
        <w:rPr>
          <w:rFonts w:hint="eastAsia" w:ascii="宋体" w:hAnsi="宋体" w:cs="仿宋_GB2312"/>
          <w:szCs w:val="21"/>
        </w:rPr>
        <w:t>”</w:t>
      </w:r>
      <w:r>
        <w:rPr>
          <w:rFonts w:ascii="宋体" w:hAnsi="宋体" w:cs="仿宋_GB2312"/>
          <w:szCs w:val="21"/>
        </w:rPr>
        <w:t>指一条线路，</w:t>
      </w:r>
      <w:r>
        <w:rPr>
          <w:rFonts w:hint="eastAsia" w:ascii="宋体" w:hAnsi="宋体" w:cs="仿宋_GB2312"/>
          <w:szCs w:val="21"/>
        </w:rPr>
        <w:t>“</w:t>
      </w:r>
      <w:r>
        <w:rPr>
          <w:rFonts w:ascii="宋体" w:hAnsi="宋体" w:cs="仿宋_GB2312"/>
          <w:szCs w:val="21"/>
        </w:rPr>
        <w:t>一漏</w:t>
      </w:r>
      <w:r>
        <w:rPr>
          <w:rFonts w:hint="eastAsia" w:ascii="宋体" w:hAnsi="宋体" w:cs="仿宋_GB2312"/>
          <w:szCs w:val="21"/>
        </w:rPr>
        <w:t>”</w:t>
      </w:r>
      <w:r>
        <w:rPr>
          <w:rFonts w:ascii="宋体" w:hAnsi="宋体" w:cs="仿宋_GB2312"/>
          <w:szCs w:val="21"/>
        </w:rPr>
        <w:t>指一台漏电保护器</w:t>
      </w:r>
      <w:r>
        <w:rPr>
          <w:rFonts w:hint="eastAsia" w:ascii="宋体" w:hAnsi="宋体" w:cs="仿宋_GB2312"/>
          <w:szCs w:val="21"/>
        </w:rPr>
        <w:t>)</w:t>
      </w:r>
      <w:r>
        <w:rPr>
          <w:rFonts w:ascii="宋体" w:hAnsi="宋体" w:cs="仿宋_GB2312"/>
          <w:szCs w:val="21"/>
        </w:rPr>
        <w:t>。即每一开关箱只能联接控制一台与其相关的用电设备，包括一组不超过30A负荷的照明器。</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10.</w:t>
      </w:r>
      <w:r>
        <w:rPr>
          <w:rFonts w:hint="eastAsia" w:ascii="宋体" w:hAnsi="宋体"/>
          <w:b/>
          <w:bCs/>
          <w:szCs w:val="21"/>
        </w:rPr>
        <w:t>★</w:t>
      </w:r>
      <w:r>
        <w:rPr>
          <w:rFonts w:hint="eastAsia" w:ascii="宋体" w:hAnsi="宋体" w:cs="仿宋_GB2312"/>
          <w:szCs w:val="21"/>
          <w:u w:val="single"/>
        </w:rPr>
        <w:t>现场设备故障，投标人作业人员应在接到设备故障通知起60分钟内完成处理，特殊情况下故障恢复时间不超过24h，确保设备运行稳定可靠。</w:t>
      </w:r>
    </w:p>
    <w:p>
      <w:pPr>
        <w:pStyle w:val="195"/>
        <w:keepNext w:val="0"/>
        <w:keepLines w:val="0"/>
        <w:pageBreakBefore w:val="0"/>
        <w:framePr w:wrap="auto" w:vAnchor="margin" w:hAnchor="text" w:yAlign="inline"/>
        <w:widowControl/>
        <w:tabs>
          <w:tab w:val="left" w:pos="120"/>
        </w:tabs>
        <w:kinsoku/>
        <w:wordWrap/>
        <w:overflowPunct/>
        <w:topLinePunct w:val="0"/>
        <w:autoSpaceDE/>
        <w:autoSpaceDN/>
        <w:bidi w:val="0"/>
        <w:adjustRightInd w:val="0"/>
        <w:snapToGrid/>
        <w:spacing w:line="360" w:lineRule="auto"/>
        <w:ind w:left="0" w:firstLine="422" w:firstLineChars="200"/>
        <w:textAlignment w:val="baseline"/>
        <w:outlineLvl w:val="9"/>
        <w:rPr>
          <w:b/>
        </w:rPr>
      </w:pPr>
      <w:bookmarkStart w:id="55" w:name="_Toc12281525"/>
      <w:r>
        <w:rPr>
          <w:rFonts w:hint="eastAsia"/>
          <w:b/>
        </w:rPr>
        <w:t>（四）其他</w:t>
      </w:r>
      <w:bookmarkEnd w:id="55"/>
    </w:p>
    <w:p>
      <w:pPr>
        <w:keepNext w:val="0"/>
        <w:keepLines w:val="0"/>
        <w:pageBreakBefore w:val="0"/>
        <w:kinsoku/>
        <w:wordWrap/>
        <w:overflowPunct/>
        <w:topLinePunct w:val="0"/>
        <w:autoSpaceDE/>
        <w:autoSpaceDN/>
        <w:bidi w:val="0"/>
        <w:snapToGrid/>
        <w:spacing w:line="360" w:lineRule="auto"/>
        <w:ind w:left="0" w:firstLine="422" w:firstLineChars="200"/>
        <w:outlineLvl w:val="9"/>
        <w:rPr>
          <w:rFonts w:ascii="宋体" w:hAnsi="宋体" w:cs="仿宋_GB2312"/>
          <w:szCs w:val="21"/>
          <w:u w:val="single"/>
        </w:rPr>
      </w:pPr>
      <w:r>
        <w:rPr>
          <w:rFonts w:hint="eastAsia" w:ascii="宋体" w:hAnsi="宋体"/>
          <w:b/>
          <w:bCs/>
          <w:szCs w:val="21"/>
        </w:rPr>
        <w:t>★</w:t>
      </w:r>
      <w:r>
        <w:rPr>
          <w:rFonts w:hint="eastAsia" w:ascii="宋体" w:hAnsi="宋体" w:cs="仿宋_GB2312"/>
          <w:szCs w:val="21"/>
          <w:u w:val="single"/>
        </w:rPr>
        <w:t>投标人应具有保密意识。对参与票款押运的人员、车辆、时间、路线、押运物品、相关视频等机密事项，未经招标人许可，不得向任何第三方泄露。</w:t>
      </w:r>
    </w:p>
    <w:p>
      <w:pPr>
        <w:pStyle w:val="32"/>
        <w:keepNext w:val="0"/>
        <w:keepLines w:val="0"/>
        <w:pageBreakBefore w:val="0"/>
        <w:tabs>
          <w:tab w:val="right" w:leader="dot" w:pos="8306"/>
        </w:tabs>
        <w:kinsoku/>
        <w:wordWrap/>
        <w:overflowPunct/>
        <w:topLinePunct w:val="0"/>
        <w:autoSpaceDE/>
        <w:autoSpaceDN/>
        <w:bidi w:val="0"/>
        <w:snapToGrid/>
        <w:spacing w:line="360" w:lineRule="auto"/>
        <w:ind w:left="0" w:firstLine="422" w:firstLineChars="200"/>
        <w:outlineLvl w:val="9"/>
        <w:rPr>
          <w:rFonts w:ascii="宋体" w:hAnsi="宋体" w:cs="楷体"/>
          <w:b/>
          <w:i/>
          <w:iCs/>
          <w:szCs w:val="21"/>
        </w:rPr>
      </w:pPr>
      <w:bookmarkStart w:id="56" w:name="_Toc12281526"/>
      <w:r>
        <w:rPr>
          <w:rFonts w:hint="eastAsia" w:ascii="宋体" w:hAnsi="宋体" w:cs="楷体"/>
          <w:b/>
          <w:szCs w:val="21"/>
        </w:rPr>
        <w:t>五、项</w:t>
      </w:r>
      <w:bookmarkStart w:id="57" w:name="_Hlt2066522"/>
      <w:bookmarkStart w:id="58" w:name="_Hlt2066523"/>
      <w:r>
        <w:rPr>
          <w:rFonts w:hint="eastAsia" w:ascii="宋体" w:hAnsi="宋体" w:cs="楷体"/>
          <w:b/>
          <w:szCs w:val="21"/>
        </w:rPr>
        <w:t>目</w:t>
      </w:r>
      <w:bookmarkEnd w:id="57"/>
      <w:bookmarkEnd w:id="58"/>
      <w:r>
        <w:rPr>
          <w:rFonts w:hint="eastAsia" w:ascii="宋体" w:hAnsi="宋体" w:cs="楷体"/>
          <w:b/>
          <w:szCs w:val="21"/>
        </w:rPr>
        <w:t>实施要求</w:t>
      </w:r>
      <w:bookmarkEnd w:id="56"/>
    </w:p>
    <w:p>
      <w:pPr>
        <w:keepNext w:val="0"/>
        <w:keepLines w:val="0"/>
        <w:pageBreakBefore w:val="0"/>
        <w:kinsoku/>
        <w:wordWrap/>
        <w:overflowPunct/>
        <w:topLinePunct w:val="0"/>
        <w:autoSpaceDE/>
        <w:autoSpaceDN/>
        <w:bidi w:val="0"/>
        <w:snapToGrid/>
        <w:spacing w:line="360" w:lineRule="auto"/>
        <w:ind w:left="0" w:firstLine="422" w:firstLineChars="200"/>
        <w:outlineLvl w:val="9"/>
        <w:rPr>
          <w:rFonts w:ascii="宋体" w:hAnsi="宋体"/>
          <w:b/>
          <w:szCs w:val="21"/>
        </w:rPr>
      </w:pPr>
      <w:bookmarkStart w:id="59" w:name="_Toc12281527"/>
      <w:r>
        <w:rPr>
          <w:rFonts w:hint="eastAsia" w:ascii="宋体" w:hAnsi="宋体"/>
          <w:b/>
          <w:szCs w:val="21"/>
        </w:rPr>
        <w:t>（一）权利与义务</w:t>
      </w:r>
      <w:bookmarkEnd w:id="59"/>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bookmarkStart w:id="60" w:name="_Toc28195"/>
      <w:r>
        <w:rPr>
          <w:rFonts w:hint="eastAsia" w:ascii="宋体" w:hAnsi="宋体" w:cs="仿宋_GB2312"/>
          <w:szCs w:val="21"/>
        </w:rPr>
        <w:t>1.</w:t>
      </w:r>
      <w:bookmarkEnd w:id="60"/>
      <w:r>
        <w:rPr>
          <w:rFonts w:hint="eastAsia" w:ascii="宋体" w:hAnsi="宋体" w:cs="仿宋_GB2312"/>
          <w:szCs w:val="21"/>
        </w:rPr>
        <w:t>招标人</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招标人对投标人的监控服务情况和设备作业情况，进行定期或不定期的检查，如发现有不符合要求之处，应要求投标人进行整改。若不及时或拒绝整改的，招标人有权视情况给予相关处罚，并有权保留终止合同的权利。</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招标人应在投标人作业人员进场前组织其开展安全培训，并进行考核，考核合格，方允许其参与作业。</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招标人应为投标人作业人员进场作业提供必要的配合工作，并不定时对现场作业情况进行监督检查。</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bookmarkStart w:id="61" w:name="_Toc25257"/>
      <w:r>
        <w:rPr>
          <w:rFonts w:hint="eastAsia" w:ascii="宋体" w:hAnsi="宋体" w:cs="仿宋_GB2312"/>
          <w:szCs w:val="21"/>
        </w:rPr>
        <w:t>2.</w:t>
      </w:r>
      <w:bookmarkEnd w:id="61"/>
      <w:r>
        <w:rPr>
          <w:rFonts w:hint="eastAsia" w:ascii="宋体" w:hAnsi="宋体" w:cs="仿宋_GB2312"/>
          <w:szCs w:val="21"/>
        </w:rPr>
        <w:t>投标人</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投标人必须严格遵守国家及相关管理规定，如发生违规情况，招标人有权对投标人进行考核。</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因投标人原因造成设备故障、客伤、招标人或第三方财产或人身损害的，除负责赔偿责任外，还需向招标人赔付由招标人依据安全事故的性质、受伤乘客的人数、受伤害的程度、招标人的名誉、形象受损的范围和程度等确定的金额，并承担招标人因此产生的诉讼费、律师费等一切费用及承担相关法律责任。</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9"/>
        <w:rPr>
          <w:rFonts w:ascii="宋体" w:hAnsi="宋体" w:cs="仿宋_GB2312"/>
          <w:szCs w:val="21"/>
        </w:rPr>
      </w:pPr>
      <w:r>
        <w:rPr>
          <w:rFonts w:hint="eastAsia" w:ascii="宋体" w:hAnsi="宋体" w:cs="仿宋_GB2312"/>
          <w:szCs w:val="21"/>
        </w:rPr>
        <w:t>投标人须重视上岗员工的思想教育以及服务意识的培训，不得出现因投标人作业人员的恶劣行为从而影响车站正常运营，否则招标人将追究投标人的相应责任。</w:t>
      </w:r>
    </w:p>
    <w:p>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outlineLvl w:val="9"/>
        <w:rPr>
          <w:rFonts w:ascii="宋体" w:hAnsi="宋体"/>
          <w:b/>
          <w:szCs w:val="21"/>
        </w:rPr>
      </w:pPr>
      <w:bookmarkStart w:id="62" w:name="_Toc12281528"/>
      <w:r>
        <w:rPr>
          <w:rFonts w:hint="eastAsia" w:ascii="宋体" w:hAnsi="宋体"/>
          <w:b/>
          <w:szCs w:val="21"/>
        </w:rPr>
        <w:t>（二）项目实施内容</w:t>
      </w:r>
      <w:bookmarkEnd w:id="62"/>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9"/>
        <w:rPr>
          <w:rFonts w:ascii="宋体" w:hAnsi="宋体" w:cs="仿宋_GB2312"/>
          <w:szCs w:val="21"/>
        </w:rPr>
      </w:pPr>
      <w:r>
        <w:rPr>
          <w:rFonts w:hint="eastAsia" w:ascii="宋体" w:hAnsi="宋体" w:cs="仿宋_GB2312"/>
          <w:szCs w:val="21"/>
        </w:rPr>
        <w:t>1.本项目在5号线试运营前一个月内完成报警设备初装、视频监控和联网报警线路及平台接入。其中，前端网络传输设备、前端存储设备及相关对接线缆由投标人负责提供并安装布放；上门收款点前端摄像头由招标人提供。投标人负责完成联网报警设备的初装，初装费用由招标人负责。</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9"/>
        <w:rPr>
          <w:rFonts w:ascii="宋体" w:hAnsi="宋体" w:cs="仿宋_GB2312"/>
          <w:szCs w:val="21"/>
        </w:rPr>
      </w:pPr>
      <w:r>
        <w:rPr>
          <w:rFonts w:hint="eastAsia" w:ascii="宋体" w:hAnsi="宋体" w:cs="仿宋_GB2312"/>
          <w:szCs w:val="21"/>
        </w:rPr>
        <w:t>2.若本合同到期后，招标人未提出续签合同要求的，投标人可决定其投资的设备撤留，如撤走应在5个工作日内完成，撤走时应保留相关线缆，并配合新的单位完成监控平台的接入，方可进行项目履约验收。所有设备费用(含设备维修更换费用)均已包含在项目总价中，招标人不再为此支付任何费用。逾期未按要求撤走的设备，招标人自本合同到期后第6个工作日开始有权自行处置。</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9"/>
        <w:rPr>
          <w:rFonts w:ascii="宋体" w:hAnsi="宋体" w:cs="仿宋_GB2312"/>
          <w:szCs w:val="21"/>
        </w:rPr>
      </w:pPr>
      <w:r>
        <w:rPr>
          <w:rFonts w:hint="eastAsia" w:ascii="宋体" w:hAnsi="宋体" w:cs="仿宋_GB2312"/>
          <w:szCs w:val="21"/>
        </w:rPr>
        <w:t>3.投标人提供的2路视频（票务室视频和押运出入口视频）前端存储设备应满足90天存储要求。</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9"/>
        <w:rPr>
          <w:rFonts w:ascii="宋体" w:hAnsi="宋体" w:cs="仿宋_GB2312"/>
          <w:szCs w:val="21"/>
        </w:rPr>
      </w:pPr>
      <w:r>
        <w:rPr>
          <w:rFonts w:hint="eastAsia" w:ascii="宋体" w:hAnsi="宋体" w:cs="仿宋_GB2312"/>
          <w:szCs w:val="21"/>
        </w:rPr>
        <w:t>4.投标人应对采购范围中所列站点2路视频（票务室视频和押运出入口视频）进行票款押运过程视频监控服务；对采购范围中所列站点票务室进行24小时不间断联网报警服务；每半年提供一次全过程监控记录报请招标人确认。</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9"/>
        <w:rPr>
          <w:rFonts w:ascii="宋体" w:hAnsi="宋体" w:cs="仿宋_GB2312"/>
          <w:szCs w:val="21"/>
        </w:rPr>
      </w:pPr>
      <w:r>
        <w:rPr>
          <w:rFonts w:hint="eastAsia" w:ascii="宋体" w:hAnsi="宋体" w:cs="仿宋_GB2312"/>
          <w:szCs w:val="21"/>
        </w:rPr>
        <w:t>5.本项目服务期内解码器外侧视频监控和联网报警相关设备维护和更换均由投标人负责，且因此过程中导致监控不力所造成的损失由投标人负责。在本项目服务期的最后一个月，投标人应对本项目的视频监控和联网报警相关设备组织一次全面排查，对排查出的故障进行及时修复。</w:t>
      </w:r>
      <w:bookmarkStart w:id="63" w:name="_Toc12281529"/>
    </w:p>
    <w:p>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outlineLvl w:val="9"/>
        <w:rPr>
          <w:rFonts w:ascii="宋体" w:hAnsi="宋体"/>
          <w:b/>
          <w:szCs w:val="21"/>
        </w:rPr>
      </w:pPr>
      <w:r>
        <w:rPr>
          <w:rFonts w:hint="eastAsia" w:ascii="宋体" w:hAnsi="宋体"/>
          <w:b/>
          <w:szCs w:val="21"/>
        </w:rPr>
        <w:t>（三）设备分界</w:t>
      </w:r>
      <w:bookmarkEnd w:id="63"/>
    </w:p>
    <w:p>
      <w:pPr>
        <w:spacing w:line="360" w:lineRule="auto"/>
        <w:jc w:val="center"/>
        <w:outlineLvl w:val="1"/>
        <w:rPr>
          <w:rFonts w:ascii="宋体" w:hAnsi="宋体"/>
          <w:szCs w:val="21"/>
        </w:rPr>
      </w:pPr>
      <w:r>
        <w:rPr>
          <w:rFonts w:ascii="宋体" w:hAnsi="宋体"/>
          <w:szCs w:val="21"/>
        </w:rPr>
        <w:pict>
          <v:group id="组合 17" o:spid="_x0000_s1044" o:spt="203" style="height:170.05pt;width:419.75pt;" coordorigin="7360,2793" coordsize="7980,3684">
            <o:lock v:ext="edit"/>
            <v:group id="组合 34" o:spid="_x0000_s1045" o:spt="203" style="position:absolute;left:7360;top:2793;height:3684;width:7981;" coordorigin="2209,2480" coordsize="7981,3684"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v:shape id="图片 2" o:spid="_x0000_s1046" o:spt="75" type="#_x0000_t75" style="position:absolute;left:2209;top:2480;height:3493;width:7924;" filled="f" o:preferrelative="t" stroked="f" coordsize="21600,21600" o:gfxdata="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gOxC8AAAA&#10;2gAAAA8AAAAAAAAAAQAgAAAAIgAAAGRycy9kb3ducmV2LnhtbFBLAQIUABQAAAAIAIdO4kAzLwWe&#10;OwAAADkAAAAQAAAAAAAAAAEAIAAAAAsBAABkcnMvc2hhcGV4bWwueG1sUEsFBgAAAAAGAAYAWwEA&#10;ALUDAAAAAA==&#10;">
                <v:path/>
                <v:fill on="f" focussize="0,0"/>
                <v:stroke on="f" joinstyle="miter"/>
                <v:imagedata r:id="rId11" o:title=""/>
                <o:lock v:ext="edit" aspectratio="t"/>
              </v:shape>
              <v:group id="组合 33" o:spid="_x0000_s1047" o:spt="203" style="position:absolute;left:2212;top:2586;height:3578;width:7978;" coordorigin="2212,2586" coordsize="7978,3578"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v:shape id="_x0000_s1048" o:spid="_x0000_s1048" o:spt="202" type="#_x0000_t202" style="position:absolute;left:2407;top:2753;height:483;width:1063;"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path/>
                  <v:fill focussize="0,0"/>
                  <v:stroke joinstyle="miter"/>
                  <v:imagedata o:title=""/>
                  <o:lock v:ext="edit"/>
                  <v:textbox>
                    <w:txbxContent>
                      <w:p>
                        <w:pPr>
                          <w:jc w:val="center"/>
                          <w:rPr>
                            <w:rFonts w:eastAsiaTheme="minorEastAsia"/>
                          </w:rPr>
                        </w:pPr>
                        <w:r>
                          <w:rPr>
                            <w:rFonts w:hint="eastAsia"/>
                          </w:rPr>
                          <w:t>投标人</w:t>
                        </w:r>
                      </w:p>
                    </w:txbxContent>
                  </v:textbox>
                </v:shape>
                <v:shape id="_x0000_s1049" o:spid="_x0000_s1049" o:spt="202" type="#_x0000_t202" style="position:absolute;left:8982;top:5555;height:483;width:1063;"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path/>
                  <v:fill focussize="0,0"/>
                  <v:stroke joinstyle="miter"/>
                  <v:imagedata o:title=""/>
                  <o:lock v:ext="edit"/>
                  <v:textbox>
                    <w:txbxContent>
                      <w:p>
                        <w:pPr>
                          <w:jc w:val="center"/>
                          <w:rPr>
                            <w:rFonts w:eastAsiaTheme="minorEastAsia"/>
                          </w:rPr>
                        </w:pPr>
                        <w:r>
                          <w:rPr>
                            <w:rFonts w:hint="eastAsia"/>
                          </w:rPr>
                          <w:t>招标人</w:t>
                        </w:r>
                      </w:p>
                    </w:txbxContent>
                  </v:textbox>
                </v:shape>
                <v:group id="组合 32" o:spid="_x0000_s1050" o:spt="203" style="position:absolute;left:2212;top:2586;height:3578;width:7978;" coordorigin="2212,2586" coordsize="7978,3578"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v:rect id="_x0000_s1051" o:spid="_x0000_s1051" o:spt="1" style="position:absolute;left:2224;top:2586;height:3578;width:7967;v-text-anchor:middle;" filled="f" coordsize="21600,21600" o:gfxdata="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TUqe/&#10;AAAA2wAAAA8AAAAAAAAAAQAgAAAAIgAAAGRycy9kb3ducmV2LnhtbFBLAQIUABQAAAAIAIdO4kAz&#10;LwWeOwAAADkAAAAQAAAAAAAAAAEAIAAAAA4BAABkcnMvc2hhcGV4bWwueG1sUEsFBgAAAAAGAAYA&#10;WwEAALgDAAAAAA==&#10;">
                    <v:path/>
                    <v:fill on="f" focussize="0,0"/>
                    <v:stroke weight="2pt" joinstyle="round"/>
                    <v:imagedata o:title=""/>
                    <o:lock v:ext="edit"/>
                  </v:rect>
                  <v:line id="直接连接符 28" o:spid="_x0000_s1052" o:spt="20" style="position:absolute;left:2212;top:4859;height:12;width:5100;" coordsize="21600,21600" o:gfxdata="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JhYTugAAANsA&#10;AAAPAAAAAAAAAAEAIAAAACIAAABkcnMvZG93bnJldi54bWxQSwECFAAUAAAACACHTuJAMy8FnjsA&#10;AAA5AAAAEAAAAAAAAAABACAAAAAJAQAAZHJzL3NoYXBleG1sLnhtbFBLBQYAAAAABgAGAFsBAACz&#10;AwAAAAA=&#10;">
                    <v:path arrowok="t"/>
                    <v:fill focussize="0,0"/>
                    <v:stroke/>
                    <v:imagedata o:title=""/>
                    <o:lock v:ext="edit"/>
                  </v:line>
                  <v:line id="直接连接符 29" o:spid="_x0000_s1053" o:spt="20" style="position:absolute;left:7298;top:2588;height:2275;width:0;" coordsize="21600,21600" o:gfxdata="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rOIvQAA&#10;ANsAAAAPAAAAAAAAAAEAIAAAACIAAABkcnMvZG93bnJldi54bWxQSwECFAAUAAAACACHTuJAMy8F&#10;njsAAAA5AAAAEAAAAAAAAAABACAAAAAMAQAAZHJzL3NoYXBleG1sLnhtbFBLBQYAAAAABgAGAFsB&#10;AAC2AwAAAAA=&#10;">
                    <v:path arrowok="t"/>
                    <v:fill focussize="0,0"/>
                    <v:stroke/>
                    <v:imagedata o:title=""/>
                    <o:lock v:ext="edit"/>
                  </v:line>
                </v:group>
              </v:group>
            </v:group>
            <v:shape id="文本框 1" o:spid="_x0000_s1054" o:spt="202" type="#_x0000_t202" style="position:absolute;left:11236;top:5874;height:483;width:1063;"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path/>
              <v:fill focussize="0,0"/>
              <v:stroke joinstyle="miter"/>
              <v:imagedata o:title=""/>
              <o:lock v:ext="edit"/>
              <v:textbox>
                <w:txbxContent>
                  <w:p>
                    <w:pPr>
                      <w:jc w:val="center"/>
                      <w:rPr>
                        <w:rFonts w:eastAsiaTheme="minorEastAsia"/>
                      </w:rPr>
                    </w:pPr>
                    <w:r>
                      <w:rPr>
                        <w:rFonts w:hint="eastAsia"/>
                      </w:rPr>
                      <w:t>招标人</w:t>
                    </w:r>
                  </w:p>
                </w:txbxContent>
              </v:textbox>
            </v:shape>
            <w10:wrap type="none"/>
            <w10:anchorlock/>
          </v:group>
        </w:pict>
      </w:r>
    </w:p>
    <w:p>
      <w:pPr>
        <w:spacing w:line="360" w:lineRule="auto"/>
        <w:jc w:val="center"/>
        <w:outlineLvl w:val="9"/>
        <w:rPr>
          <w:rFonts w:ascii="宋体" w:hAnsi="宋体"/>
          <w:szCs w:val="21"/>
        </w:rPr>
      </w:pPr>
      <w:r>
        <w:rPr>
          <w:rFonts w:hint="eastAsia" w:ascii="宋体" w:hAnsi="宋体"/>
          <w:szCs w:val="21"/>
        </w:rPr>
        <w:t>图1  设备分界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仿宋_GB2312"/>
          <w:szCs w:val="21"/>
        </w:rPr>
      </w:pPr>
      <w:r>
        <w:rPr>
          <w:rFonts w:hint="eastAsia" w:ascii="宋体" w:hAnsi="宋体" w:cs="仿宋_GB2312"/>
          <w:szCs w:val="21"/>
        </w:rPr>
        <w:t>设备分界如图1所示，专用通信设备室解码器外侧为分界，解码器外侧视频监控和联网报警相关设备由投标人负责提供、安装、调试及服务期内故障维护。解码器外侧视频监控设备产权归投标人所有，联网报警设备产权归招标人所有。设备分界图中联网报警设备、传输设备、录像存储设备、解码器之间的连接线缆，其产权归招标人所有，服务期内的所有故障维护由投标人负责。解码器及解码器内侧部分由招标人负责。具体分界如表五：</w:t>
      </w:r>
    </w:p>
    <w:tbl>
      <w:tblPr>
        <w:tblStyle w:val="47"/>
        <w:tblW w:w="8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715"/>
        <w:gridCol w:w="2600"/>
        <w:gridCol w:w="1547"/>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jc w:val="center"/>
        </w:trPr>
        <w:tc>
          <w:tcPr>
            <w:tcW w:w="8514" w:type="dxa"/>
            <w:gridSpan w:val="5"/>
            <w:vAlign w:val="center"/>
          </w:tcPr>
          <w:p>
            <w:pPr>
              <w:jc w:val="center"/>
              <w:rPr>
                <w:b/>
              </w:rPr>
            </w:pPr>
            <w:r>
              <w:rPr>
                <w:rFonts w:hint="eastAsia"/>
                <w:b/>
              </w:rPr>
              <w:t>表五</w:t>
            </w:r>
            <w:r>
              <w:rPr>
                <w:rFonts w:hint="eastAsia"/>
                <w:b/>
                <w:lang w:val="en-US" w:eastAsia="zh-CN"/>
              </w:rPr>
              <w:t xml:space="preserve"> </w:t>
            </w:r>
            <w:r>
              <w:rPr>
                <w:rFonts w:hint="eastAsia"/>
                <w:b/>
              </w:rPr>
              <w:t xml:space="preserve"> 设备线缆分界表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820" w:type="dxa"/>
            <w:vAlign w:val="center"/>
          </w:tcPr>
          <w:p>
            <w:pPr>
              <w:jc w:val="center"/>
            </w:pPr>
            <w:r>
              <w:rPr>
                <w:rFonts w:hint="eastAsia"/>
              </w:rPr>
              <w:t>序号</w:t>
            </w:r>
          </w:p>
        </w:tc>
        <w:tc>
          <w:tcPr>
            <w:tcW w:w="2715" w:type="dxa"/>
            <w:vAlign w:val="center"/>
          </w:tcPr>
          <w:p>
            <w:pPr>
              <w:jc w:val="center"/>
            </w:pPr>
            <w:r>
              <w:rPr>
                <w:rFonts w:hint="eastAsia"/>
              </w:rPr>
              <w:t>设备名称</w:t>
            </w:r>
          </w:p>
        </w:tc>
        <w:tc>
          <w:tcPr>
            <w:tcW w:w="2600" w:type="dxa"/>
            <w:vAlign w:val="center"/>
          </w:tcPr>
          <w:p>
            <w:pPr>
              <w:jc w:val="center"/>
            </w:pPr>
            <w:r>
              <w:rPr>
                <w:rFonts w:hint="eastAsia"/>
              </w:rPr>
              <w:t>安装、调试、维护</w:t>
            </w:r>
          </w:p>
        </w:tc>
        <w:tc>
          <w:tcPr>
            <w:tcW w:w="1547" w:type="dxa"/>
            <w:vAlign w:val="center"/>
          </w:tcPr>
          <w:p>
            <w:pPr>
              <w:jc w:val="center"/>
            </w:pPr>
            <w:r>
              <w:rPr>
                <w:rFonts w:hint="eastAsia"/>
              </w:rPr>
              <w:t>产权归属</w:t>
            </w:r>
          </w:p>
        </w:tc>
        <w:tc>
          <w:tcPr>
            <w:tcW w:w="832"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820" w:type="dxa"/>
            <w:vAlign w:val="center"/>
          </w:tcPr>
          <w:p>
            <w:pPr>
              <w:jc w:val="center"/>
            </w:pPr>
            <w:r>
              <w:rPr>
                <w:rFonts w:hint="eastAsia"/>
              </w:rPr>
              <w:t>1</w:t>
            </w:r>
          </w:p>
        </w:tc>
        <w:tc>
          <w:tcPr>
            <w:tcW w:w="2715" w:type="dxa"/>
            <w:vAlign w:val="center"/>
          </w:tcPr>
          <w:p>
            <w:pPr>
              <w:jc w:val="center"/>
            </w:pPr>
            <w:r>
              <w:rPr>
                <w:rFonts w:hint="eastAsia"/>
              </w:rPr>
              <w:t>解码器</w:t>
            </w:r>
          </w:p>
        </w:tc>
        <w:tc>
          <w:tcPr>
            <w:tcW w:w="2600" w:type="dxa"/>
            <w:vAlign w:val="center"/>
          </w:tcPr>
          <w:p>
            <w:pPr>
              <w:jc w:val="center"/>
            </w:pPr>
            <w:r>
              <w:rPr>
                <w:rFonts w:hint="eastAsia"/>
              </w:rPr>
              <w:t>招标人</w:t>
            </w:r>
          </w:p>
        </w:tc>
        <w:tc>
          <w:tcPr>
            <w:tcW w:w="1547" w:type="dxa"/>
            <w:vAlign w:val="center"/>
          </w:tcPr>
          <w:p>
            <w:pPr>
              <w:jc w:val="center"/>
            </w:pPr>
            <w:r>
              <w:rPr>
                <w:rFonts w:hint="eastAsia"/>
              </w:rPr>
              <w:t>招标人</w:t>
            </w:r>
          </w:p>
        </w:tc>
        <w:tc>
          <w:tcPr>
            <w:tcW w:w="83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820" w:type="dxa"/>
            <w:vAlign w:val="center"/>
          </w:tcPr>
          <w:p>
            <w:pPr>
              <w:jc w:val="center"/>
            </w:pPr>
            <w:r>
              <w:rPr>
                <w:rFonts w:hint="eastAsia"/>
              </w:rPr>
              <w:t>2</w:t>
            </w:r>
          </w:p>
        </w:tc>
        <w:tc>
          <w:tcPr>
            <w:tcW w:w="2715" w:type="dxa"/>
            <w:vAlign w:val="center"/>
          </w:tcPr>
          <w:p>
            <w:pPr>
              <w:jc w:val="center"/>
            </w:pPr>
            <w:r>
              <w:rPr>
                <w:rFonts w:hint="eastAsia"/>
              </w:rPr>
              <w:t>联网报警</w:t>
            </w:r>
          </w:p>
        </w:tc>
        <w:tc>
          <w:tcPr>
            <w:tcW w:w="2600" w:type="dxa"/>
            <w:vAlign w:val="center"/>
          </w:tcPr>
          <w:p>
            <w:pPr>
              <w:jc w:val="center"/>
            </w:pPr>
            <w:r>
              <w:rPr>
                <w:rFonts w:hint="eastAsia"/>
              </w:rPr>
              <w:t>投标人</w:t>
            </w:r>
          </w:p>
        </w:tc>
        <w:tc>
          <w:tcPr>
            <w:tcW w:w="1547" w:type="dxa"/>
            <w:vAlign w:val="center"/>
          </w:tcPr>
          <w:p>
            <w:pPr>
              <w:jc w:val="center"/>
            </w:pPr>
            <w:r>
              <w:rPr>
                <w:rFonts w:hint="eastAsia"/>
              </w:rPr>
              <w:t>招标人</w:t>
            </w:r>
          </w:p>
        </w:tc>
        <w:tc>
          <w:tcPr>
            <w:tcW w:w="83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820" w:type="dxa"/>
            <w:vAlign w:val="center"/>
          </w:tcPr>
          <w:p>
            <w:pPr>
              <w:jc w:val="center"/>
            </w:pPr>
            <w:r>
              <w:rPr>
                <w:rFonts w:hint="eastAsia"/>
              </w:rPr>
              <w:t>3</w:t>
            </w:r>
          </w:p>
        </w:tc>
        <w:tc>
          <w:tcPr>
            <w:tcW w:w="2715" w:type="dxa"/>
            <w:vAlign w:val="center"/>
          </w:tcPr>
          <w:p>
            <w:pPr>
              <w:jc w:val="center"/>
            </w:pPr>
            <w:r>
              <w:rPr>
                <w:rFonts w:hint="eastAsia"/>
              </w:rPr>
              <w:t>传输设备</w:t>
            </w:r>
          </w:p>
        </w:tc>
        <w:tc>
          <w:tcPr>
            <w:tcW w:w="2600" w:type="dxa"/>
            <w:vAlign w:val="center"/>
          </w:tcPr>
          <w:p>
            <w:pPr>
              <w:jc w:val="center"/>
            </w:pPr>
            <w:r>
              <w:rPr>
                <w:rFonts w:hint="eastAsia"/>
              </w:rPr>
              <w:t>投标人</w:t>
            </w:r>
          </w:p>
        </w:tc>
        <w:tc>
          <w:tcPr>
            <w:tcW w:w="1547" w:type="dxa"/>
            <w:vAlign w:val="center"/>
          </w:tcPr>
          <w:p>
            <w:pPr>
              <w:jc w:val="center"/>
            </w:pPr>
            <w:r>
              <w:rPr>
                <w:rFonts w:hint="eastAsia"/>
              </w:rPr>
              <w:t>投标人</w:t>
            </w:r>
          </w:p>
        </w:tc>
        <w:tc>
          <w:tcPr>
            <w:tcW w:w="83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820" w:type="dxa"/>
            <w:vAlign w:val="center"/>
          </w:tcPr>
          <w:p>
            <w:pPr>
              <w:jc w:val="center"/>
            </w:pPr>
            <w:r>
              <w:rPr>
                <w:rFonts w:hint="eastAsia"/>
              </w:rPr>
              <w:t>4</w:t>
            </w:r>
          </w:p>
        </w:tc>
        <w:tc>
          <w:tcPr>
            <w:tcW w:w="2715" w:type="dxa"/>
            <w:vAlign w:val="center"/>
          </w:tcPr>
          <w:p>
            <w:pPr>
              <w:jc w:val="center"/>
            </w:pPr>
            <w:r>
              <w:rPr>
                <w:rFonts w:hint="eastAsia"/>
              </w:rPr>
              <w:t>录像存储设备</w:t>
            </w:r>
          </w:p>
        </w:tc>
        <w:tc>
          <w:tcPr>
            <w:tcW w:w="2600" w:type="dxa"/>
            <w:vAlign w:val="center"/>
          </w:tcPr>
          <w:p>
            <w:pPr>
              <w:jc w:val="center"/>
            </w:pPr>
            <w:r>
              <w:rPr>
                <w:rFonts w:hint="eastAsia"/>
              </w:rPr>
              <w:t>投标人</w:t>
            </w:r>
          </w:p>
        </w:tc>
        <w:tc>
          <w:tcPr>
            <w:tcW w:w="1547" w:type="dxa"/>
            <w:vAlign w:val="center"/>
          </w:tcPr>
          <w:p>
            <w:pPr>
              <w:jc w:val="center"/>
            </w:pPr>
            <w:r>
              <w:rPr>
                <w:rFonts w:hint="eastAsia"/>
              </w:rPr>
              <w:t>投标人</w:t>
            </w:r>
          </w:p>
        </w:tc>
        <w:tc>
          <w:tcPr>
            <w:tcW w:w="83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820" w:type="dxa"/>
            <w:vAlign w:val="center"/>
          </w:tcPr>
          <w:p>
            <w:pPr>
              <w:jc w:val="center"/>
            </w:pPr>
            <w:r>
              <w:rPr>
                <w:rFonts w:hint="eastAsia"/>
              </w:rPr>
              <w:t>5</w:t>
            </w:r>
          </w:p>
        </w:tc>
        <w:tc>
          <w:tcPr>
            <w:tcW w:w="2715" w:type="dxa"/>
            <w:vAlign w:val="center"/>
          </w:tcPr>
          <w:p>
            <w:pPr>
              <w:jc w:val="center"/>
            </w:pPr>
            <w:r>
              <w:rPr>
                <w:rFonts w:hint="eastAsia"/>
              </w:rPr>
              <w:t>同轴电缆、网线</w:t>
            </w:r>
          </w:p>
        </w:tc>
        <w:tc>
          <w:tcPr>
            <w:tcW w:w="2600" w:type="dxa"/>
            <w:vAlign w:val="center"/>
          </w:tcPr>
          <w:p>
            <w:pPr>
              <w:jc w:val="center"/>
            </w:pPr>
            <w:r>
              <w:rPr>
                <w:rFonts w:hint="eastAsia"/>
              </w:rPr>
              <w:t>投标人</w:t>
            </w:r>
          </w:p>
        </w:tc>
        <w:tc>
          <w:tcPr>
            <w:tcW w:w="1547" w:type="dxa"/>
            <w:vAlign w:val="center"/>
          </w:tcPr>
          <w:p>
            <w:pPr>
              <w:jc w:val="center"/>
            </w:pPr>
            <w:r>
              <w:rPr>
                <w:rFonts w:hint="eastAsia"/>
              </w:rPr>
              <w:t>招标人</w:t>
            </w:r>
          </w:p>
        </w:tc>
        <w:tc>
          <w:tcPr>
            <w:tcW w:w="832" w:type="dxa"/>
            <w:vAlign w:val="center"/>
          </w:tcPr>
          <w:p>
            <w:pPr>
              <w:jc w:val="center"/>
            </w:pPr>
          </w:p>
        </w:tc>
      </w:tr>
    </w:tbl>
    <w:p>
      <w:pPr>
        <w:pStyle w:val="32"/>
        <w:tabs>
          <w:tab w:val="right" w:leader="dot" w:pos="8306"/>
        </w:tabs>
        <w:spacing w:line="360" w:lineRule="auto"/>
        <w:ind w:firstLine="422" w:firstLineChars="200"/>
        <w:outlineLvl w:val="0"/>
        <w:rPr>
          <w:rFonts w:ascii="宋体" w:hAnsi="宋体"/>
          <w:b/>
          <w:i/>
          <w:iCs/>
          <w:szCs w:val="21"/>
        </w:rPr>
      </w:pPr>
    </w:p>
    <w:p>
      <w:pPr>
        <w:pStyle w:val="3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黑体"/>
          <w:b/>
          <w:i/>
          <w:iCs/>
          <w:szCs w:val="21"/>
        </w:rPr>
      </w:pPr>
      <w:r>
        <w:fldChar w:fldCharType="begin"/>
      </w:r>
      <w:r>
        <w:instrText xml:space="preserve"> HYPERLINK \l "_Toc28783" </w:instrText>
      </w:r>
      <w:r>
        <w:fldChar w:fldCharType="separate"/>
      </w:r>
      <w:bookmarkStart w:id="64" w:name="_Toc12281530"/>
      <w:r>
        <w:rPr>
          <w:rFonts w:hint="eastAsia" w:ascii="宋体" w:hAnsi="宋体" w:cs="黑体"/>
          <w:b/>
          <w:szCs w:val="21"/>
        </w:rPr>
        <w:t>六、项目验收</w:t>
      </w:r>
      <w:bookmarkEnd w:id="64"/>
      <w:r>
        <w:rPr>
          <w:rFonts w:hint="eastAsia" w:ascii="宋体" w:hAnsi="宋体" w:cs="黑体"/>
          <w:b/>
          <w:szCs w:val="21"/>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Cs w:val="21"/>
        </w:rPr>
      </w:pPr>
      <w:bookmarkStart w:id="65" w:name="_Toc12281531"/>
      <w:r>
        <w:rPr>
          <w:rFonts w:hint="eastAsia" w:ascii="宋体" w:hAnsi="宋体"/>
          <w:szCs w:val="21"/>
        </w:rPr>
        <w:t>（一）验收小组</w:t>
      </w:r>
      <w:bookmarkEnd w:id="6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仿宋_GB2312"/>
          <w:szCs w:val="21"/>
        </w:rPr>
      </w:pPr>
      <w:r>
        <w:rPr>
          <w:rFonts w:hint="eastAsia" w:ascii="宋体" w:hAnsi="宋体" w:cs="仿宋_GB2312"/>
          <w:szCs w:val="21"/>
        </w:rPr>
        <w:t>验收小组由招标人相关人员组成，成员不少于3人。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Cs w:val="21"/>
        </w:rPr>
      </w:pPr>
      <w:bookmarkStart w:id="66" w:name="_Toc12281532"/>
      <w:r>
        <w:rPr>
          <w:rFonts w:hint="eastAsia" w:ascii="宋体" w:hAnsi="宋体"/>
          <w:szCs w:val="21"/>
        </w:rPr>
        <w:t>（二）验收周期</w:t>
      </w:r>
      <w:bookmarkEnd w:id="6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仿宋_GB2312"/>
          <w:szCs w:val="21"/>
        </w:rPr>
      </w:pPr>
      <w:r>
        <w:rPr>
          <w:rFonts w:hint="eastAsia" w:ascii="宋体" w:hAnsi="宋体" w:cs="仿宋_GB2312"/>
          <w:szCs w:val="21"/>
        </w:rPr>
        <w:t>此服务项目半年验收一次，投标人须提供服务周期内的服务报告、投标人服务单等招标人所需资料进行验收，招标人将安排人员在服务周期内不定期对服务质量进行抽查，发现不符合服务质量要求的内容将对投标人进行考核，考核标准参考质量考核标准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Cs w:val="21"/>
        </w:rPr>
      </w:pPr>
      <w:bookmarkStart w:id="67" w:name="_Toc12281533"/>
      <w:r>
        <w:rPr>
          <w:rFonts w:hint="eastAsia" w:ascii="宋体" w:hAnsi="宋体"/>
          <w:szCs w:val="21"/>
        </w:rPr>
        <w:t>（三）验收标准</w:t>
      </w:r>
      <w:bookmarkEnd w:id="6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仿宋_GB2312"/>
          <w:szCs w:val="21"/>
        </w:rPr>
      </w:pPr>
      <w:r>
        <w:rPr>
          <w:rFonts w:hint="eastAsia" w:ascii="宋体" w:hAnsi="宋体" w:cs="仿宋_GB2312"/>
          <w:szCs w:val="21"/>
        </w:rPr>
        <w:t>1.招标人有权根据合同规定的服务范围、内容以及合同附件对投标人提供的服务进行验收并进行不定期检查，所有服务应符合合同、竞争性谈判文件及《运营公司承包商安全管理办法》等文件的要求。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仿宋_GB2312"/>
          <w:szCs w:val="21"/>
        </w:rPr>
      </w:pPr>
      <w:r>
        <w:rPr>
          <w:rFonts w:hint="eastAsia" w:ascii="宋体" w:hAnsi="宋体" w:cs="仿宋_GB2312"/>
          <w:szCs w:val="21"/>
        </w:rPr>
        <w:t>2.招标人有权安排专人全面检查并根据现场实际情况要求投标人现场整改或按照《整改通知书》的要求跟进处理。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仿宋_GB2312"/>
          <w:szCs w:val="21"/>
        </w:rPr>
      </w:pPr>
      <w:r>
        <w:rPr>
          <w:rFonts w:hint="eastAsia" w:ascii="宋体" w:hAnsi="宋体" w:cs="仿宋_GB2312"/>
          <w:szCs w:val="21"/>
        </w:rPr>
        <w:t>3.投标人管理人员针对本项目提供的服务不少于4次现场检查，检查的记录留底备查。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仿宋_GB2312"/>
          <w:szCs w:val="21"/>
        </w:rPr>
      </w:pPr>
      <w:r>
        <w:rPr>
          <w:rFonts w:hint="eastAsia" w:ascii="宋体" w:hAnsi="宋体" w:cs="仿宋_GB2312"/>
          <w:szCs w:val="21"/>
        </w:rPr>
        <w:t>4.投标人按照要求在服务周期结束后的5个工作日内以书面形式提交验收资料，相关报告经招标人确认达到合同要求的技术及质量标准，且服务过程中未发生发现可疑情况而没有及时通知招标人现场工作人员和押运组负责人并及时拨打110进行报警的情形，视为验收合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theme="minorEastAsia"/>
          <w:szCs w:val="21"/>
        </w:rPr>
      </w:pPr>
      <w:r>
        <w:rPr>
          <w:rFonts w:hint="eastAsia" w:ascii="宋体" w:hAnsi="宋体" w:cs="仿宋_GB2312"/>
          <w:szCs w:val="21"/>
        </w:rPr>
        <w:t>5.</w:t>
      </w:r>
      <w:bookmarkStart w:id="68" w:name="_Toc30358"/>
      <w:bookmarkStart w:id="69" w:name="_Toc2952103"/>
      <w:bookmarkStart w:id="70" w:name="_Toc3219723"/>
      <w:bookmarkStart w:id="71" w:name="_Toc2935114"/>
      <w:r>
        <w:rPr>
          <w:rFonts w:hint="eastAsia" w:ascii="宋体" w:hAnsi="宋体" w:cs="仿宋_GB2312"/>
          <w:szCs w:val="21"/>
        </w:rPr>
        <w:t>招标人根据以下验收资料进行验收（包括但不限于）</w:t>
      </w:r>
      <w:bookmarkEnd w:id="68"/>
      <w:bookmarkEnd w:id="69"/>
      <w:bookmarkEnd w:id="70"/>
      <w:bookmarkEnd w:id="71"/>
      <w:r>
        <w:rPr>
          <w:rFonts w:hint="eastAsia" w:ascii="宋体" w:hAnsi="宋体" w:cs="仿宋_GB2312"/>
          <w:szCs w:val="21"/>
        </w:rPr>
        <w:t>。验收资料清单详见表六：</w:t>
      </w:r>
    </w:p>
    <w:tbl>
      <w:tblPr>
        <w:tblStyle w:val="46"/>
        <w:tblW w:w="8819" w:type="dxa"/>
        <w:jc w:val="center"/>
        <w:tblInd w:w="1157" w:type="dxa"/>
        <w:tblLayout w:type="fixed"/>
        <w:tblCellMar>
          <w:top w:w="0" w:type="dxa"/>
          <w:left w:w="108" w:type="dxa"/>
          <w:bottom w:w="0" w:type="dxa"/>
          <w:right w:w="108" w:type="dxa"/>
        </w:tblCellMar>
      </w:tblPr>
      <w:tblGrid>
        <w:gridCol w:w="825"/>
        <w:gridCol w:w="2303"/>
        <w:gridCol w:w="5691"/>
      </w:tblGrid>
      <w:tr>
        <w:tblPrEx>
          <w:tblLayout w:type="fixed"/>
          <w:tblCellMar>
            <w:top w:w="0" w:type="dxa"/>
            <w:left w:w="108" w:type="dxa"/>
            <w:bottom w:w="0" w:type="dxa"/>
            <w:right w:w="108" w:type="dxa"/>
          </w:tblCellMar>
        </w:tblPrEx>
        <w:trPr>
          <w:trHeight w:val="540" w:hRule="atLeast"/>
          <w:jc w:val="center"/>
        </w:trPr>
        <w:tc>
          <w:tcPr>
            <w:tcW w:w="8819"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theme="minorEastAsia"/>
                <w:b/>
                <w:bCs/>
                <w:color w:val="000000"/>
                <w:szCs w:val="21"/>
              </w:rPr>
            </w:pPr>
            <w:r>
              <w:rPr>
                <w:rFonts w:hint="eastAsia" w:ascii="宋体" w:hAnsi="宋体" w:cs="仿宋"/>
                <w:b/>
                <w:bCs/>
                <w:color w:val="000000"/>
                <w:szCs w:val="21"/>
              </w:rPr>
              <w:t>表六  验收标准表</w:t>
            </w:r>
          </w:p>
        </w:tc>
      </w:tr>
      <w:tr>
        <w:tblPrEx>
          <w:tblLayout w:type="fixed"/>
          <w:tblCellMar>
            <w:top w:w="0" w:type="dxa"/>
            <w:left w:w="108" w:type="dxa"/>
            <w:bottom w:w="0" w:type="dxa"/>
            <w:right w:w="108" w:type="dxa"/>
          </w:tblCellMar>
        </w:tblPrEx>
        <w:trPr>
          <w:trHeight w:val="510" w:hRule="atLeast"/>
          <w:jc w:val="center"/>
        </w:trPr>
        <w:tc>
          <w:tcPr>
            <w:tcW w:w="825"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b/>
                <w:color w:val="000000"/>
                <w:szCs w:val="21"/>
              </w:rPr>
            </w:pPr>
            <w:r>
              <w:rPr>
                <w:rFonts w:hint="eastAsia" w:ascii="宋体" w:hAnsi="宋体" w:cs="仿宋"/>
                <w:b/>
                <w:color w:val="000000"/>
                <w:szCs w:val="21"/>
              </w:rPr>
              <w:t>序号</w:t>
            </w:r>
          </w:p>
        </w:tc>
        <w:tc>
          <w:tcPr>
            <w:tcW w:w="230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b/>
                <w:color w:val="000000"/>
                <w:szCs w:val="21"/>
              </w:rPr>
            </w:pPr>
            <w:r>
              <w:rPr>
                <w:rFonts w:hint="eastAsia" w:ascii="宋体" w:hAnsi="宋体" w:cs="仿宋"/>
                <w:b/>
                <w:color w:val="000000"/>
                <w:szCs w:val="21"/>
              </w:rPr>
              <w:t>验收内容</w:t>
            </w:r>
          </w:p>
        </w:tc>
        <w:tc>
          <w:tcPr>
            <w:tcW w:w="569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b/>
                <w:color w:val="000000"/>
                <w:szCs w:val="21"/>
              </w:rPr>
            </w:pPr>
            <w:r>
              <w:rPr>
                <w:rFonts w:hint="eastAsia" w:ascii="宋体" w:hAnsi="宋体" w:cs="仿宋"/>
                <w:b/>
                <w:color w:val="000000"/>
                <w:szCs w:val="21"/>
              </w:rPr>
              <w:t>验收标准</w:t>
            </w:r>
          </w:p>
        </w:tc>
      </w:tr>
      <w:tr>
        <w:tblPrEx>
          <w:tblLayout w:type="fixed"/>
          <w:tblCellMar>
            <w:top w:w="0" w:type="dxa"/>
            <w:left w:w="108" w:type="dxa"/>
            <w:bottom w:w="0" w:type="dxa"/>
            <w:right w:w="108" w:type="dxa"/>
          </w:tblCellMar>
        </w:tblPrEx>
        <w:trPr>
          <w:trHeight w:val="510" w:hRule="atLeast"/>
          <w:jc w:val="center"/>
        </w:trPr>
        <w:tc>
          <w:tcPr>
            <w:tcW w:w="825"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color w:val="000000"/>
                <w:szCs w:val="21"/>
              </w:rPr>
            </w:pPr>
            <w:r>
              <w:rPr>
                <w:rFonts w:hint="eastAsia" w:ascii="宋体" w:hAnsi="宋体" w:cs="仿宋"/>
                <w:color w:val="000000"/>
                <w:szCs w:val="21"/>
              </w:rPr>
              <w:t>1</w:t>
            </w:r>
          </w:p>
        </w:tc>
        <w:tc>
          <w:tcPr>
            <w:tcW w:w="230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color w:val="000000"/>
                <w:szCs w:val="21"/>
              </w:rPr>
            </w:pPr>
            <w:r>
              <w:rPr>
                <w:rFonts w:hint="eastAsia" w:ascii="宋体" w:hAnsi="宋体" w:cs="仿宋"/>
                <w:color w:val="000000"/>
                <w:szCs w:val="21"/>
              </w:rPr>
              <w:t>服务报告</w:t>
            </w:r>
          </w:p>
        </w:tc>
        <w:tc>
          <w:tcPr>
            <w:tcW w:w="5691" w:type="dxa"/>
            <w:tcBorders>
              <w:top w:val="nil"/>
              <w:left w:val="nil"/>
              <w:bottom w:val="single" w:color="000000" w:sz="8" w:space="0"/>
              <w:right w:val="single" w:color="000000" w:sz="8" w:space="0"/>
            </w:tcBorders>
            <w:shd w:val="clear" w:color="auto" w:fill="auto"/>
            <w:noWrap/>
            <w:vAlign w:val="center"/>
          </w:tcPr>
          <w:p>
            <w:pPr>
              <w:widowControl/>
              <w:spacing w:line="360" w:lineRule="auto"/>
              <w:rPr>
                <w:rFonts w:ascii="宋体" w:hAnsi="宋体" w:cs="仿宋"/>
                <w:color w:val="000000"/>
                <w:szCs w:val="21"/>
              </w:rPr>
            </w:pPr>
            <w:r>
              <w:rPr>
                <w:rFonts w:hint="eastAsia" w:ascii="宋体" w:hAnsi="宋体" w:cs="仿宋"/>
                <w:color w:val="000000"/>
                <w:szCs w:val="21"/>
              </w:rPr>
              <w:t>设备可用性指标、故障分析</w:t>
            </w:r>
          </w:p>
        </w:tc>
      </w:tr>
      <w:tr>
        <w:tblPrEx>
          <w:tblLayout w:type="fixed"/>
          <w:tblCellMar>
            <w:top w:w="0" w:type="dxa"/>
            <w:left w:w="108" w:type="dxa"/>
            <w:bottom w:w="0" w:type="dxa"/>
            <w:right w:w="108" w:type="dxa"/>
          </w:tblCellMar>
        </w:tblPrEx>
        <w:trPr>
          <w:trHeight w:val="510" w:hRule="atLeast"/>
          <w:jc w:val="center"/>
        </w:trPr>
        <w:tc>
          <w:tcPr>
            <w:tcW w:w="825"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color w:val="000000"/>
                <w:szCs w:val="21"/>
              </w:rPr>
            </w:pPr>
            <w:r>
              <w:rPr>
                <w:rFonts w:hint="eastAsia" w:ascii="宋体" w:hAnsi="宋体" w:cs="仿宋"/>
                <w:color w:val="000000"/>
                <w:szCs w:val="21"/>
              </w:rPr>
              <w:t>2</w:t>
            </w:r>
          </w:p>
        </w:tc>
        <w:tc>
          <w:tcPr>
            <w:tcW w:w="230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color w:val="000000"/>
                <w:szCs w:val="21"/>
              </w:rPr>
            </w:pPr>
            <w:r>
              <w:rPr>
                <w:rFonts w:hint="eastAsia" w:ascii="宋体" w:hAnsi="宋体" w:cs="仿宋"/>
                <w:color w:val="000000"/>
                <w:szCs w:val="21"/>
              </w:rPr>
              <w:t>测试报告</w:t>
            </w:r>
          </w:p>
        </w:tc>
        <w:tc>
          <w:tcPr>
            <w:tcW w:w="5691" w:type="dxa"/>
            <w:tcBorders>
              <w:top w:val="nil"/>
              <w:left w:val="nil"/>
              <w:bottom w:val="single" w:color="000000" w:sz="8" w:space="0"/>
              <w:right w:val="single" w:color="000000" w:sz="8" w:space="0"/>
            </w:tcBorders>
            <w:shd w:val="clear" w:color="auto" w:fill="auto"/>
            <w:noWrap/>
            <w:vAlign w:val="center"/>
          </w:tcPr>
          <w:p>
            <w:pPr>
              <w:widowControl/>
              <w:spacing w:line="360" w:lineRule="auto"/>
              <w:rPr>
                <w:rFonts w:ascii="宋体" w:hAnsi="宋体" w:cs="仿宋"/>
                <w:color w:val="000000"/>
                <w:szCs w:val="21"/>
              </w:rPr>
            </w:pPr>
            <w:r>
              <w:rPr>
                <w:rFonts w:hint="eastAsia" w:ascii="宋体" w:hAnsi="宋体" w:cs="仿宋"/>
                <w:color w:val="000000"/>
                <w:szCs w:val="21"/>
              </w:rPr>
              <w:t>设备联网告警功能正常</w:t>
            </w:r>
          </w:p>
        </w:tc>
      </w:tr>
      <w:tr>
        <w:tblPrEx>
          <w:tblLayout w:type="fixed"/>
          <w:tblCellMar>
            <w:top w:w="0" w:type="dxa"/>
            <w:left w:w="108" w:type="dxa"/>
            <w:bottom w:w="0" w:type="dxa"/>
            <w:right w:w="108" w:type="dxa"/>
          </w:tblCellMar>
        </w:tblPrEx>
        <w:trPr>
          <w:trHeight w:val="510" w:hRule="atLeast"/>
          <w:jc w:val="center"/>
        </w:trPr>
        <w:tc>
          <w:tcPr>
            <w:tcW w:w="825"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color w:val="000000"/>
                <w:szCs w:val="21"/>
              </w:rPr>
            </w:pPr>
            <w:r>
              <w:rPr>
                <w:rFonts w:hint="eastAsia" w:ascii="宋体" w:hAnsi="宋体" w:cs="仿宋"/>
                <w:color w:val="000000"/>
                <w:szCs w:val="21"/>
              </w:rPr>
              <w:t>3</w:t>
            </w:r>
          </w:p>
        </w:tc>
        <w:tc>
          <w:tcPr>
            <w:tcW w:w="230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color w:val="000000"/>
                <w:szCs w:val="21"/>
              </w:rPr>
            </w:pPr>
            <w:r>
              <w:rPr>
                <w:rFonts w:hint="eastAsia" w:ascii="宋体" w:hAnsi="宋体" w:cs="仿宋"/>
                <w:color w:val="000000"/>
                <w:szCs w:val="21"/>
              </w:rPr>
              <w:t>故障恢复</w:t>
            </w:r>
          </w:p>
        </w:tc>
        <w:tc>
          <w:tcPr>
            <w:tcW w:w="5691" w:type="dxa"/>
            <w:tcBorders>
              <w:top w:val="nil"/>
              <w:left w:val="nil"/>
              <w:bottom w:val="single" w:color="000000" w:sz="8" w:space="0"/>
              <w:right w:val="single" w:color="000000" w:sz="8" w:space="0"/>
            </w:tcBorders>
            <w:shd w:val="clear" w:color="auto" w:fill="auto"/>
            <w:noWrap/>
            <w:vAlign w:val="center"/>
          </w:tcPr>
          <w:p>
            <w:pPr>
              <w:widowControl/>
              <w:rPr>
                <w:rFonts w:ascii="宋体" w:hAnsi="宋体" w:cs="仿宋"/>
                <w:color w:val="000000"/>
                <w:szCs w:val="21"/>
              </w:rPr>
            </w:pPr>
            <w:r>
              <w:rPr>
                <w:rFonts w:hint="eastAsia" w:ascii="宋体" w:hAnsi="宋体" w:cs="仿宋"/>
                <w:color w:val="000000"/>
                <w:szCs w:val="21"/>
              </w:rPr>
              <w:t>接到故障通知起60分钟内现场响应及完成处理，特殊情况下故障恢复时间不超过24h。</w:t>
            </w:r>
          </w:p>
        </w:tc>
      </w:tr>
      <w:tr>
        <w:tblPrEx>
          <w:tblLayout w:type="fixed"/>
          <w:tblCellMar>
            <w:top w:w="0" w:type="dxa"/>
            <w:left w:w="108" w:type="dxa"/>
            <w:bottom w:w="0" w:type="dxa"/>
            <w:right w:w="108" w:type="dxa"/>
          </w:tblCellMar>
        </w:tblPrEx>
        <w:trPr>
          <w:trHeight w:val="510" w:hRule="atLeast"/>
          <w:jc w:val="center"/>
        </w:trPr>
        <w:tc>
          <w:tcPr>
            <w:tcW w:w="825"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color w:val="000000"/>
                <w:szCs w:val="21"/>
              </w:rPr>
            </w:pPr>
            <w:r>
              <w:rPr>
                <w:rFonts w:hint="eastAsia" w:ascii="宋体" w:hAnsi="宋体" w:cs="仿宋"/>
                <w:color w:val="000000"/>
                <w:szCs w:val="21"/>
              </w:rPr>
              <w:t>4</w:t>
            </w:r>
          </w:p>
        </w:tc>
        <w:tc>
          <w:tcPr>
            <w:tcW w:w="230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color w:val="000000"/>
                <w:szCs w:val="21"/>
              </w:rPr>
            </w:pPr>
            <w:r>
              <w:rPr>
                <w:rFonts w:hint="eastAsia" w:ascii="宋体" w:hAnsi="宋体" w:cs="仿宋"/>
                <w:color w:val="000000"/>
                <w:szCs w:val="21"/>
              </w:rPr>
              <w:t>人员排班表</w:t>
            </w:r>
          </w:p>
        </w:tc>
        <w:tc>
          <w:tcPr>
            <w:tcW w:w="5691" w:type="dxa"/>
            <w:tcBorders>
              <w:top w:val="nil"/>
              <w:left w:val="nil"/>
              <w:bottom w:val="single" w:color="000000" w:sz="8" w:space="0"/>
              <w:right w:val="single" w:color="000000" w:sz="8" w:space="0"/>
            </w:tcBorders>
            <w:shd w:val="clear" w:color="auto" w:fill="auto"/>
            <w:noWrap/>
            <w:vAlign w:val="center"/>
          </w:tcPr>
          <w:p>
            <w:pPr>
              <w:widowControl/>
              <w:spacing w:line="360" w:lineRule="auto"/>
              <w:rPr>
                <w:rFonts w:ascii="宋体" w:hAnsi="宋体" w:cs="仿宋"/>
                <w:color w:val="000000"/>
                <w:szCs w:val="21"/>
              </w:rPr>
            </w:pPr>
            <w:r>
              <w:rPr>
                <w:rFonts w:hint="eastAsia" w:ascii="宋体" w:hAnsi="宋体" w:cs="仿宋"/>
                <w:color w:val="000000"/>
                <w:szCs w:val="21"/>
              </w:rPr>
              <w:t>人员信息真实有效，满足合同要求</w:t>
            </w:r>
          </w:p>
        </w:tc>
      </w:tr>
      <w:tr>
        <w:tblPrEx>
          <w:tblLayout w:type="fixed"/>
          <w:tblCellMar>
            <w:top w:w="0" w:type="dxa"/>
            <w:left w:w="108" w:type="dxa"/>
            <w:bottom w:w="0" w:type="dxa"/>
            <w:right w:w="108" w:type="dxa"/>
          </w:tblCellMar>
        </w:tblPrEx>
        <w:trPr>
          <w:trHeight w:val="510" w:hRule="atLeast"/>
          <w:jc w:val="center"/>
        </w:trPr>
        <w:tc>
          <w:tcPr>
            <w:tcW w:w="825"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color w:val="000000"/>
                <w:szCs w:val="21"/>
              </w:rPr>
            </w:pPr>
            <w:r>
              <w:rPr>
                <w:rFonts w:hint="eastAsia" w:ascii="宋体" w:hAnsi="宋体" w:cs="仿宋"/>
                <w:color w:val="000000"/>
                <w:szCs w:val="21"/>
              </w:rPr>
              <w:t>5</w:t>
            </w:r>
          </w:p>
        </w:tc>
        <w:tc>
          <w:tcPr>
            <w:tcW w:w="230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color w:val="000000"/>
                <w:szCs w:val="21"/>
              </w:rPr>
            </w:pPr>
            <w:r>
              <w:rPr>
                <w:rFonts w:hint="eastAsia" w:ascii="宋体" w:hAnsi="宋体" w:cs="仿宋"/>
                <w:color w:val="000000"/>
                <w:szCs w:val="21"/>
              </w:rPr>
              <w:t>故障处理记录表</w:t>
            </w:r>
          </w:p>
        </w:tc>
        <w:tc>
          <w:tcPr>
            <w:tcW w:w="5691" w:type="dxa"/>
            <w:tcBorders>
              <w:top w:val="nil"/>
              <w:left w:val="nil"/>
              <w:bottom w:val="single" w:color="000000" w:sz="8" w:space="0"/>
              <w:right w:val="single" w:color="000000" w:sz="8" w:space="0"/>
            </w:tcBorders>
            <w:shd w:val="clear" w:color="auto" w:fill="auto"/>
            <w:noWrap/>
            <w:vAlign w:val="center"/>
          </w:tcPr>
          <w:p>
            <w:pPr>
              <w:widowControl/>
              <w:spacing w:line="360" w:lineRule="auto"/>
              <w:rPr>
                <w:rFonts w:ascii="宋体" w:hAnsi="宋体" w:cs="仿宋"/>
                <w:color w:val="000000"/>
                <w:szCs w:val="21"/>
              </w:rPr>
            </w:pPr>
            <w:r>
              <w:rPr>
                <w:rFonts w:hint="eastAsia" w:ascii="宋体" w:hAnsi="宋体" w:cs="仿宋"/>
                <w:color w:val="000000"/>
                <w:szCs w:val="21"/>
              </w:rPr>
              <w:t>故障记录完整无缺失，处理过程迅速高效</w:t>
            </w:r>
          </w:p>
        </w:tc>
      </w:tr>
    </w:tbl>
    <w:p>
      <w:pPr>
        <w:pStyle w:val="32"/>
        <w:tabs>
          <w:tab w:val="right" w:leader="dot" w:pos="8306"/>
        </w:tabs>
        <w:spacing w:line="360" w:lineRule="auto"/>
        <w:ind w:firstLine="422" w:firstLineChars="200"/>
        <w:outlineLvl w:val="0"/>
        <w:rPr>
          <w:rFonts w:ascii="宋体" w:hAnsi="宋体" w:cs="楷体"/>
          <w:b/>
          <w:szCs w:val="21"/>
        </w:rPr>
      </w:pPr>
      <w:bookmarkStart w:id="72" w:name="_Toc12281534"/>
    </w:p>
    <w:p>
      <w:pPr>
        <w:pStyle w:val="32"/>
        <w:keepNext w:val="0"/>
        <w:keepLines w:val="0"/>
        <w:pageBreakBefore w:val="0"/>
        <w:widowControl w:val="0"/>
        <w:tabs>
          <w:tab w:val="right" w:leader="dot" w:pos="8306"/>
        </w:tabs>
        <w:kinsoku/>
        <w:wordWrap/>
        <w:overflowPunct/>
        <w:topLinePunct w:val="0"/>
        <w:autoSpaceDE/>
        <w:autoSpaceDN/>
        <w:bidi w:val="0"/>
        <w:spacing w:line="360" w:lineRule="auto"/>
        <w:ind w:firstLine="422" w:firstLineChars="200"/>
        <w:textAlignment w:val="auto"/>
        <w:outlineLvl w:val="9"/>
        <w:rPr>
          <w:rFonts w:ascii="宋体" w:hAnsi="宋体" w:cs="楷体"/>
          <w:b/>
          <w:i/>
          <w:iCs/>
          <w:szCs w:val="21"/>
        </w:rPr>
      </w:pPr>
      <w:r>
        <w:rPr>
          <w:rFonts w:hint="eastAsia" w:ascii="宋体" w:hAnsi="宋体" w:cs="楷体"/>
          <w:b/>
          <w:szCs w:val="21"/>
        </w:rPr>
        <w:t>七、质保期</w:t>
      </w:r>
      <w:bookmarkEnd w:id="72"/>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Ansi="宋体" w:cs="仿宋_GB2312"/>
          <w:szCs w:val="21"/>
        </w:rPr>
      </w:pPr>
      <w:r>
        <w:rPr>
          <w:rFonts w:hint="eastAsia" w:ascii="宋体" w:hAnsi="宋体" w:cs="仿宋_GB2312"/>
          <w:szCs w:val="21"/>
        </w:rPr>
        <w:t>服务期内的所有故障维护由投标人负责，出现故障需免费更换，更换的备件质保期为24个月。</w:t>
      </w:r>
    </w:p>
    <w:p>
      <w:pPr>
        <w:pStyle w:val="32"/>
        <w:keepNext w:val="0"/>
        <w:keepLines w:val="0"/>
        <w:pageBreakBefore w:val="0"/>
        <w:widowControl w:val="0"/>
        <w:tabs>
          <w:tab w:val="right" w:leader="dot" w:pos="8306"/>
        </w:tabs>
        <w:kinsoku/>
        <w:wordWrap/>
        <w:overflowPunct/>
        <w:topLinePunct w:val="0"/>
        <w:autoSpaceDE/>
        <w:autoSpaceDN/>
        <w:bidi w:val="0"/>
        <w:spacing w:line="360" w:lineRule="auto"/>
        <w:ind w:firstLine="422" w:firstLineChars="200"/>
        <w:textAlignment w:val="auto"/>
        <w:outlineLvl w:val="9"/>
        <w:rPr>
          <w:rFonts w:ascii="宋体" w:hAnsi="宋体" w:cs="楷体"/>
          <w:b/>
          <w:i/>
          <w:iCs/>
          <w:szCs w:val="21"/>
        </w:rPr>
      </w:pPr>
      <w:bookmarkStart w:id="73" w:name="_Toc12281535"/>
      <w:r>
        <w:rPr>
          <w:rFonts w:hint="eastAsia" w:ascii="宋体" w:hAnsi="宋体" w:cs="楷体"/>
          <w:b/>
          <w:szCs w:val="21"/>
        </w:rPr>
        <w:t>八、考核标准</w:t>
      </w:r>
      <w:bookmarkEnd w:id="73"/>
    </w:p>
    <w:p>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szCs w:val="21"/>
        </w:rPr>
      </w:pPr>
      <w:r>
        <w:rPr>
          <w:rFonts w:hint="eastAsia" w:ascii="宋体" w:hAnsi="宋体"/>
          <w:szCs w:val="21"/>
        </w:rPr>
        <w:t>投标人违反招标人相关规定、制度，对招标人造成影响，按照表七质量考核标准表、表八考核支付表</w:t>
      </w:r>
      <w:r>
        <w:rPr>
          <w:rFonts w:hint="eastAsia" w:ascii="宋体" w:hAnsi="宋体"/>
          <w:szCs w:val="21"/>
          <w:lang w:eastAsia="zh-CN"/>
        </w:rPr>
        <w:t>执行</w:t>
      </w:r>
      <w:r>
        <w:rPr>
          <w:rFonts w:hint="eastAsia" w:ascii="宋体" w:hAnsi="宋体"/>
          <w:szCs w:val="21"/>
        </w:rPr>
        <w:t>（包括但不限于）：</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Ansi="宋体"/>
          <w:szCs w:val="21"/>
        </w:rPr>
      </w:pPr>
      <w:r>
        <w:rPr>
          <w:rFonts w:hint="eastAsia" w:ascii="宋体" w:hAnsi="宋体"/>
          <w:szCs w:val="21"/>
        </w:rPr>
        <w:t>（一）质量考核标准</w:t>
      </w:r>
    </w:p>
    <w:tbl>
      <w:tblPr>
        <w:tblStyle w:val="46"/>
        <w:tblpPr w:leftFromText="180" w:rightFromText="180" w:vertAnchor="text" w:horzAnchor="page" w:tblpXSpec="center" w:tblpY="154"/>
        <w:tblOverlap w:val="never"/>
        <w:tblW w:w="8909" w:type="dxa"/>
        <w:jc w:val="center"/>
        <w:tblInd w:w="0" w:type="dxa"/>
        <w:tblLayout w:type="fixed"/>
        <w:tblCellMar>
          <w:top w:w="0" w:type="dxa"/>
          <w:left w:w="108" w:type="dxa"/>
          <w:bottom w:w="0" w:type="dxa"/>
          <w:right w:w="108" w:type="dxa"/>
        </w:tblCellMar>
      </w:tblPr>
      <w:tblGrid>
        <w:gridCol w:w="808"/>
        <w:gridCol w:w="3684"/>
        <w:gridCol w:w="3451"/>
        <w:gridCol w:w="966"/>
      </w:tblGrid>
      <w:tr>
        <w:tblPrEx>
          <w:tblLayout w:type="fixed"/>
          <w:tblCellMar>
            <w:top w:w="0" w:type="dxa"/>
            <w:left w:w="108" w:type="dxa"/>
            <w:bottom w:w="0" w:type="dxa"/>
            <w:right w:w="108" w:type="dxa"/>
          </w:tblCellMar>
        </w:tblPrEx>
        <w:trPr>
          <w:trHeight w:val="561" w:hRule="atLeast"/>
          <w:jc w:val="center"/>
        </w:trPr>
        <w:tc>
          <w:tcPr>
            <w:tcW w:w="890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r>
              <w:rPr>
                <w:rFonts w:hint="eastAsia" w:ascii="宋体" w:hAnsi="宋体" w:cs="仿宋"/>
                <w:b/>
                <w:bCs/>
                <w:color w:val="000000"/>
                <w:szCs w:val="21"/>
              </w:rPr>
              <w:t xml:space="preserve">表七 </w:t>
            </w:r>
            <w:r>
              <w:rPr>
                <w:rFonts w:hint="eastAsia" w:ascii="宋体" w:hAnsi="宋体" w:cs="仿宋"/>
                <w:b/>
                <w:bCs/>
                <w:color w:val="000000"/>
                <w:szCs w:val="21"/>
                <w:lang w:val="en-US" w:eastAsia="zh-CN"/>
              </w:rPr>
              <w:t xml:space="preserve"> </w:t>
            </w:r>
            <w:r>
              <w:rPr>
                <w:rFonts w:hint="eastAsia" w:ascii="宋体" w:hAnsi="宋体" w:cs="仿宋"/>
                <w:b/>
                <w:bCs/>
                <w:color w:val="000000"/>
                <w:szCs w:val="21"/>
              </w:rPr>
              <w:t>质量考核标准表</w:t>
            </w:r>
          </w:p>
        </w:tc>
      </w:tr>
      <w:tr>
        <w:tblPrEx>
          <w:tblLayout w:type="fixed"/>
          <w:tblCellMar>
            <w:top w:w="0" w:type="dxa"/>
            <w:left w:w="108" w:type="dxa"/>
            <w:bottom w:w="0" w:type="dxa"/>
            <w:right w:w="108" w:type="dxa"/>
          </w:tblCellMar>
        </w:tblPrEx>
        <w:trPr>
          <w:trHeight w:val="463"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r>
              <w:rPr>
                <w:rFonts w:hint="eastAsia" w:ascii="宋体" w:hAnsi="宋体" w:cs="仿宋"/>
                <w:b/>
                <w:bCs/>
                <w:szCs w:val="21"/>
              </w:rPr>
              <w:t>序号</w:t>
            </w:r>
          </w:p>
        </w:tc>
        <w:tc>
          <w:tcPr>
            <w:tcW w:w="36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r>
              <w:rPr>
                <w:rFonts w:hint="eastAsia" w:ascii="宋体" w:hAnsi="宋体" w:cs="仿宋"/>
                <w:b/>
                <w:bCs/>
                <w:szCs w:val="21"/>
              </w:rPr>
              <w:t>考核内容</w:t>
            </w:r>
          </w:p>
        </w:tc>
        <w:tc>
          <w:tcPr>
            <w:tcW w:w="34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r>
              <w:rPr>
                <w:rFonts w:hint="eastAsia" w:ascii="宋体" w:hAnsi="宋体" w:cs="仿宋"/>
                <w:b/>
                <w:bCs/>
                <w:szCs w:val="21"/>
              </w:rPr>
              <w:t>处罚结果</w:t>
            </w: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r>
              <w:rPr>
                <w:rFonts w:hint="eastAsia" w:ascii="宋体" w:hAnsi="宋体" w:cs="仿宋"/>
                <w:b/>
                <w:bCs/>
                <w:szCs w:val="21"/>
              </w:rPr>
              <w:t>备注</w:t>
            </w:r>
          </w:p>
        </w:tc>
      </w:tr>
      <w:tr>
        <w:tblPrEx>
          <w:tblLayout w:type="fixed"/>
          <w:tblCellMar>
            <w:top w:w="0" w:type="dxa"/>
            <w:left w:w="108" w:type="dxa"/>
            <w:bottom w:w="0" w:type="dxa"/>
            <w:right w:w="108" w:type="dxa"/>
          </w:tblCellMar>
        </w:tblPrEx>
        <w:trPr>
          <w:trHeight w:val="9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szCs w:val="21"/>
              </w:rPr>
            </w:pPr>
            <w:r>
              <w:rPr>
                <w:rFonts w:hint="eastAsia" w:ascii="宋体" w:hAnsi="宋体" w:cs="仿宋"/>
                <w:szCs w:val="21"/>
              </w:rPr>
              <w:t>1</w:t>
            </w:r>
          </w:p>
        </w:tc>
        <w:tc>
          <w:tcPr>
            <w:tcW w:w="368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因投标人原因造成招标人的设施设备报警、损坏，自身及招标人或第三方财产或人身损害的。</w:t>
            </w:r>
          </w:p>
        </w:tc>
        <w:tc>
          <w:tcPr>
            <w:tcW w:w="34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扣20分，招标人有权解除合同要求投标人承担所有责任。</w:t>
            </w:r>
          </w:p>
        </w:tc>
        <w:tc>
          <w:tcPr>
            <w:tcW w:w="9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p>
        </w:tc>
      </w:tr>
      <w:tr>
        <w:tblPrEx>
          <w:tblLayout w:type="fixed"/>
          <w:tblCellMar>
            <w:top w:w="0" w:type="dxa"/>
            <w:left w:w="108" w:type="dxa"/>
            <w:bottom w:w="0" w:type="dxa"/>
            <w:right w:w="108" w:type="dxa"/>
          </w:tblCellMar>
        </w:tblPrEx>
        <w:trPr>
          <w:trHeight w:val="849"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szCs w:val="21"/>
              </w:rPr>
            </w:pPr>
            <w:r>
              <w:rPr>
                <w:rFonts w:hint="eastAsia" w:ascii="宋体" w:hAnsi="宋体" w:cs="仿宋"/>
                <w:szCs w:val="21"/>
              </w:rPr>
              <w:t>2</w:t>
            </w:r>
          </w:p>
        </w:tc>
        <w:tc>
          <w:tcPr>
            <w:tcW w:w="368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作业存在严重违章违纪作业等重大安全隐患。</w:t>
            </w:r>
          </w:p>
        </w:tc>
        <w:tc>
          <w:tcPr>
            <w:tcW w:w="34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扣10分，招标人有权解除合同要求投标人承担所有责任。</w:t>
            </w:r>
          </w:p>
        </w:tc>
        <w:tc>
          <w:tcPr>
            <w:tcW w:w="9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p>
        </w:tc>
      </w:tr>
      <w:tr>
        <w:tblPrEx>
          <w:tblLayout w:type="fixed"/>
          <w:tblCellMar>
            <w:top w:w="0" w:type="dxa"/>
            <w:left w:w="108" w:type="dxa"/>
            <w:bottom w:w="0" w:type="dxa"/>
            <w:right w:w="108" w:type="dxa"/>
          </w:tblCellMar>
        </w:tblPrEx>
        <w:trPr>
          <w:trHeight w:val="70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szCs w:val="21"/>
              </w:rPr>
            </w:pPr>
            <w:r>
              <w:rPr>
                <w:rFonts w:hint="eastAsia" w:ascii="宋体" w:hAnsi="宋体" w:cs="仿宋"/>
                <w:szCs w:val="21"/>
              </w:rPr>
              <w:t>3</w:t>
            </w:r>
          </w:p>
        </w:tc>
        <w:tc>
          <w:tcPr>
            <w:tcW w:w="368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对运营公司提出的整改措施不予落实，逾期落实，或因此造成影响。</w:t>
            </w:r>
          </w:p>
        </w:tc>
        <w:tc>
          <w:tcPr>
            <w:tcW w:w="34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扣5分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p>
        </w:tc>
      </w:tr>
      <w:tr>
        <w:tblPrEx>
          <w:tblLayout w:type="fixed"/>
          <w:tblCellMar>
            <w:top w:w="0" w:type="dxa"/>
            <w:left w:w="108" w:type="dxa"/>
            <w:bottom w:w="0" w:type="dxa"/>
            <w:right w:w="108" w:type="dxa"/>
          </w:tblCellMar>
        </w:tblPrEx>
        <w:trPr>
          <w:trHeight w:val="687"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szCs w:val="21"/>
              </w:rPr>
            </w:pPr>
            <w:r>
              <w:rPr>
                <w:rFonts w:hint="eastAsia" w:ascii="宋体" w:hAnsi="宋体" w:cs="仿宋"/>
                <w:szCs w:val="21"/>
              </w:rPr>
              <w:t>4</w:t>
            </w:r>
          </w:p>
        </w:tc>
        <w:tc>
          <w:tcPr>
            <w:tcW w:w="368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投标人在作业中发现的故障或问题，未能按故障维修标准及时修复的。</w:t>
            </w:r>
          </w:p>
        </w:tc>
        <w:tc>
          <w:tcPr>
            <w:tcW w:w="34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扣2分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p>
        </w:tc>
      </w:tr>
      <w:tr>
        <w:tblPrEx>
          <w:tblLayout w:type="fixed"/>
          <w:tblCellMar>
            <w:top w:w="0" w:type="dxa"/>
            <w:left w:w="108" w:type="dxa"/>
            <w:bottom w:w="0" w:type="dxa"/>
            <w:right w:w="108" w:type="dxa"/>
          </w:tblCellMar>
        </w:tblPrEx>
        <w:trPr>
          <w:trHeight w:val="994"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szCs w:val="21"/>
              </w:rPr>
            </w:pPr>
            <w:r>
              <w:rPr>
                <w:rFonts w:hint="eastAsia" w:ascii="宋体" w:hAnsi="宋体" w:cs="仿宋"/>
                <w:szCs w:val="21"/>
              </w:rPr>
              <w:t>5</w:t>
            </w:r>
          </w:p>
        </w:tc>
        <w:tc>
          <w:tcPr>
            <w:tcW w:w="368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服务过程中发生可疑情况而没有及时通知招标人现场工作人员和押运车组负责人并及时拨打110报警的情形。</w:t>
            </w:r>
          </w:p>
        </w:tc>
        <w:tc>
          <w:tcPr>
            <w:tcW w:w="34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扣20分，招标人有权解除合同要求投标人承担所有责任。</w:t>
            </w:r>
          </w:p>
        </w:tc>
        <w:tc>
          <w:tcPr>
            <w:tcW w:w="9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p>
        </w:tc>
      </w:tr>
      <w:tr>
        <w:tblPrEx>
          <w:tblLayout w:type="fixed"/>
          <w:tblCellMar>
            <w:top w:w="0" w:type="dxa"/>
            <w:left w:w="108" w:type="dxa"/>
            <w:bottom w:w="0" w:type="dxa"/>
            <w:right w:w="108" w:type="dxa"/>
          </w:tblCellMar>
        </w:tblPrEx>
        <w:trPr>
          <w:trHeight w:val="98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szCs w:val="21"/>
              </w:rPr>
            </w:pPr>
            <w:r>
              <w:rPr>
                <w:rFonts w:hint="eastAsia" w:ascii="宋体" w:hAnsi="宋体" w:cs="仿宋"/>
                <w:szCs w:val="21"/>
              </w:rPr>
              <w:t>6</w:t>
            </w:r>
          </w:p>
        </w:tc>
        <w:tc>
          <w:tcPr>
            <w:tcW w:w="368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投标人接到故障通知起60分钟内未完成处理，非特殊情况下故障恢复时间超过24h。</w:t>
            </w:r>
          </w:p>
        </w:tc>
        <w:tc>
          <w:tcPr>
            <w:tcW w:w="34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扣5分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p>
        </w:tc>
      </w:tr>
      <w:tr>
        <w:tblPrEx>
          <w:tblLayout w:type="fixed"/>
          <w:tblCellMar>
            <w:top w:w="0" w:type="dxa"/>
            <w:left w:w="108" w:type="dxa"/>
            <w:bottom w:w="0" w:type="dxa"/>
            <w:right w:w="108" w:type="dxa"/>
          </w:tblCellMar>
        </w:tblPrEx>
        <w:trPr>
          <w:trHeight w:val="696"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szCs w:val="21"/>
              </w:rPr>
            </w:pPr>
            <w:r>
              <w:rPr>
                <w:rFonts w:hint="eastAsia" w:ascii="宋体" w:hAnsi="宋体" w:cs="仿宋"/>
                <w:szCs w:val="21"/>
              </w:rPr>
              <w:t>7</w:t>
            </w:r>
          </w:p>
        </w:tc>
        <w:tc>
          <w:tcPr>
            <w:tcW w:w="368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投标人处理故障不彻底，导致同一故障短时间（2小时内）重复出现。</w:t>
            </w:r>
          </w:p>
        </w:tc>
        <w:tc>
          <w:tcPr>
            <w:tcW w:w="34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扣5分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p>
        </w:tc>
      </w:tr>
      <w:tr>
        <w:tblPrEx>
          <w:tblLayout w:type="fixed"/>
          <w:tblCellMar>
            <w:top w:w="0" w:type="dxa"/>
            <w:left w:w="108" w:type="dxa"/>
            <w:bottom w:w="0" w:type="dxa"/>
            <w:right w:w="108" w:type="dxa"/>
          </w:tblCellMar>
        </w:tblPrEx>
        <w:trPr>
          <w:trHeight w:val="693"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szCs w:val="21"/>
              </w:rPr>
            </w:pPr>
            <w:r>
              <w:rPr>
                <w:rFonts w:hint="eastAsia" w:ascii="宋体" w:hAnsi="宋体" w:cs="仿宋"/>
                <w:szCs w:val="21"/>
              </w:rPr>
              <w:t>8</w:t>
            </w:r>
          </w:p>
        </w:tc>
        <w:tc>
          <w:tcPr>
            <w:tcW w:w="368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未按规定办理请销点手续，擅自进行施工作业等违规事件。</w:t>
            </w:r>
          </w:p>
        </w:tc>
        <w:tc>
          <w:tcPr>
            <w:tcW w:w="34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扣5分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p>
        </w:tc>
      </w:tr>
    </w:tbl>
    <w:p>
      <w:pPr>
        <w:spacing w:line="360" w:lineRule="auto"/>
        <w:ind w:firstLine="420" w:firstLineChars="200"/>
        <w:rPr>
          <w:rFonts w:ascii="宋体" w:hAnsi="宋体"/>
          <w:szCs w:val="21"/>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szCs w:val="21"/>
        </w:rPr>
      </w:pPr>
      <w:r>
        <w:rPr>
          <w:rFonts w:hint="eastAsia" w:ascii="宋体" w:hAnsi="宋体"/>
          <w:szCs w:val="21"/>
        </w:rPr>
        <w:t>（二）考核结果应用</w:t>
      </w:r>
    </w:p>
    <w:p>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本项目考核每半年进行一次，根据招标人相关管理办法，招标人每半年对投标人进行一次综合评分，考核原则如表七：</w:t>
      </w:r>
    </w:p>
    <w:tbl>
      <w:tblPr>
        <w:tblStyle w:val="47"/>
        <w:tblW w:w="8993" w:type="dxa"/>
        <w:jc w:val="center"/>
        <w:tblInd w:w="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3876"/>
        <w:gridCol w:w="3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8993" w:type="dxa"/>
            <w:gridSpan w:val="3"/>
            <w:vAlign w:val="center"/>
          </w:tcPr>
          <w:p>
            <w:pPr>
              <w:pStyle w:val="45"/>
              <w:spacing w:line="240" w:lineRule="auto"/>
              <w:ind w:firstLine="422"/>
              <w:jc w:val="center"/>
              <w:rPr>
                <w:rFonts w:ascii="宋体" w:hAnsi="宋体" w:cs="仿宋"/>
                <w:b/>
                <w:szCs w:val="21"/>
              </w:rPr>
            </w:pPr>
            <w:r>
              <w:rPr>
                <w:rFonts w:hint="eastAsia" w:ascii="宋体" w:hAnsi="宋体" w:cs="仿宋"/>
                <w:b/>
                <w:color w:val="000000"/>
                <w:szCs w:val="21"/>
              </w:rPr>
              <w:t xml:space="preserve">表八 </w:t>
            </w:r>
            <w:r>
              <w:rPr>
                <w:rFonts w:hint="eastAsia" w:ascii="宋体" w:hAnsi="宋体" w:cs="仿宋"/>
                <w:b/>
                <w:color w:val="000000"/>
                <w:szCs w:val="21"/>
                <w:lang w:val="en-US" w:eastAsia="zh-CN"/>
              </w:rPr>
              <w:t xml:space="preserve"> </w:t>
            </w:r>
            <w:r>
              <w:rPr>
                <w:rFonts w:hint="eastAsia" w:ascii="宋体" w:hAnsi="宋体" w:cs="仿宋"/>
                <w:b/>
                <w:color w:val="000000"/>
                <w:szCs w:val="21"/>
              </w:rPr>
              <w:t>考核支付表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540" w:type="dxa"/>
            <w:vAlign w:val="center"/>
          </w:tcPr>
          <w:p>
            <w:pPr>
              <w:widowControl/>
              <w:jc w:val="center"/>
              <w:rPr>
                <w:rFonts w:ascii="宋体" w:hAnsi="宋体" w:cs="仿宋"/>
                <w:b/>
                <w:color w:val="000000"/>
                <w:szCs w:val="21"/>
              </w:rPr>
            </w:pPr>
            <w:r>
              <w:rPr>
                <w:rFonts w:hint="eastAsia" w:ascii="宋体" w:hAnsi="宋体" w:cs="仿宋"/>
                <w:b/>
                <w:color w:val="000000"/>
                <w:szCs w:val="21"/>
              </w:rPr>
              <w:t>考评等级</w:t>
            </w:r>
          </w:p>
        </w:tc>
        <w:tc>
          <w:tcPr>
            <w:tcW w:w="3876" w:type="dxa"/>
            <w:vAlign w:val="center"/>
          </w:tcPr>
          <w:p>
            <w:pPr>
              <w:widowControl/>
              <w:jc w:val="center"/>
              <w:rPr>
                <w:rFonts w:ascii="宋体" w:hAnsi="宋体" w:cs="仿宋"/>
                <w:b/>
                <w:color w:val="000000"/>
                <w:szCs w:val="21"/>
              </w:rPr>
            </w:pPr>
            <w:r>
              <w:rPr>
                <w:rFonts w:hint="eastAsia" w:ascii="宋体" w:hAnsi="宋体" w:cs="仿宋"/>
                <w:b/>
                <w:color w:val="000000"/>
                <w:szCs w:val="21"/>
              </w:rPr>
              <w:t>考评标准（基础分100分）</w:t>
            </w:r>
          </w:p>
        </w:tc>
        <w:tc>
          <w:tcPr>
            <w:tcW w:w="3577" w:type="dxa"/>
            <w:vAlign w:val="center"/>
          </w:tcPr>
          <w:p>
            <w:pPr>
              <w:widowControl/>
              <w:jc w:val="center"/>
              <w:rPr>
                <w:rFonts w:ascii="宋体" w:hAnsi="宋体" w:cs="仿宋"/>
                <w:b/>
                <w:color w:val="000000"/>
                <w:szCs w:val="21"/>
              </w:rPr>
            </w:pPr>
            <w:r>
              <w:rPr>
                <w:rFonts w:hint="eastAsia" w:ascii="宋体" w:hAnsi="宋体" w:cs="仿宋"/>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40" w:type="dxa"/>
            <w:vAlign w:val="center"/>
          </w:tcPr>
          <w:p>
            <w:pPr>
              <w:widowControl/>
              <w:jc w:val="center"/>
              <w:rPr>
                <w:rFonts w:ascii="宋体" w:hAnsi="宋体" w:cs="仿宋"/>
                <w:bCs/>
                <w:color w:val="000000"/>
                <w:szCs w:val="21"/>
              </w:rPr>
            </w:pPr>
            <w:r>
              <w:rPr>
                <w:rFonts w:hint="eastAsia" w:ascii="宋体" w:hAnsi="宋体" w:cs="仿宋"/>
                <w:bCs/>
                <w:color w:val="000000"/>
                <w:szCs w:val="21"/>
              </w:rPr>
              <w:t>A级</w:t>
            </w:r>
          </w:p>
        </w:tc>
        <w:tc>
          <w:tcPr>
            <w:tcW w:w="3876" w:type="dxa"/>
            <w:vAlign w:val="center"/>
          </w:tcPr>
          <w:p>
            <w:pPr>
              <w:widowControl/>
              <w:rPr>
                <w:rFonts w:ascii="宋体" w:hAnsi="宋体" w:cs="仿宋"/>
                <w:bCs/>
                <w:color w:val="000000"/>
                <w:szCs w:val="21"/>
              </w:rPr>
            </w:pPr>
            <w:r>
              <w:rPr>
                <w:rFonts w:hint="eastAsia" w:ascii="宋体" w:hAnsi="宋体" w:cs="仿宋"/>
                <w:bCs/>
                <w:color w:val="000000"/>
                <w:szCs w:val="21"/>
              </w:rPr>
              <w:t>综合考评分≥90分，支付比例100%。</w:t>
            </w:r>
          </w:p>
        </w:tc>
        <w:tc>
          <w:tcPr>
            <w:tcW w:w="3577" w:type="dxa"/>
            <w:vAlign w:val="center"/>
          </w:tcPr>
          <w:p>
            <w:pPr>
              <w:widowControl/>
              <w:rPr>
                <w:rFonts w:ascii="宋体" w:hAnsi="宋体" w:cs="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540" w:type="dxa"/>
            <w:vAlign w:val="center"/>
          </w:tcPr>
          <w:p>
            <w:pPr>
              <w:widowControl/>
              <w:jc w:val="center"/>
              <w:rPr>
                <w:rFonts w:ascii="宋体" w:hAnsi="宋体" w:cs="仿宋"/>
                <w:bCs/>
                <w:color w:val="000000"/>
                <w:szCs w:val="21"/>
              </w:rPr>
            </w:pPr>
            <w:r>
              <w:rPr>
                <w:rFonts w:hint="eastAsia" w:ascii="宋体" w:hAnsi="宋体" w:cs="仿宋"/>
                <w:bCs/>
                <w:color w:val="000000"/>
                <w:szCs w:val="21"/>
              </w:rPr>
              <w:t>B级</w:t>
            </w:r>
          </w:p>
        </w:tc>
        <w:tc>
          <w:tcPr>
            <w:tcW w:w="3876" w:type="dxa"/>
            <w:vAlign w:val="center"/>
          </w:tcPr>
          <w:p>
            <w:pPr>
              <w:widowControl/>
              <w:rPr>
                <w:rFonts w:ascii="宋体" w:hAnsi="宋体" w:cs="仿宋"/>
                <w:bCs/>
                <w:color w:val="000000"/>
                <w:szCs w:val="21"/>
              </w:rPr>
            </w:pPr>
            <w:r>
              <w:rPr>
                <w:rFonts w:hint="eastAsia" w:ascii="宋体" w:hAnsi="宋体" w:cs="仿宋"/>
                <w:bCs/>
                <w:color w:val="000000"/>
                <w:szCs w:val="21"/>
              </w:rPr>
              <w:t>80分≤综合考评分&lt;90分，支付比例95%。</w:t>
            </w:r>
          </w:p>
        </w:tc>
        <w:tc>
          <w:tcPr>
            <w:tcW w:w="3577" w:type="dxa"/>
            <w:vAlign w:val="center"/>
          </w:tcPr>
          <w:p>
            <w:pPr>
              <w:widowControl/>
              <w:rPr>
                <w:rFonts w:ascii="宋体" w:hAnsi="宋体" w:cs="仿宋"/>
                <w:bCs/>
                <w:color w:val="000000"/>
                <w:szCs w:val="21"/>
              </w:rPr>
            </w:pPr>
            <w:r>
              <w:rPr>
                <w:rFonts w:hint="eastAsia" w:ascii="宋体" w:hAnsi="宋体" w:cs="仿宋"/>
                <w:bCs/>
                <w:color w:val="000000"/>
                <w:szCs w:val="21"/>
              </w:rPr>
              <w:t>扣当次支付项目进度款5%金额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540" w:type="dxa"/>
            <w:vAlign w:val="center"/>
          </w:tcPr>
          <w:p>
            <w:pPr>
              <w:widowControl/>
              <w:jc w:val="center"/>
              <w:rPr>
                <w:rFonts w:ascii="宋体" w:hAnsi="宋体" w:cs="仿宋"/>
                <w:bCs/>
                <w:color w:val="000000"/>
                <w:szCs w:val="21"/>
              </w:rPr>
            </w:pPr>
            <w:r>
              <w:rPr>
                <w:rFonts w:hint="eastAsia" w:ascii="宋体" w:hAnsi="宋体" w:cs="仿宋"/>
                <w:bCs/>
                <w:color w:val="000000"/>
                <w:szCs w:val="21"/>
              </w:rPr>
              <w:t>C级</w:t>
            </w:r>
          </w:p>
        </w:tc>
        <w:tc>
          <w:tcPr>
            <w:tcW w:w="3876" w:type="dxa"/>
            <w:vAlign w:val="center"/>
          </w:tcPr>
          <w:p>
            <w:pPr>
              <w:widowControl/>
              <w:rPr>
                <w:rFonts w:ascii="宋体" w:hAnsi="宋体" w:cs="仿宋"/>
                <w:bCs/>
                <w:color w:val="000000"/>
                <w:szCs w:val="21"/>
              </w:rPr>
            </w:pPr>
            <w:r>
              <w:rPr>
                <w:rFonts w:hint="eastAsia" w:ascii="宋体" w:hAnsi="宋体" w:cs="仿宋"/>
                <w:bCs/>
                <w:color w:val="000000"/>
                <w:szCs w:val="21"/>
              </w:rPr>
              <w:t>70分≤综合考评分&lt;80分，支付比例90%。</w:t>
            </w:r>
          </w:p>
        </w:tc>
        <w:tc>
          <w:tcPr>
            <w:tcW w:w="3577" w:type="dxa"/>
            <w:vAlign w:val="center"/>
          </w:tcPr>
          <w:p>
            <w:pPr>
              <w:widowControl/>
              <w:rPr>
                <w:rFonts w:ascii="宋体" w:hAnsi="宋体" w:cs="仿宋"/>
                <w:bCs/>
                <w:color w:val="000000"/>
                <w:szCs w:val="21"/>
              </w:rPr>
            </w:pPr>
            <w:r>
              <w:rPr>
                <w:rFonts w:hint="eastAsia" w:ascii="宋体" w:hAnsi="宋体" w:cs="仿宋"/>
                <w:bCs/>
                <w:color w:val="000000"/>
                <w:szCs w:val="21"/>
              </w:rPr>
              <w:t>扣当次支付项目进度款10%金额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1540" w:type="dxa"/>
            <w:vAlign w:val="center"/>
          </w:tcPr>
          <w:p>
            <w:pPr>
              <w:widowControl/>
              <w:jc w:val="center"/>
              <w:rPr>
                <w:rFonts w:ascii="宋体" w:hAnsi="宋体" w:cs="仿宋"/>
                <w:bCs/>
                <w:color w:val="000000"/>
                <w:szCs w:val="21"/>
              </w:rPr>
            </w:pPr>
            <w:r>
              <w:rPr>
                <w:rFonts w:hint="eastAsia" w:ascii="宋体" w:hAnsi="宋体" w:cs="仿宋"/>
                <w:bCs/>
                <w:color w:val="000000"/>
                <w:szCs w:val="21"/>
              </w:rPr>
              <w:t>D级</w:t>
            </w:r>
          </w:p>
        </w:tc>
        <w:tc>
          <w:tcPr>
            <w:tcW w:w="3876" w:type="dxa"/>
            <w:vAlign w:val="center"/>
          </w:tcPr>
          <w:p>
            <w:pPr>
              <w:widowControl/>
              <w:rPr>
                <w:rFonts w:ascii="宋体" w:hAnsi="宋体" w:cs="仿宋"/>
                <w:bCs/>
                <w:color w:val="000000"/>
                <w:szCs w:val="21"/>
              </w:rPr>
            </w:pPr>
            <w:r>
              <w:rPr>
                <w:rFonts w:hint="eastAsia" w:ascii="宋体" w:hAnsi="宋体" w:cs="仿宋"/>
                <w:bCs/>
                <w:color w:val="000000"/>
                <w:szCs w:val="21"/>
              </w:rPr>
              <w:t>60分≤综合考评分&lt;70分，支付比例80%。</w:t>
            </w:r>
          </w:p>
        </w:tc>
        <w:tc>
          <w:tcPr>
            <w:tcW w:w="3577" w:type="dxa"/>
            <w:vAlign w:val="center"/>
          </w:tcPr>
          <w:p>
            <w:pPr>
              <w:widowControl/>
              <w:rPr>
                <w:rFonts w:ascii="宋体" w:hAnsi="宋体" w:cs="仿宋"/>
                <w:bCs/>
                <w:color w:val="000000"/>
                <w:szCs w:val="21"/>
              </w:rPr>
            </w:pPr>
            <w:r>
              <w:rPr>
                <w:rFonts w:hint="eastAsia" w:ascii="宋体" w:hAnsi="宋体" w:cs="仿宋"/>
                <w:bCs/>
                <w:color w:val="000000"/>
                <w:szCs w:val="21"/>
              </w:rPr>
              <w:t>扣当次支付项目进度款20%金额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0" w:type="dxa"/>
            <w:vAlign w:val="center"/>
          </w:tcPr>
          <w:p>
            <w:pPr>
              <w:widowControl/>
              <w:jc w:val="center"/>
              <w:rPr>
                <w:rFonts w:ascii="宋体" w:hAnsi="宋体" w:cs="仿宋"/>
                <w:bCs/>
                <w:color w:val="000000"/>
                <w:szCs w:val="21"/>
              </w:rPr>
            </w:pPr>
            <w:r>
              <w:rPr>
                <w:rFonts w:hint="eastAsia" w:ascii="宋体" w:hAnsi="宋体" w:cs="仿宋"/>
                <w:bCs/>
                <w:color w:val="000000"/>
                <w:szCs w:val="21"/>
              </w:rPr>
              <w:t>E级</w:t>
            </w:r>
          </w:p>
        </w:tc>
        <w:tc>
          <w:tcPr>
            <w:tcW w:w="3876" w:type="dxa"/>
            <w:vAlign w:val="center"/>
          </w:tcPr>
          <w:p>
            <w:pPr>
              <w:widowControl/>
              <w:rPr>
                <w:rFonts w:ascii="宋体" w:hAnsi="宋体" w:cs="仿宋"/>
                <w:bCs/>
                <w:color w:val="000000"/>
                <w:szCs w:val="21"/>
              </w:rPr>
            </w:pPr>
            <w:r>
              <w:rPr>
                <w:rFonts w:hint="eastAsia" w:ascii="宋体" w:hAnsi="宋体" w:cs="仿宋"/>
                <w:bCs/>
                <w:color w:val="000000"/>
                <w:szCs w:val="21"/>
              </w:rPr>
              <w:t>综合考评分&lt;60分，支付比例70%。</w:t>
            </w:r>
          </w:p>
        </w:tc>
        <w:tc>
          <w:tcPr>
            <w:tcW w:w="3577" w:type="dxa"/>
            <w:vAlign w:val="center"/>
          </w:tcPr>
          <w:p>
            <w:pPr>
              <w:widowControl/>
              <w:rPr>
                <w:rFonts w:ascii="宋体" w:hAnsi="宋体" w:cs="仿宋"/>
                <w:bCs/>
                <w:color w:val="000000"/>
                <w:szCs w:val="21"/>
              </w:rPr>
            </w:pPr>
            <w:r>
              <w:rPr>
                <w:rFonts w:hint="eastAsia" w:ascii="宋体" w:hAnsi="宋体" w:cs="仿宋"/>
                <w:bCs/>
                <w:color w:val="000000"/>
                <w:szCs w:val="21"/>
              </w:rPr>
              <w:t>扣当次支付项目进度款30%金额，赔偿相关损失，招标人有权解除合同。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jc w:val="center"/>
        </w:trPr>
        <w:tc>
          <w:tcPr>
            <w:tcW w:w="8993" w:type="dxa"/>
            <w:gridSpan w:val="3"/>
            <w:vAlign w:val="center"/>
          </w:tcPr>
          <w:p>
            <w:pPr>
              <w:widowControl/>
              <w:rPr>
                <w:rFonts w:ascii="宋体" w:hAnsi="宋体" w:cs="仿宋"/>
                <w:bCs/>
                <w:color w:val="000000"/>
                <w:szCs w:val="21"/>
              </w:rPr>
            </w:pPr>
            <w:r>
              <w:rPr>
                <w:rFonts w:hint="eastAsia" w:ascii="宋体" w:hAnsi="宋体" w:cs="仿宋"/>
                <w:bCs/>
                <w:color w:val="000000"/>
                <w:szCs w:val="21"/>
              </w:rPr>
              <w:t xml:space="preserve">    当综合考评分90分以上（含90分）时，按照《运营公司承包商安全管理办法》、《通号部委外管理办法》进行考核，当综合考评分数在90分以下时，按照此表扣除相对应的服务费，扣除费用不再支付。同时，供应商应遵守《运营公司承包商安全管理办法》、《通号部委外管理办法》相关规定。</w:t>
            </w:r>
          </w:p>
        </w:tc>
      </w:tr>
    </w:tbl>
    <w:p>
      <w:pPr>
        <w:pStyle w:val="45"/>
        <w:spacing w:line="360" w:lineRule="auto"/>
        <w:rPr>
          <w:rFonts w:ascii="宋体" w:hAnsi="宋体"/>
          <w:szCs w:val="21"/>
        </w:rPr>
      </w:pPr>
    </w:p>
    <w:p>
      <w:pPr>
        <w:pStyle w:val="32"/>
        <w:numPr>
          <w:ilvl w:val="0"/>
          <w:numId w:val="6"/>
        </w:numPr>
        <w:tabs>
          <w:tab w:val="right" w:leader="dot" w:pos="8306"/>
        </w:tabs>
        <w:spacing w:line="360" w:lineRule="auto"/>
        <w:ind w:firstLine="422" w:firstLineChars="200"/>
        <w:outlineLvl w:val="9"/>
        <w:rPr>
          <w:rFonts w:hint="eastAsia" w:ascii="宋体" w:hAnsi="宋体" w:cs="楷体"/>
          <w:b/>
          <w:szCs w:val="21"/>
        </w:rPr>
      </w:pPr>
      <w:r>
        <w:rPr>
          <w:rFonts w:hint="eastAsia" w:ascii="宋体" w:hAnsi="宋体" w:cs="楷体"/>
          <w:b/>
          <w:szCs w:val="21"/>
        </w:rPr>
        <w:t>其他</w:t>
      </w:r>
    </w:p>
    <w:p>
      <w:pPr>
        <w:pStyle w:val="32"/>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s="楷体"/>
          <w:b w:val="0"/>
          <w:bCs/>
          <w:szCs w:val="21"/>
          <w:lang w:eastAsia="zh-CN"/>
        </w:rPr>
      </w:pPr>
      <w:r>
        <w:rPr>
          <w:rFonts w:hint="eastAsia" w:ascii="宋体" w:hAnsi="宋体" w:cs="楷体"/>
          <w:b w:val="0"/>
          <w:bCs/>
          <w:szCs w:val="21"/>
        </w:rPr>
        <w:t>无</w:t>
      </w:r>
      <w:r>
        <w:rPr>
          <w:rFonts w:hint="eastAsia" w:ascii="宋体" w:hAnsi="宋体" w:cs="楷体"/>
          <w:b w:val="0"/>
          <w:bCs/>
          <w:szCs w:val="21"/>
          <w:lang w:eastAsia="zh-CN"/>
        </w:rPr>
        <w:t>。</w:t>
      </w:r>
    </w:p>
    <w:p>
      <w:pPr>
        <w:pStyle w:val="15"/>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sectPr>
          <w:headerReference r:id="rId7" w:type="default"/>
          <w:footerReference r:id="rId8" w:type="default"/>
          <w:pgSz w:w="11906" w:h="16838"/>
          <w:pgMar w:top="1440" w:right="1797" w:bottom="1440" w:left="1797" w:header="851" w:footer="851" w:gutter="0"/>
          <w:pgNumType w:fmt="decimal"/>
          <w:cols w:space="720" w:num="1"/>
          <w:docGrid w:linePitch="312" w:charSpace="0"/>
        </w:sectPr>
      </w:pPr>
    </w:p>
    <w:p/>
    <w:p>
      <w:pPr>
        <w:pStyle w:val="3"/>
        <w:keepNext w:val="0"/>
        <w:rPr>
          <w:rFonts w:hint="eastAsia" w:ascii="宋体" w:hAnsi="宋体" w:eastAsia="宋体" w:cs="宋体"/>
          <w:bCs w:val="0"/>
          <w:color w:val="FF0000"/>
          <w:sz w:val="32"/>
          <w:szCs w:val="32"/>
        </w:rPr>
      </w:pPr>
      <w:bookmarkStart w:id="74" w:name="_Toc19554"/>
      <w:bookmarkStart w:id="75" w:name="_Toc13521"/>
      <w:bookmarkStart w:id="76" w:name="_Toc14891078"/>
      <w:bookmarkStart w:id="77" w:name="_Toc17441"/>
      <w:bookmarkStart w:id="78" w:name="_Toc22262"/>
      <w:r>
        <w:rPr>
          <w:rFonts w:hint="eastAsia" w:ascii="宋体" w:hAnsi="宋体" w:eastAsia="宋体" w:cs="宋体"/>
          <w:bCs w:val="0"/>
          <w:color w:val="auto"/>
          <w:sz w:val="32"/>
          <w:szCs w:val="32"/>
        </w:rPr>
        <w:t xml:space="preserve">第五章 </w:t>
      </w:r>
      <w:r>
        <w:rPr>
          <w:rFonts w:hint="eastAsia" w:ascii="宋体" w:hAnsi="宋体" w:cs="宋体"/>
          <w:bCs w:val="0"/>
          <w:color w:val="auto"/>
          <w:sz w:val="32"/>
          <w:szCs w:val="32"/>
          <w:lang w:val="en-US" w:eastAsia="zh-CN"/>
        </w:rPr>
        <w:t xml:space="preserve"> </w:t>
      </w:r>
      <w:r>
        <w:rPr>
          <w:rFonts w:hint="eastAsia" w:ascii="宋体" w:hAnsi="宋体" w:eastAsia="宋体" w:cs="宋体"/>
          <w:bCs w:val="0"/>
          <w:color w:val="auto"/>
          <w:sz w:val="32"/>
          <w:szCs w:val="32"/>
        </w:rPr>
        <w:t>合同格式条款</w:t>
      </w:r>
      <w:bookmarkEnd w:id="74"/>
      <w:bookmarkEnd w:id="75"/>
      <w:bookmarkEnd w:id="76"/>
      <w:bookmarkEnd w:id="77"/>
      <w:bookmarkEnd w:id="78"/>
    </w:p>
    <w:p>
      <w:pPr>
        <w:snapToGrid w:val="0"/>
        <w:spacing w:line="360" w:lineRule="auto"/>
        <w:jc w:val="center"/>
        <w:rPr>
          <w:rFonts w:ascii="黑体" w:eastAsia="黑体"/>
          <w:b/>
          <w:sz w:val="32"/>
          <w:szCs w:val="32"/>
        </w:rPr>
      </w:pPr>
    </w:p>
    <w:p>
      <w:pPr>
        <w:adjustRightInd w:val="0"/>
        <w:snapToGrid w:val="0"/>
        <w:spacing w:line="360" w:lineRule="auto"/>
        <w:ind w:firstLine="2880" w:firstLineChars="1200"/>
        <w:jc w:val="right"/>
        <w:rPr>
          <w:rFonts w:hint="eastAsia" w:ascii="宋体" w:hAnsi="宋体" w:eastAsia="宋体" w:cs="宋体"/>
          <w:sz w:val="22"/>
          <w:szCs w:val="18"/>
        </w:rPr>
      </w:pPr>
      <w:r>
        <w:rPr>
          <w:rFonts w:hint="eastAsia" w:ascii="宋体" w:hAnsi="宋体" w:eastAsia="宋体" w:cs="宋体"/>
          <w:sz w:val="24"/>
        </w:rPr>
        <w:t>合同编号:长轨运</w:t>
      </w:r>
      <w:r>
        <w:rPr>
          <w:rFonts w:hint="eastAsia" w:ascii="宋体" w:hAnsi="宋体" w:eastAsia="宋体" w:cs="宋体"/>
          <w:sz w:val="24"/>
          <w:u w:val="single"/>
          <w:lang w:val="en-US" w:eastAsia="zh-CN"/>
        </w:rPr>
        <w:t xml:space="preserve">   </w:t>
      </w:r>
      <w:r>
        <w:rPr>
          <w:rFonts w:hint="eastAsia" w:ascii="宋体" w:hAnsi="宋体" w:eastAsia="宋体" w:cs="宋体"/>
          <w:sz w:val="24"/>
          <w:lang w:eastAsia="zh-CN"/>
        </w:rPr>
        <w:t>服</w:t>
      </w:r>
      <w:r>
        <w:rPr>
          <w:rFonts w:hint="eastAsia" w:ascii="宋体" w:hAnsi="宋体" w:eastAsia="宋体" w:cs="宋体"/>
          <w:sz w:val="24"/>
        </w:rPr>
        <w:t>合[20</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u w:val="single"/>
          <w:lang w:val="en-US" w:eastAsia="zh-CN"/>
        </w:rPr>
        <w:t xml:space="preserve">   </w:t>
      </w:r>
      <w:r>
        <w:rPr>
          <w:rFonts w:hint="eastAsia" w:ascii="宋体" w:hAnsi="宋体" w:eastAsia="宋体" w:cs="宋体"/>
          <w:sz w:val="24"/>
        </w:rPr>
        <w:t>号</w:t>
      </w: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jc w:val="center"/>
        <w:rPr>
          <w:rFonts w:hint="eastAsia" w:ascii="宋体" w:hAnsi="宋体" w:eastAsia="宋体" w:cs="宋体"/>
          <w:b/>
          <w:sz w:val="48"/>
          <w:szCs w:val="48"/>
        </w:rPr>
      </w:pPr>
      <w:r>
        <w:rPr>
          <w:rFonts w:hint="eastAsia" w:ascii="宋体" w:hAnsi="宋体" w:eastAsia="宋体" w:cs="宋体"/>
          <w:b/>
          <w:spacing w:val="20"/>
          <w:sz w:val="52"/>
          <w:szCs w:val="52"/>
          <w:lang w:eastAsia="zh-CN"/>
        </w:rPr>
        <w:t>服务项目</w:t>
      </w:r>
      <w:r>
        <w:rPr>
          <w:rFonts w:hint="eastAsia" w:ascii="宋体" w:hAnsi="宋体" w:eastAsia="宋体" w:cs="宋体"/>
          <w:b/>
          <w:spacing w:val="20"/>
          <w:sz w:val="52"/>
          <w:szCs w:val="52"/>
        </w:rPr>
        <w:t>合同</w:t>
      </w: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afterLines="0" w:line="360" w:lineRule="auto"/>
        <w:ind w:firstLine="562" w:firstLineChars="200"/>
        <w:jc w:val="left"/>
        <w:rPr>
          <w:rFonts w:hint="eastAsia" w:ascii="宋体" w:hAnsi="宋体" w:eastAsia="宋体" w:cs="宋体"/>
          <w:b/>
          <w:sz w:val="28"/>
          <w:szCs w:val="28"/>
        </w:rPr>
      </w:pPr>
      <w:r>
        <w:rPr>
          <w:rFonts w:hint="eastAsia" w:ascii="宋体" w:hAnsi="宋体" w:eastAsia="宋体" w:cs="宋体"/>
          <w:b/>
          <w:sz w:val="28"/>
          <w:szCs w:val="28"/>
          <w:lang w:eastAsia="zh-CN"/>
        </w:rPr>
        <w:t>项目</w:t>
      </w:r>
      <w:r>
        <w:rPr>
          <w:rFonts w:hint="eastAsia" w:ascii="宋体" w:hAnsi="宋体" w:eastAsia="宋体" w:cs="宋体"/>
          <w:b/>
          <w:sz w:val="28"/>
          <w:szCs w:val="28"/>
        </w:rPr>
        <w:t>名称：</w:t>
      </w:r>
      <w:r>
        <w:rPr>
          <w:rFonts w:hint="eastAsia" w:ascii="宋体" w:hAnsi="宋体" w:eastAsia="宋体" w:cs="宋体"/>
          <w:b/>
          <w:sz w:val="28"/>
          <w:szCs w:val="28"/>
          <w:u w:val="dotted"/>
          <w:lang w:val="en-US" w:eastAsia="zh-CN"/>
        </w:rPr>
        <w:t xml:space="preserve">                                     </w:t>
      </w:r>
    </w:p>
    <w:p>
      <w:pPr>
        <w:adjustRightInd w:val="0"/>
        <w:snapToGrid w:val="0"/>
        <w:spacing w:afterLines="0" w:line="360" w:lineRule="auto"/>
        <w:ind w:firstLine="562" w:firstLineChars="200"/>
        <w:jc w:val="left"/>
        <w:rPr>
          <w:rFonts w:hint="eastAsia" w:ascii="宋体" w:hAnsi="宋体" w:eastAsia="宋体" w:cs="宋体"/>
          <w:b/>
          <w:sz w:val="28"/>
          <w:szCs w:val="28"/>
        </w:rPr>
      </w:pPr>
    </w:p>
    <w:p>
      <w:pPr>
        <w:adjustRightInd w:val="0"/>
        <w:snapToGrid w:val="0"/>
        <w:spacing w:afterLines="0" w:line="360" w:lineRule="auto"/>
        <w:ind w:firstLine="562" w:firstLineChars="200"/>
        <w:jc w:val="left"/>
        <w:rPr>
          <w:rFonts w:hint="eastAsia" w:ascii="宋体" w:hAnsi="宋体" w:eastAsia="宋体" w:cs="宋体"/>
          <w:b/>
          <w:sz w:val="28"/>
          <w:szCs w:val="28"/>
        </w:rPr>
      </w:pPr>
    </w:p>
    <w:p>
      <w:pPr>
        <w:adjustRightInd w:val="0"/>
        <w:snapToGrid w:val="0"/>
        <w:spacing w:afterLines="0" w:line="360" w:lineRule="auto"/>
        <w:ind w:firstLine="562" w:firstLineChars="200"/>
        <w:jc w:val="left"/>
        <w:rPr>
          <w:rFonts w:hint="eastAsia" w:ascii="宋体" w:hAnsi="宋体" w:eastAsia="宋体" w:cs="宋体"/>
          <w:b/>
          <w:sz w:val="28"/>
          <w:szCs w:val="28"/>
        </w:rPr>
      </w:pPr>
    </w:p>
    <w:p>
      <w:pPr>
        <w:adjustRightInd w:val="0"/>
        <w:snapToGrid w:val="0"/>
        <w:spacing w:afterLines="0" w:line="360" w:lineRule="auto"/>
        <w:ind w:firstLine="562" w:firstLineChars="200"/>
        <w:jc w:val="left"/>
        <w:rPr>
          <w:rFonts w:hint="eastAsia" w:ascii="宋体" w:hAnsi="宋体" w:eastAsia="宋体" w:cs="宋体"/>
          <w:b/>
          <w:sz w:val="28"/>
          <w:szCs w:val="28"/>
        </w:rPr>
      </w:pPr>
      <w:r>
        <w:rPr>
          <w:rFonts w:hint="eastAsia" w:ascii="宋体" w:hAnsi="宋体" w:eastAsia="宋体" w:cs="宋体"/>
          <w:b/>
          <w:sz w:val="28"/>
          <w:szCs w:val="28"/>
          <w:lang w:eastAsia="zh-CN"/>
        </w:rPr>
        <w:t>项目</w:t>
      </w:r>
      <w:r>
        <w:rPr>
          <w:rFonts w:hint="eastAsia" w:ascii="宋体" w:hAnsi="宋体" w:eastAsia="宋体" w:cs="宋体"/>
          <w:b/>
          <w:sz w:val="28"/>
          <w:szCs w:val="28"/>
        </w:rPr>
        <w:t>地点：</w:t>
      </w:r>
      <w:r>
        <w:rPr>
          <w:rFonts w:hint="eastAsia" w:ascii="宋体" w:hAnsi="宋体" w:eastAsia="宋体" w:cs="宋体"/>
          <w:b/>
          <w:sz w:val="28"/>
          <w:szCs w:val="28"/>
          <w:u w:val="dotted"/>
        </w:rPr>
        <w:t>湖南省长沙市</w:t>
      </w:r>
      <w:r>
        <w:rPr>
          <w:rFonts w:hint="eastAsia" w:ascii="宋体" w:hAnsi="宋体" w:eastAsia="宋体" w:cs="宋体"/>
          <w:b/>
          <w:sz w:val="28"/>
          <w:szCs w:val="28"/>
        </w:rPr>
        <w:t xml:space="preserve">    </w:t>
      </w:r>
    </w:p>
    <w:p>
      <w:pPr>
        <w:adjustRightInd w:val="0"/>
        <w:snapToGrid w:val="0"/>
        <w:spacing w:afterLines="0" w:line="360" w:lineRule="auto"/>
        <w:ind w:firstLine="562" w:firstLineChars="200"/>
        <w:jc w:val="left"/>
        <w:rPr>
          <w:rFonts w:hint="eastAsia" w:ascii="宋体" w:hAnsi="宋体" w:eastAsia="宋体" w:cs="宋体"/>
          <w:b/>
          <w:sz w:val="28"/>
          <w:szCs w:val="28"/>
        </w:rPr>
      </w:pPr>
    </w:p>
    <w:p>
      <w:pPr>
        <w:adjustRightInd w:val="0"/>
        <w:snapToGrid w:val="0"/>
        <w:spacing w:afterLines="0" w:line="360" w:lineRule="auto"/>
        <w:jc w:val="left"/>
        <w:rPr>
          <w:rFonts w:hint="eastAsia" w:ascii="宋体" w:hAnsi="宋体" w:eastAsia="宋体" w:cs="宋体"/>
          <w:b/>
          <w:sz w:val="28"/>
          <w:szCs w:val="28"/>
        </w:rPr>
      </w:pPr>
    </w:p>
    <w:p>
      <w:pPr>
        <w:adjustRightInd w:val="0"/>
        <w:snapToGrid w:val="0"/>
        <w:spacing w:afterLines="0" w:line="360" w:lineRule="auto"/>
        <w:ind w:firstLine="562" w:firstLineChars="200"/>
        <w:jc w:val="left"/>
        <w:rPr>
          <w:rFonts w:hint="eastAsia" w:ascii="宋体" w:hAnsi="宋体" w:eastAsia="宋体" w:cs="宋体"/>
          <w:b/>
          <w:sz w:val="28"/>
          <w:szCs w:val="28"/>
        </w:rPr>
      </w:pPr>
      <w:r>
        <w:rPr>
          <w:rFonts w:hint="eastAsia" w:ascii="宋体" w:hAnsi="宋体" w:eastAsia="宋体" w:cs="宋体"/>
          <w:b/>
          <w:sz w:val="28"/>
          <w:szCs w:val="28"/>
          <w:lang w:eastAsia="zh-CN"/>
        </w:rPr>
        <w:t>甲方</w:t>
      </w:r>
      <w:r>
        <w:rPr>
          <w:rFonts w:hint="eastAsia" w:ascii="宋体" w:hAnsi="宋体" w:eastAsia="宋体" w:cs="宋体"/>
          <w:b/>
          <w:sz w:val="28"/>
          <w:szCs w:val="28"/>
        </w:rPr>
        <w:t>：</w:t>
      </w:r>
      <w:r>
        <w:rPr>
          <w:rFonts w:hint="eastAsia" w:ascii="宋体" w:hAnsi="宋体" w:eastAsia="宋体" w:cs="宋体"/>
          <w:b/>
          <w:sz w:val="28"/>
          <w:szCs w:val="28"/>
          <w:u w:val="dotted"/>
        </w:rPr>
        <w:t xml:space="preserve"> </w:t>
      </w:r>
      <w:r>
        <w:rPr>
          <w:rFonts w:hint="eastAsia" w:ascii="宋体" w:hAnsi="宋体" w:eastAsia="宋体" w:cs="宋体"/>
          <w:b/>
          <w:sz w:val="28"/>
          <w:szCs w:val="28"/>
          <w:u w:val="dotted"/>
          <w:lang w:val="en-US" w:eastAsia="zh-CN"/>
        </w:rPr>
        <w:t xml:space="preserve">                         </w:t>
      </w:r>
      <w:r>
        <w:rPr>
          <w:rFonts w:hint="eastAsia" w:ascii="宋体" w:hAnsi="宋体" w:eastAsia="宋体" w:cs="宋体"/>
          <w:b/>
          <w:sz w:val="28"/>
          <w:szCs w:val="28"/>
          <w:u w:val="dotted"/>
        </w:rPr>
        <w:t xml:space="preserve"> </w:t>
      </w:r>
      <w:r>
        <w:rPr>
          <w:rFonts w:hint="eastAsia" w:ascii="宋体" w:hAnsi="宋体" w:eastAsia="宋体" w:cs="宋体"/>
          <w:b/>
          <w:sz w:val="28"/>
          <w:szCs w:val="28"/>
        </w:rPr>
        <w:t xml:space="preserve">    </w:t>
      </w:r>
    </w:p>
    <w:p>
      <w:pPr>
        <w:adjustRightInd w:val="0"/>
        <w:snapToGrid w:val="0"/>
        <w:spacing w:afterLines="0" w:line="360" w:lineRule="auto"/>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before="157" w:beforeLines="50" w:afterLines="0" w:line="360" w:lineRule="auto"/>
        <w:ind w:left="0" w:leftChars="0" w:right="0" w:rightChars="0" w:firstLine="562" w:firstLineChars="200"/>
        <w:jc w:val="left"/>
        <w:textAlignment w:val="auto"/>
        <w:outlineLvl w:val="9"/>
        <w:rPr>
          <w:rFonts w:hint="eastAsia" w:ascii="宋体" w:hAnsi="宋体" w:eastAsia="宋体" w:cs="宋体"/>
          <w:b/>
          <w:sz w:val="28"/>
          <w:szCs w:val="28"/>
        </w:rPr>
      </w:pPr>
      <w:r>
        <w:rPr>
          <w:rFonts w:hint="eastAsia" w:ascii="宋体" w:hAnsi="宋体" w:eastAsia="宋体" w:cs="宋体"/>
          <w:b/>
          <w:sz w:val="28"/>
          <w:szCs w:val="28"/>
        </w:rPr>
        <w:t>乙方：</w:t>
      </w:r>
      <w:r>
        <w:rPr>
          <w:rFonts w:hint="eastAsia" w:ascii="宋体" w:hAnsi="宋体" w:eastAsia="宋体" w:cs="宋体"/>
          <w:b/>
          <w:sz w:val="28"/>
          <w:szCs w:val="28"/>
          <w:u w:val="dotted"/>
        </w:rPr>
        <w:t xml:space="preserve"> </w:t>
      </w:r>
      <w:r>
        <w:rPr>
          <w:rFonts w:hint="eastAsia" w:ascii="宋体" w:hAnsi="宋体" w:eastAsia="宋体" w:cs="宋体"/>
          <w:b/>
          <w:sz w:val="28"/>
          <w:szCs w:val="28"/>
          <w:u w:val="dotted"/>
          <w:lang w:val="en-US" w:eastAsia="zh-CN"/>
        </w:rPr>
        <w:t xml:space="preserve">             </w:t>
      </w:r>
      <w:r>
        <w:rPr>
          <w:rFonts w:hint="eastAsia" w:ascii="宋体" w:hAnsi="宋体" w:eastAsia="宋体" w:cs="宋体"/>
          <w:b/>
          <w:sz w:val="28"/>
          <w:szCs w:val="28"/>
          <w:u w:val="dotted"/>
        </w:rPr>
        <w:t xml:space="preserve">   </w:t>
      </w:r>
      <w:r>
        <w:rPr>
          <w:rFonts w:hint="eastAsia" w:ascii="宋体" w:hAnsi="宋体" w:eastAsia="宋体" w:cs="宋体"/>
          <w:b/>
          <w:sz w:val="28"/>
          <w:szCs w:val="28"/>
          <w:u w:val="dotted"/>
          <w:lang w:val="en-US" w:eastAsia="zh-CN"/>
        </w:rPr>
        <w:t xml:space="preserve"> </w:t>
      </w:r>
      <w:r>
        <w:rPr>
          <w:rFonts w:hint="eastAsia" w:ascii="宋体" w:hAnsi="宋体" w:eastAsia="宋体" w:cs="宋体"/>
          <w:b/>
          <w:sz w:val="28"/>
          <w:szCs w:val="28"/>
          <w:u w:val="dotted"/>
        </w:rPr>
        <w:t xml:space="preserve">         </w:t>
      </w:r>
      <w:r>
        <w:rPr>
          <w:rFonts w:hint="eastAsia" w:ascii="宋体" w:hAnsi="宋体" w:eastAsia="宋体" w:cs="宋体"/>
          <w:b/>
          <w:sz w:val="28"/>
          <w:szCs w:val="28"/>
        </w:rPr>
        <w:t xml:space="preserve">    </w:t>
      </w:r>
    </w:p>
    <w:p>
      <w:pPr>
        <w:rPr>
          <w:rFonts w:hint="eastAsia" w:ascii="仿宋_GB2312" w:hAnsi="仿宋" w:eastAsia="仿宋_GB2312" w:cs="宋体"/>
          <w:b/>
          <w:bCs/>
          <w:sz w:val="32"/>
          <w:szCs w:val="32"/>
        </w:rPr>
      </w:pPr>
      <w:r>
        <w:rPr>
          <w:rFonts w:hint="eastAsia" w:ascii="仿宋_GB2312" w:hAnsi="仿宋" w:eastAsia="仿宋_GB2312" w:cs="宋体"/>
          <w:b/>
          <w:bCs/>
          <w:sz w:val="32"/>
          <w:szCs w:val="32"/>
        </w:rPr>
        <w:br w:type="page"/>
      </w:r>
    </w:p>
    <w:p>
      <w:pPr>
        <w:jc w:val="center"/>
        <w:outlineLvl w:val="9"/>
        <w:rPr>
          <w:rFonts w:hint="eastAsia" w:ascii="宋体" w:hAnsi="宋体" w:eastAsia="宋体" w:cs="宋体"/>
          <w:b w:val="0"/>
          <w:bCs w:val="0"/>
          <w:szCs w:val="32"/>
        </w:rPr>
      </w:pPr>
      <w:bookmarkStart w:id="79" w:name="_Toc524010281"/>
      <w:r>
        <w:rPr>
          <w:rFonts w:hint="eastAsia" w:ascii="宋体" w:hAnsi="宋体" w:eastAsia="宋体" w:cs="宋体"/>
          <w:sz w:val="32"/>
          <w:szCs w:val="32"/>
        </w:rPr>
        <w:t>第一部分 合同协议书</w:t>
      </w:r>
      <w:bookmarkEnd w:id="79"/>
    </w:p>
    <w:p>
      <w:pPr>
        <w:spacing w:before="14" w:line="360" w:lineRule="auto"/>
        <w:rPr>
          <w:rFonts w:hint="eastAsia" w:ascii="宋体" w:hAnsi="宋体" w:eastAsia="宋体" w:cs="宋体"/>
          <w:bCs/>
          <w:sz w:val="24"/>
        </w:rPr>
      </w:pPr>
    </w:p>
    <w:p>
      <w:pPr>
        <w:spacing w:before="14" w:line="360" w:lineRule="auto"/>
        <w:rPr>
          <w:rFonts w:hint="eastAsia" w:ascii="宋体" w:hAnsi="宋体" w:eastAsia="宋体" w:cs="宋体"/>
          <w:sz w:val="21"/>
          <w:szCs w:val="21"/>
        </w:rPr>
      </w:pPr>
      <w:r>
        <w:rPr>
          <w:rFonts w:hint="eastAsia" w:ascii="宋体" w:hAnsi="宋体" w:eastAsia="宋体" w:cs="宋体"/>
          <w:bCs/>
          <w:sz w:val="21"/>
          <w:szCs w:val="21"/>
        </w:rPr>
        <w:t>甲方（全称）：</w:t>
      </w:r>
      <w:r>
        <w:rPr>
          <w:rFonts w:hint="eastAsia" w:ascii="宋体" w:hAnsi="宋体" w:eastAsia="宋体" w:cs="宋体"/>
          <w:bCs/>
          <w:sz w:val="21"/>
          <w:szCs w:val="21"/>
          <w:u w:val="single"/>
          <w:lang w:val="en-US" w:eastAsia="zh-CN"/>
        </w:rPr>
        <w:t xml:space="preserve">                               </w:t>
      </w:r>
      <w:r>
        <w:rPr>
          <w:rFonts w:hint="eastAsia" w:ascii="宋体" w:hAnsi="宋体" w:eastAsia="宋体" w:cs="宋体"/>
          <w:sz w:val="21"/>
          <w:szCs w:val="21"/>
        </w:rPr>
        <w:t xml:space="preserve"> </w:t>
      </w:r>
    </w:p>
    <w:p>
      <w:pPr>
        <w:spacing w:before="14" w:line="360" w:lineRule="auto"/>
        <w:rPr>
          <w:rFonts w:hint="eastAsia" w:ascii="宋体" w:hAnsi="宋体" w:eastAsia="宋体" w:cs="宋体"/>
          <w:bCs/>
          <w:sz w:val="21"/>
          <w:szCs w:val="21"/>
          <w:u w:val="single"/>
        </w:rPr>
      </w:pPr>
      <w:r>
        <w:rPr>
          <w:rFonts w:hint="eastAsia" w:ascii="宋体" w:hAnsi="宋体" w:eastAsia="宋体" w:cs="宋体"/>
          <w:bCs/>
          <w:sz w:val="21"/>
          <w:szCs w:val="21"/>
        </w:rPr>
        <w:t>乙方（全称）：</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spacing w:before="14" w:line="360" w:lineRule="auto"/>
        <w:ind w:firstLine="420" w:firstLineChars="200"/>
        <w:rPr>
          <w:rFonts w:hint="eastAsia" w:ascii="宋体" w:hAnsi="宋体" w:eastAsia="宋体" w:cs="宋体"/>
          <w:sz w:val="21"/>
          <w:szCs w:val="21"/>
        </w:rPr>
      </w:pP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为进一步明确各方的权利、义务，甲、乙双方根据《中华人民共和国合同法》以及有关法律法规的规定，遵循平等、自愿、公平和诚实信用的原则，就</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有关事宜协商一致，签订本合同。</w:t>
      </w:r>
    </w:p>
    <w:p>
      <w:pPr>
        <w:adjustRightInd w:val="0"/>
        <w:snapToGrid w:val="0"/>
        <w:spacing w:line="4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一、项目概况：</w:t>
      </w:r>
      <w:r>
        <w:rPr>
          <w:rFonts w:hint="eastAsia" w:ascii="宋体" w:hAnsi="宋体" w:eastAsia="宋体" w:cs="宋体"/>
          <w:sz w:val="21"/>
          <w:szCs w:val="21"/>
          <w:u w:val="single"/>
        </w:rPr>
        <w:t>具体内容</w:t>
      </w:r>
      <w:r>
        <w:rPr>
          <w:rFonts w:hint="eastAsia" w:ascii="宋体" w:hAnsi="宋体" w:eastAsia="宋体" w:cs="宋体"/>
          <w:sz w:val="21"/>
          <w:szCs w:val="21"/>
          <w:u w:val="single"/>
          <w:lang w:val="en-US" w:eastAsia="zh-CN"/>
        </w:rPr>
        <w:t xml:space="preserve">详见用户需求书/技术规格书    </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二、服务范围及内容：</w:t>
      </w:r>
      <w:r>
        <w:rPr>
          <w:rFonts w:hint="eastAsia" w:ascii="宋体" w:hAnsi="宋体" w:eastAsia="宋体" w:cs="宋体"/>
          <w:sz w:val="21"/>
          <w:szCs w:val="21"/>
          <w:u w:val="single"/>
        </w:rPr>
        <w:t>具体内容详见</w:t>
      </w:r>
      <w:r>
        <w:rPr>
          <w:rFonts w:hint="eastAsia" w:ascii="宋体" w:hAnsi="宋体" w:eastAsia="宋体" w:cs="宋体"/>
          <w:sz w:val="21"/>
          <w:szCs w:val="21"/>
          <w:u w:val="single"/>
          <w:lang w:eastAsia="zh-CN"/>
        </w:rPr>
        <w:t>用户需求书/技术规格书</w:t>
      </w:r>
      <w:r>
        <w:rPr>
          <w:rFonts w:hint="eastAsia" w:ascii="宋体" w:hAnsi="宋体" w:eastAsia="宋体" w:cs="宋体"/>
          <w:sz w:val="21"/>
          <w:szCs w:val="21"/>
          <w:u w:val="single"/>
        </w:rPr>
        <w:t>。</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三、服务期限：</w:t>
      </w:r>
      <w:r>
        <w:rPr>
          <w:rFonts w:hint="eastAsia" w:ascii="宋体" w:hAnsi="宋体" w:eastAsia="宋体" w:cs="宋体"/>
          <w:sz w:val="21"/>
          <w:szCs w:val="21"/>
          <w:u w:val="single"/>
        </w:rPr>
        <w:t>具体内容详见</w:t>
      </w:r>
      <w:r>
        <w:rPr>
          <w:rFonts w:hint="eastAsia" w:ascii="宋体" w:hAnsi="宋体" w:eastAsia="宋体" w:cs="宋体"/>
          <w:sz w:val="21"/>
          <w:szCs w:val="21"/>
          <w:u w:val="single"/>
          <w:lang w:eastAsia="zh-CN"/>
        </w:rPr>
        <w:t>用户需求书/技术规格书</w:t>
      </w:r>
      <w:r>
        <w:rPr>
          <w:rFonts w:hint="eastAsia" w:ascii="宋体" w:hAnsi="宋体" w:eastAsia="宋体" w:cs="宋体"/>
          <w:sz w:val="21"/>
          <w:szCs w:val="21"/>
          <w:u w:val="single"/>
        </w:rPr>
        <w:t>。</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四、下述文件是本合同的一部分，一起阅读和解释：</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（1）补充协议（如果有）；</w:t>
      </w:r>
    </w:p>
    <w:p>
      <w:pPr>
        <w:adjustRightInd w:val="0"/>
        <w:snapToGrid w:val="0"/>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（2）合同协议书</w:t>
      </w:r>
      <w:r>
        <w:rPr>
          <w:rFonts w:hint="eastAsia" w:ascii="宋体" w:hAnsi="宋体" w:cs="宋体"/>
          <w:sz w:val="21"/>
          <w:szCs w:val="21"/>
          <w:lang w:eastAsia="zh-CN"/>
        </w:rPr>
        <w:t>；</w:t>
      </w:r>
    </w:p>
    <w:p>
      <w:pPr>
        <w:adjustRightInd w:val="0"/>
        <w:snapToGrid w:val="0"/>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（3）中</w:t>
      </w:r>
      <w:r>
        <w:rPr>
          <w:rFonts w:hint="eastAsia" w:ascii="宋体" w:hAnsi="宋体" w:eastAsia="宋体" w:cs="宋体"/>
          <w:sz w:val="21"/>
          <w:szCs w:val="21"/>
          <w:lang w:eastAsia="zh-CN"/>
        </w:rPr>
        <w:t>选</w:t>
      </w:r>
      <w:r>
        <w:rPr>
          <w:rFonts w:hint="eastAsia" w:ascii="宋体" w:hAnsi="宋体" w:eastAsia="宋体" w:cs="宋体"/>
          <w:sz w:val="21"/>
          <w:szCs w:val="21"/>
        </w:rPr>
        <w:t>通知书</w:t>
      </w:r>
      <w:r>
        <w:rPr>
          <w:rFonts w:hint="eastAsia" w:ascii="宋体" w:hAnsi="宋体" w:cs="宋体"/>
          <w:sz w:val="21"/>
          <w:szCs w:val="21"/>
          <w:lang w:eastAsia="zh-CN"/>
        </w:rPr>
        <w:t>；</w:t>
      </w:r>
    </w:p>
    <w:p>
      <w:pPr>
        <w:adjustRightInd w:val="0"/>
        <w:snapToGrid w:val="0"/>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（4）合同条款</w:t>
      </w:r>
      <w:r>
        <w:rPr>
          <w:rFonts w:hint="eastAsia" w:ascii="宋体" w:hAnsi="宋体" w:cs="宋体"/>
          <w:sz w:val="21"/>
          <w:szCs w:val="21"/>
          <w:lang w:eastAsia="zh-CN"/>
        </w:rPr>
        <w:t>；</w:t>
      </w:r>
    </w:p>
    <w:p>
      <w:pPr>
        <w:adjustRightInd w:val="0"/>
        <w:snapToGrid w:val="0"/>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（5）</w:t>
      </w:r>
      <w:r>
        <w:rPr>
          <w:rFonts w:hint="eastAsia" w:ascii="宋体" w:hAnsi="宋体" w:eastAsia="宋体" w:cs="宋体"/>
          <w:sz w:val="21"/>
          <w:szCs w:val="21"/>
          <w:u w:val="single"/>
          <w:lang w:eastAsia="zh-CN"/>
        </w:rPr>
        <w:t>用户需求书</w:t>
      </w:r>
      <w:r>
        <w:rPr>
          <w:rFonts w:hint="eastAsia" w:ascii="宋体" w:hAnsi="宋体" w:eastAsia="宋体" w:cs="宋体"/>
          <w:sz w:val="21"/>
          <w:szCs w:val="21"/>
          <w:u w:val="single"/>
          <w:lang w:val="en-US" w:eastAsia="zh-CN"/>
        </w:rPr>
        <w:t>/</w:t>
      </w:r>
      <w:r>
        <w:rPr>
          <w:rFonts w:hint="eastAsia" w:ascii="宋体" w:hAnsi="宋体" w:eastAsia="宋体" w:cs="宋体"/>
          <w:sz w:val="21"/>
          <w:szCs w:val="21"/>
          <w:u w:val="single"/>
        </w:rPr>
        <w:t>技术规格书</w:t>
      </w:r>
      <w:r>
        <w:rPr>
          <w:rFonts w:hint="eastAsia" w:ascii="宋体" w:hAnsi="宋体" w:cs="宋体"/>
          <w:sz w:val="21"/>
          <w:szCs w:val="21"/>
          <w:lang w:eastAsia="zh-CN"/>
        </w:rPr>
        <w:t>；</w:t>
      </w:r>
    </w:p>
    <w:p>
      <w:pPr>
        <w:adjustRightInd w:val="0"/>
        <w:snapToGrid w:val="0"/>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（6）价格清单</w:t>
      </w:r>
      <w:r>
        <w:rPr>
          <w:rFonts w:hint="eastAsia" w:ascii="宋体" w:hAnsi="宋体" w:cs="宋体"/>
          <w:sz w:val="21"/>
          <w:szCs w:val="21"/>
          <w:lang w:eastAsia="zh-CN"/>
        </w:rPr>
        <w:t>；</w:t>
      </w:r>
    </w:p>
    <w:p>
      <w:pPr>
        <w:adjustRightInd w:val="0"/>
        <w:snapToGrid w:val="0"/>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（7）合同其他附件及乙方按合同附录格式及要求出具的文件</w:t>
      </w:r>
      <w:r>
        <w:rPr>
          <w:rFonts w:hint="eastAsia" w:ascii="宋体" w:hAnsi="宋体" w:cs="宋体"/>
          <w:sz w:val="21"/>
          <w:szCs w:val="21"/>
          <w:lang w:eastAsia="zh-CN"/>
        </w:rPr>
        <w:t>；</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eastAsia="zh-CN"/>
        </w:rPr>
        <w:t>自主竞争性谈判</w:t>
      </w:r>
      <w:r>
        <w:rPr>
          <w:rFonts w:hint="eastAsia" w:ascii="宋体" w:hAnsi="宋体" w:eastAsia="宋体" w:cs="宋体"/>
          <w:sz w:val="21"/>
          <w:szCs w:val="21"/>
        </w:rPr>
        <w:t>文件、澄清与答疑文件及其它补充资料；</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lang w:eastAsia="zh-CN"/>
        </w:rPr>
        <w:t>响应</w:t>
      </w:r>
      <w:r>
        <w:rPr>
          <w:rFonts w:hint="eastAsia" w:ascii="宋体" w:hAnsi="宋体" w:eastAsia="宋体" w:cs="宋体"/>
          <w:sz w:val="21"/>
          <w:szCs w:val="21"/>
        </w:rPr>
        <w:t>文件、澄清文件及其它补充资料；</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（10）其他构成本合同的文件。</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上述各项合同文件包括合同当事人就该项合同文件所作出的补充和修改，属于同一类内容的文件，应以最新签署的为准。</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五、考虑到甲方将按照本合同向乙方支付，乙方在此保证全部按照合同的规定向甲方提供货物和服务。</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六、考虑到乙方提供的货物和服务，甲方在此保证按照合同规定的时间和方式向乙方支付合同价格或其它按合同规定应支付的金额。</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七、本合同正本二份、副本</w:t>
      </w:r>
      <w:r>
        <w:rPr>
          <w:rFonts w:hint="eastAsia" w:ascii="宋体" w:hAnsi="宋体" w:eastAsia="宋体" w:cs="宋体"/>
          <w:sz w:val="21"/>
          <w:szCs w:val="21"/>
          <w:lang w:eastAsia="zh-CN"/>
        </w:rPr>
        <w:t>六</w:t>
      </w:r>
      <w:r>
        <w:rPr>
          <w:rFonts w:hint="eastAsia" w:ascii="宋体" w:hAnsi="宋体" w:eastAsia="宋体" w:cs="宋体"/>
          <w:sz w:val="21"/>
          <w:szCs w:val="21"/>
        </w:rPr>
        <w:t>份，甲方持正本一份、副本</w:t>
      </w:r>
      <w:r>
        <w:rPr>
          <w:rFonts w:hint="eastAsia" w:ascii="宋体" w:hAnsi="宋体" w:eastAsia="宋体" w:cs="宋体"/>
          <w:sz w:val="21"/>
          <w:szCs w:val="21"/>
          <w:lang w:eastAsia="zh-CN"/>
        </w:rPr>
        <w:t>五</w:t>
      </w:r>
      <w:r>
        <w:rPr>
          <w:rFonts w:hint="eastAsia" w:ascii="宋体" w:hAnsi="宋体" w:eastAsia="宋体" w:cs="宋体"/>
          <w:sz w:val="21"/>
          <w:szCs w:val="21"/>
        </w:rPr>
        <w:t>份，乙方持正本一份、副本</w:t>
      </w:r>
      <w:r>
        <w:rPr>
          <w:rFonts w:hint="eastAsia" w:ascii="宋体" w:hAnsi="宋体" w:eastAsia="宋体" w:cs="宋体"/>
          <w:sz w:val="21"/>
          <w:szCs w:val="21"/>
          <w:lang w:eastAsia="zh-CN"/>
        </w:rPr>
        <w:t>一</w:t>
      </w:r>
      <w:r>
        <w:rPr>
          <w:rFonts w:hint="eastAsia" w:ascii="宋体" w:hAnsi="宋体" w:eastAsia="宋体" w:cs="宋体"/>
          <w:sz w:val="21"/>
          <w:szCs w:val="21"/>
        </w:rPr>
        <w:t>份。合同正本与副本具有同等效力，当合同副本与正本之间存有差异时，以合同正本为准。</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八、本合同自双方法定代表人或授权代理人签字，加盖合同专用章后生效。</w:t>
      </w:r>
    </w:p>
    <w:p>
      <w:pPr>
        <w:adjustRightInd w:val="0"/>
        <w:snapToGrid w:val="0"/>
        <w:spacing w:line="460" w:lineRule="exact"/>
        <w:ind w:firstLine="420" w:firstLineChars="200"/>
        <w:rPr>
          <w:rFonts w:hint="eastAsia" w:ascii="宋体" w:hAnsi="宋体" w:eastAsia="宋体" w:cs="宋体"/>
          <w:sz w:val="21"/>
          <w:szCs w:val="21"/>
        </w:rPr>
      </w:pPr>
    </w:p>
    <w:p>
      <w:pPr>
        <w:adjustRightInd w:val="0"/>
        <w:snapToGrid w:val="0"/>
        <w:spacing w:line="460" w:lineRule="exact"/>
        <w:ind w:firstLine="420" w:firstLineChars="200"/>
        <w:rPr>
          <w:rFonts w:hint="eastAsia" w:ascii="宋体" w:hAnsi="宋体" w:eastAsia="宋体" w:cs="宋体"/>
          <w:sz w:val="21"/>
          <w:szCs w:val="21"/>
        </w:rPr>
      </w:pPr>
    </w:p>
    <w:tbl>
      <w:tblPr>
        <w:tblStyle w:val="46"/>
        <w:tblW w:w="7780" w:type="dxa"/>
        <w:jc w:val="center"/>
        <w:tblInd w:w="0" w:type="dxa"/>
        <w:tblLayout w:type="fixed"/>
        <w:tblCellMar>
          <w:top w:w="0" w:type="dxa"/>
          <w:left w:w="108" w:type="dxa"/>
          <w:bottom w:w="0" w:type="dxa"/>
          <w:right w:w="108" w:type="dxa"/>
        </w:tblCellMar>
      </w:tblPr>
      <w:tblGrid>
        <w:gridCol w:w="3986"/>
        <w:gridCol w:w="3794"/>
      </w:tblGrid>
      <w:tr>
        <w:tblPrEx>
          <w:tblLayout w:type="fixed"/>
          <w:tblCellMar>
            <w:top w:w="0" w:type="dxa"/>
            <w:left w:w="108" w:type="dxa"/>
            <w:bottom w:w="0" w:type="dxa"/>
            <w:right w:w="108" w:type="dxa"/>
          </w:tblCellMar>
        </w:tblPrEx>
        <w:trPr>
          <w:trHeight w:val="539" w:hRule="atLeast"/>
          <w:jc w:val="center"/>
        </w:trPr>
        <w:tc>
          <w:tcPr>
            <w:tcW w:w="3986"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：(盖章)</w:t>
            </w:r>
          </w:p>
        </w:tc>
        <w:tc>
          <w:tcPr>
            <w:tcW w:w="3794"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乙</w:t>
            </w:r>
            <w:r>
              <w:rPr>
                <w:rFonts w:hint="eastAsia" w:ascii="宋体" w:hAnsi="宋体" w:eastAsia="宋体" w:cs="宋体"/>
                <w:sz w:val="21"/>
                <w:szCs w:val="21"/>
              </w:rPr>
              <w:t>方：（盖章）</w:t>
            </w:r>
          </w:p>
        </w:tc>
      </w:tr>
      <w:tr>
        <w:tblPrEx>
          <w:tblLayout w:type="fixed"/>
          <w:tblCellMar>
            <w:top w:w="0" w:type="dxa"/>
            <w:left w:w="108" w:type="dxa"/>
            <w:bottom w:w="0" w:type="dxa"/>
            <w:right w:w="108" w:type="dxa"/>
          </w:tblCellMar>
        </w:tblPrEx>
        <w:trPr>
          <w:trHeight w:val="785" w:hRule="atLeast"/>
          <w:jc w:val="center"/>
        </w:trPr>
        <w:tc>
          <w:tcPr>
            <w:tcW w:w="3986"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法定代表人或其授权代表：</w:t>
            </w:r>
          </w:p>
        </w:tc>
        <w:tc>
          <w:tcPr>
            <w:tcW w:w="3794"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法定代表人或其授权代表：</w:t>
            </w:r>
          </w:p>
        </w:tc>
      </w:tr>
      <w:tr>
        <w:tblPrEx>
          <w:tblLayout w:type="fixed"/>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地址： </w:t>
            </w:r>
          </w:p>
        </w:tc>
        <w:tc>
          <w:tcPr>
            <w:tcW w:w="3794"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地址：</w:t>
            </w:r>
          </w:p>
        </w:tc>
      </w:tr>
      <w:tr>
        <w:tblPrEx>
          <w:tblLayout w:type="fixed"/>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邮编： </w:t>
            </w:r>
          </w:p>
        </w:tc>
        <w:tc>
          <w:tcPr>
            <w:tcW w:w="3794"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邮编：</w:t>
            </w:r>
          </w:p>
        </w:tc>
      </w:tr>
      <w:tr>
        <w:tblPrEx>
          <w:tblLayout w:type="fixed"/>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电话： </w:t>
            </w:r>
          </w:p>
        </w:tc>
        <w:tc>
          <w:tcPr>
            <w:tcW w:w="3794"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电话：</w:t>
            </w:r>
          </w:p>
        </w:tc>
      </w:tr>
      <w:tr>
        <w:tblPrEx>
          <w:tblLayout w:type="fixed"/>
          <w:tblCellMar>
            <w:top w:w="0" w:type="dxa"/>
            <w:left w:w="108" w:type="dxa"/>
            <w:bottom w:w="0" w:type="dxa"/>
            <w:right w:w="108" w:type="dxa"/>
          </w:tblCellMar>
        </w:tblPrEx>
        <w:trPr>
          <w:trHeight w:val="1286" w:hRule="atLeast"/>
          <w:jc w:val="center"/>
        </w:trPr>
        <w:tc>
          <w:tcPr>
            <w:tcW w:w="3986"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传真： </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电子邮箱：</w:t>
            </w:r>
          </w:p>
        </w:tc>
        <w:tc>
          <w:tcPr>
            <w:tcW w:w="3794"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传真：</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电子邮箱：</w:t>
            </w:r>
          </w:p>
        </w:tc>
      </w:tr>
      <w:tr>
        <w:tblPrEx>
          <w:tblLayout w:type="fixed"/>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开户银行：</w:t>
            </w:r>
            <w:r>
              <w:rPr>
                <w:rFonts w:hint="eastAsia" w:ascii="宋体" w:hAnsi="宋体" w:eastAsia="宋体" w:cs="宋体"/>
                <w:sz w:val="21"/>
                <w:szCs w:val="21"/>
                <w:lang w:val="en-US" w:eastAsia="zh-CN"/>
              </w:rPr>
              <w:t xml:space="preserve"> </w:t>
            </w:r>
          </w:p>
        </w:tc>
        <w:tc>
          <w:tcPr>
            <w:tcW w:w="3794"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开户银行：</w:t>
            </w:r>
          </w:p>
        </w:tc>
      </w:tr>
      <w:tr>
        <w:tblPrEx>
          <w:tblLayout w:type="fixed"/>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账号：</w:t>
            </w:r>
            <w:r>
              <w:rPr>
                <w:rFonts w:hint="eastAsia" w:ascii="宋体" w:hAnsi="宋体" w:eastAsia="宋体" w:cs="宋体"/>
                <w:sz w:val="21"/>
                <w:szCs w:val="21"/>
                <w:lang w:val="en-US" w:eastAsia="zh-CN"/>
              </w:rPr>
              <w:t xml:space="preserve"> </w:t>
            </w:r>
          </w:p>
        </w:tc>
        <w:tc>
          <w:tcPr>
            <w:tcW w:w="3794" w:type="dxa"/>
            <w:tcBorders>
              <w:top w:val="nil"/>
              <w:left w:val="nil"/>
              <w:bottom w:val="nil"/>
              <w:right w:val="nil"/>
            </w:tcBorders>
            <w:noWrap w:val="0"/>
            <w:vAlign w:val="top"/>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账号：</w:t>
            </w:r>
          </w:p>
        </w:tc>
      </w:tr>
      <w:tr>
        <w:tblPrEx>
          <w:tblLayout w:type="fixed"/>
          <w:tblCellMar>
            <w:top w:w="0" w:type="dxa"/>
            <w:left w:w="108" w:type="dxa"/>
            <w:bottom w:w="0" w:type="dxa"/>
            <w:right w:w="108" w:type="dxa"/>
          </w:tblCellMar>
        </w:tblPrEx>
        <w:trPr>
          <w:trHeight w:val="507" w:hRule="atLeast"/>
          <w:jc w:val="center"/>
        </w:trPr>
        <w:tc>
          <w:tcPr>
            <w:tcW w:w="3986" w:type="dxa"/>
            <w:tcBorders>
              <w:top w:val="nil"/>
              <w:left w:val="nil"/>
              <w:bottom w:val="nil"/>
              <w:right w:val="nil"/>
            </w:tcBorders>
            <w:noWrap w:val="0"/>
            <w:vAlign w:val="top"/>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税号：</w:t>
            </w:r>
            <w:r>
              <w:rPr>
                <w:rFonts w:hint="eastAsia" w:ascii="宋体" w:hAnsi="宋体" w:eastAsia="宋体" w:cs="宋体"/>
                <w:sz w:val="21"/>
                <w:szCs w:val="21"/>
                <w:lang w:val="en-US" w:eastAsia="zh-CN"/>
              </w:rPr>
              <w:t xml:space="preserve"> </w:t>
            </w:r>
          </w:p>
        </w:tc>
        <w:tc>
          <w:tcPr>
            <w:tcW w:w="3794" w:type="dxa"/>
            <w:tcBorders>
              <w:top w:val="nil"/>
              <w:left w:val="nil"/>
              <w:bottom w:val="nil"/>
              <w:right w:val="nil"/>
            </w:tcBorders>
            <w:noWrap w:val="0"/>
            <w:vAlign w:val="top"/>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税号：</w:t>
            </w:r>
          </w:p>
        </w:tc>
      </w:tr>
    </w:tbl>
    <w:p>
      <w:pPr>
        <w:rPr>
          <w:rFonts w:hint="eastAsia" w:ascii="宋体" w:hAnsi="宋体" w:eastAsia="宋体" w:cs="宋体"/>
          <w:b/>
          <w:sz w:val="21"/>
          <w:szCs w:val="21"/>
        </w:rPr>
      </w:pPr>
    </w:p>
    <w:p>
      <w:pPr>
        <w:rPr>
          <w:rFonts w:hint="eastAsia" w:ascii="宋体" w:hAnsi="宋体" w:eastAsia="宋体" w:cs="宋体"/>
          <w:b/>
          <w:sz w:val="32"/>
          <w:szCs w:val="72"/>
        </w:rPr>
      </w:pPr>
    </w:p>
    <w:p>
      <w:pPr>
        <w:rPr>
          <w:rFonts w:hint="eastAsia" w:ascii="宋体" w:hAnsi="宋体" w:eastAsia="宋体" w:cs="宋体"/>
          <w:b/>
          <w:sz w:val="32"/>
          <w:szCs w:val="72"/>
        </w:rPr>
      </w:pPr>
      <w:bookmarkStart w:id="80" w:name="_Toc524010282"/>
      <w:r>
        <w:rPr>
          <w:rFonts w:hint="eastAsia" w:ascii="宋体" w:hAnsi="宋体" w:eastAsia="宋体" w:cs="宋体"/>
          <w:b/>
          <w:sz w:val="32"/>
          <w:szCs w:val="72"/>
        </w:rPr>
        <w:br w:type="page"/>
      </w:r>
    </w:p>
    <w:p>
      <w:pPr>
        <w:adjustRightInd w:val="0"/>
        <w:snapToGrid w:val="0"/>
        <w:spacing w:line="360" w:lineRule="auto"/>
        <w:jc w:val="center"/>
        <w:outlineLvl w:val="9"/>
        <w:rPr>
          <w:rFonts w:hint="eastAsia" w:ascii="宋体" w:hAnsi="宋体" w:eastAsia="宋体" w:cs="宋体"/>
          <w:b/>
          <w:sz w:val="32"/>
          <w:szCs w:val="72"/>
          <w:lang w:eastAsia="zh-CN"/>
        </w:rPr>
      </w:pPr>
      <w:r>
        <w:rPr>
          <w:rFonts w:hint="eastAsia" w:ascii="宋体" w:hAnsi="宋体" w:eastAsia="宋体" w:cs="宋体"/>
          <w:b/>
          <w:sz w:val="32"/>
          <w:szCs w:val="72"/>
        </w:rPr>
        <w:t>第二部分 中</w:t>
      </w:r>
      <w:r>
        <w:rPr>
          <w:rFonts w:hint="eastAsia" w:ascii="宋体" w:hAnsi="宋体" w:eastAsia="宋体" w:cs="宋体"/>
          <w:b/>
          <w:sz w:val="32"/>
          <w:szCs w:val="72"/>
          <w:lang w:eastAsia="zh-CN"/>
        </w:rPr>
        <w:t>选</w:t>
      </w:r>
      <w:r>
        <w:rPr>
          <w:rFonts w:hint="eastAsia" w:ascii="宋体" w:hAnsi="宋体" w:eastAsia="宋体" w:cs="宋体"/>
          <w:b/>
          <w:sz w:val="32"/>
          <w:szCs w:val="72"/>
        </w:rPr>
        <w:t>通知书</w:t>
      </w:r>
      <w:bookmarkEnd w:id="80"/>
    </w:p>
    <w:p>
      <w:pPr>
        <w:outlineLvl w:val="9"/>
        <w:rPr>
          <w:rFonts w:hint="eastAsia" w:ascii="宋体" w:hAnsi="宋体" w:eastAsia="宋体" w:cs="宋体"/>
          <w:b/>
          <w:sz w:val="32"/>
          <w:szCs w:val="72"/>
        </w:rPr>
      </w:pPr>
    </w:p>
    <w:p>
      <w:pPr>
        <w:outlineLvl w:val="9"/>
        <w:rPr>
          <w:rFonts w:hint="eastAsia" w:ascii="宋体" w:hAnsi="宋体" w:eastAsia="宋体" w:cs="宋体"/>
          <w:b/>
          <w:sz w:val="32"/>
          <w:szCs w:val="72"/>
        </w:rPr>
      </w:pPr>
    </w:p>
    <w:p>
      <w:pPr>
        <w:outlineLvl w:val="9"/>
        <w:rPr>
          <w:rFonts w:hint="eastAsia" w:ascii="宋体" w:hAnsi="宋体" w:eastAsia="宋体" w:cs="宋体"/>
          <w:b/>
          <w:sz w:val="32"/>
          <w:szCs w:val="72"/>
        </w:rPr>
      </w:pPr>
      <w:bookmarkStart w:id="81" w:name="_Toc524010283"/>
      <w:r>
        <w:rPr>
          <w:rFonts w:hint="eastAsia" w:ascii="宋体" w:hAnsi="宋体" w:eastAsia="宋体" w:cs="宋体"/>
          <w:b/>
          <w:sz w:val="32"/>
          <w:szCs w:val="72"/>
        </w:rPr>
        <w:br w:type="page"/>
      </w:r>
    </w:p>
    <w:p>
      <w:pPr>
        <w:adjustRightInd w:val="0"/>
        <w:snapToGrid w:val="0"/>
        <w:spacing w:line="360" w:lineRule="auto"/>
        <w:jc w:val="center"/>
        <w:outlineLvl w:val="9"/>
        <w:rPr>
          <w:rFonts w:hint="eastAsia" w:ascii="宋体" w:hAnsi="宋体" w:eastAsia="宋体" w:cs="宋体"/>
          <w:b/>
          <w:sz w:val="32"/>
          <w:szCs w:val="72"/>
        </w:rPr>
      </w:pPr>
      <w:r>
        <w:rPr>
          <w:rFonts w:hint="eastAsia" w:ascii="宋体" w:hAnsi="宋体" w:eastAsia="宋体" w:cs="宋体"/>
          <w:b/>
          <w:sz w:val="32"/>
          <w:szCs w:val="72"/>
        </w:rPr>
        <w:t>第三部分 合同条款</w:t>
      </w:r>
      <w:bookmarkEnd w:id="81"/>
    </w:p>
    <w:p>
      <w:pPr>
        <w:outlineLvl w:val="9"/>
        <w:rPr>
          <w:rFonts w:hint="eastAsia" w:ascii="宋体" w:hAnsi="宋体" w:eastAsia="宋体" w:cs="宋体"/>
          <w:b/>
          <w:sz w:val="21"/>
          <w:szCs w:val="21"/>
        </w:rPr>
      </w:pPr>
      <w:bookmarkStart w:id="82" w:name="_Toc490667197"/>
      <w:bookmarkStart w:id="83" w:name="_Toc524010284"/>
      <w:bookmarkStart w:id="84" w:name="_Toc25426"/>
      <w:r>
        <w:rPr>
          <w:rFonts w:hint="eastAsia" w:ascii="宋体" w:hAnsi="宋体" w:eastAsia="宋体" w:cs="宋体"/>
          <w:b/>
          <w:sz w:val="21"/>
          <w:szCs w:val="21"/>
        </w:rPr>
        <w:t>一、定义与解释</w:t>
      </w:r>
      <w:bookmarkEnd w:id="82"/>
      <w:bookmarkEnd w:id="83"/>
      <w:bookmarkEnd w:id="84"/>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1、“合同”是指甲乙双方签署的、合同格式中载明的甲乙双方所达成的协议，包括合同协议书、合同条款及合同附件、合同附录和上述文件所提到的构成合同的所有文件。</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2、“签约酬金”是指甲方和乙方在合同协议书中确定的金额，即本项目的中标价或中选价或成交价。</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3、“酬金”是指根据本合同规定乙方在正确地完全履行合同义务后，经长沙市政府相关职能部门或</w:t>
      </w:r>
      <w:r>
        <w:rPr>
          <w:rFonts w:hint="eastAsia" w:ascii="宋体" w:hAnsi="宋体" w:eastAsia="宋体" w:cs="宋体"/>
          <w:sz w:val="21"/>
          <w:szCs w:val="21"/>
          <w:lang w:eastAsia="zh-CN"/>
        </w:rPr>
        <w:t>甲方</w:t>
      </w:r>
      <w:r>
        <w:rPr>
          <w:rFonts w:hint="eastAsia" w:ascii="宋体" w:hAnsi="宋体" w:eastAsia="宋体" w:cs="宋体"/>
          <w:sz w:val="21"/>
          <w:szCs w:val="21"/>
        </w:rPr>
        <w:t>审定的结算价格。</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4、“服务”是指根据本合同规定乙方在本项目中应承担所有工作和一切义务。</w:t>
      </w:r>
    </w:p>
    <w:p>
      <w:pPr>
        <w:adjustRightInd w:val="0"/>
        <w:snapToGrid w:val="0"/>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5、“甲方”是指委托服务的一方以及其合法继承人，即合同协议书中所述的甲方。</w:t>
      </w:r>
    </w:p>
    <w:p>
      <w:pPr>
        <w:adjustRightInd w:val="0"/>
        <w:snapToGrid w:val="0"/>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6、“乙方”是指承担服务的一方以及其合法继承人，即合同协议书中所述的乙方。</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7、“现场”是指合同协议书中明确的履行服务的现场。</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8、“日”是指任何一天零时至第二天零时的时间段。</w:t>
      </w:r>
    </w:p>
    <w:p>
      <w:pPr>
        <w:adjustRightInd w:val="0"/>
        <w:snapToGrid w:val="0"/>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9、“月”是指根据公历从一个月份中任何一天开始到下一个月相应日期的前一天的时间段。</w:t>
      </w:r>
    </w:p>
    <w:p>
      <w:pPr>
        <w:adjustRightInd w:val="0"/>
        <w:snapToGrid w:val="0"/>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10、“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pPr>
        <w:adjustRightInd w:val="0"/>
        <w:snapToGrid w:val="0"/>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11、“书面形式”是指合同书、信件和数据电文（包括电报、电传、传真、电子数据交换和电子邮件）等可以有形地表现所载内容的形式。</w:t>
      </w:r>
    </w:p>
    <w:p>
      <w:pPr>
        <w:adjustRightInd w:val="0"/>
        <w:snapToGrid w:val="0"/>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12、“不可抗力”是指委托人和咨询人在订立本合同时不可预见，在合同履行过程中不可避免并不能克服的自然灾害和社会性突发事件，如地震、海啸、瘟疫、水灾、骚乱、暴动、战争等情形。</w:t>
      </w:r>
      <w:bookmarkStart w:id="85" w:name="_Toc12453"/>
      <w:bookmarkStart w:id="86" w:name="_Toc1523"/>
    </w:p>
    <w:p>
      <w:pPr>
        <w:outlineLvl w:val="9"/>
        <w:rPr>
          <w:rFonts w:hint="eastAsia" w:ascii="宋体" w:hAnsi="宋体" w:eastAsia="宋体" w:cs="宋体"/>
          <w:b/>
          <w:bCs w:val="0"/>
          <w:sz w:val="21"/>
          <w:szCs w:val="21"/>
        </w:rPr>
      </w:pPr>
      <w:bookmarkStart w:id="87" w:name="_Toc524010285"/>
      <w:r>
        <w:rPr>
          <w:rFonts w:hint="eastAsia" w:ascii="宋体" w:hAnsi="宋体" w:eastAsia="宋体" w:cs="宋体"/>
          <w:b/>
          <w:sz w:val="21"/>
          <w:szCs w:val="21"/>
        </w:rPr>
        <w:t>二、标准和规范</w:t>
      </w:r>
      <w:bookmarkEnd w:id="85"/>
      <w:bookmarkEnd w:id="87"/>
    </w:p>
    <w:p>
      <w:pPr>
        <w:tabs>
          <w:tab w:val="left" w:pos="851"/>
        </w:tabs>
        <w:adjustRightInd w:val="0"/>
        <w:snapToGrid w:val="0"/>
        <w:spacing w:line="360" w:lineRule="auto"/>
        <w:ind w:firstLine="420" w:firstLineChars="200"/>
        <w:textAlignment w:val="baseline"/>
        <w:outlineLvl w:val="9"/>
        <w:rPr>
          <w:rFonts w:hint="eastAsia" w:ascii="宋体" w:hAnsi="宋体" w:eastAsia="宋体" w:cs="宋体"/>
          <w:sz w:val="21"/>
          <w:szCs w:val="21"/>
        </w:rPr>
      </w:pPr>
      <w:r>
        <w:rPr>
          <w:rFonts w:hint="eastAsia" w:ascii="宋体" w:hAnsi="宋体" w:eastAsia="宋体" w:cs="宋体"/>
          <w:sz w:val="21"/>
          <w:szCs w:val="21"/>
        </w:rPr>
        <w:t>2.1 适用国家标准、行业标准、工程所在地的地方性标准，以及相应的规范、规程等。</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2.2 甲方对本项目的技术标准或功能的其他要求</w:t>
      </w:r>
      <w:r>
        <w:rPr>
          <w:rFonts w:hint="eastAsia" w:ascii="宋体" w:hAnsi="宋体" w:eastAsia="宋体" w:cs="宋体"/>
          <w:sz w:val="21"/>
          <w:szCs w:val="21"/>
          <w:u w:val="single"/>
        </w:rPr>
        <w:t>以</w:t>
      </w:r>
      <w:r>
        <w:rPr>
          <w:rFonts w:hint="eastAsia" w:ascii="宋体" w:hAnsi="宋体" w:eastAsia="宋体" w:cs="宋体"/>
          <w:sz w:val="21"/>
          <w:szCs w:val="21"/>
          <w:u w:val="single"/>
          <w:lang w:eastAsia="zh-CN"/>
        </w:rPr>
        <w:t>用户需求书/技术规格书</w:t>
      </w:r>
      <w:r>
        <w:rPr>
          <w:rFonts w:hint="eastAsia" w:ascii="宋体" w:hAnsi="宋体" w:eastAsia="宋体" w:cs="宋体"/>
          <w:sz w:val="21"/>
          <w:szCs w:val="21"/>
          <w:u w:val="single"/>
        </w:rPr>
        <w:t>为准</w:t>
      </w:r>
      <w:r>
        <w:rPr>
          <w:rFonts w:hint="eastAsia" w:ascii="宋体" w:hAnsi="宋体" w:eastAsia="宋体" w:cs="宋体"/>
          <w:sz w:val="21"/>
          <w:szCs w:val="21"/>
        </w:rPr>
        <w:t>。</w:t>
      </w:r>
    </w:p>
    <w:p>
      <w:pPr>
        <w:outlineLvl w:val="9"/>
        <w:rPr>
          <w:rFonts w:hint="eastAsia" w:ascii="宋体" w:hAnsi="宋体" w:eastAsia="宋体" w:cs="宋体"/>
          <w:b/>
          <w:bCs w:val="0"/>
          <w:sz w:val="21"/>
          <w:szCs w:val="21"/>
        </w:rPr>
      </w:pPr>
      <w:bookmarkStart w:id="88" w:name="_Toc524010286"/>
      <w:r>
        <w:rPr>
          <w:rFonts w:hint="eastAsia" w:ascii="宋体" w:hAnsi="宋体" w:eastAsia="宋体" w:cs="宋体"/>
          <w:b/>
          <w:sz w:val="21"/>
          <w:szCs w:val="21"/>
        </w:rPr>
        <w:t>三、</w:t>
      </w:r>
      <w:bookmarkEnd w:id="86"/>
      <w:r>
        <w:rPr>
          <w:rFonts w:hint="eastAsia" w:ascii="宋体" w:hAnsi="宋体" w:eastAsia="宋体" w:cs="宋体"/>
          <w:b/>
          <w:sz w:val="21"/>
          <w:szCs w:val="21"/>
        </w:rPr>
        <w:t>价款</w:t>
      </w:r>
      <w:bookmarkEnd w:id="88"/>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3.1本项目签约酬金为（大写）人民币</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元</w:t>
      </w: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3.2本项目为</w:t>
      </w:r>
      <w:r>
        <w:rPr>
          <w:rFonts w:hint="eastAsia" w:ascii="宋体" w:hAnsi="宋体" w:eastAsia="宋体" w:cs="宋体"/>
          <w:sz w:val="21"/>
          <w:szCs w:val="21"/>
          <w:u w:val="single"/>
        </w:rPr>
        <w:t>单价</w:t>
      </w:r>
      <w:r>
        <w:rPr>
          <w:rFonts w:hint="eastAsia" w:ascii="宋体" w:hAnsi="宋体" w:eastAsia="宋体" w:cs="宋体"/>
          <w:sz w:val="21"/>
          <w:szCs w:val="21"/>
        </w:rPr>
        <w:t>合同，酬金包括</w:t>
      </w:r>
      <w:r>
        <w:rPr>
          <w:rFonts w:hint="eastAsia" w:ascii="宋体" w:hAnsi="宋体" w:eastAsia="宋体" w:cs="宋体"/>
          <w:sz w:val="21"/>
          <w:szCs w:val="21"/>
          <w:u w:val="single"/>
        </w:rPr>
        <w:t>运营期票款押运网络监控服务过程中的人工、材料、设备材料（含采购及租用）、故障维修</w:t>
      </w:r>
      <w:r>
        <w:rPr>
          <w:rFonts w:hint="eastAsia" w:ascii="宋体" w:hAnsi="宋体" w:eastAsia="宋体" w:cs="宋体"/>
          <w:sz w:val="21"/>
          <w:szCs w:val="21"/>
        </w:rPr>
        <w:t>及其它在服务过程中所需的管理费、利润、税金等一切费用。在项目实施中出现任何遗漏，均由乙方免费提供，甲方不再支付任何费用。</w:t>
      </w:r>
      <w:bookmarkStart w:id="89" w:name="_Toc357774463"/>
      <w:bookmarkStart w:id="90" w:name="_Toc8367"/>
      <w:bookmarkStart w:id="91" w:name="_Toc136850801"/>
      <w:bookmarkStart w:id="92" w:name="_Toc240992306"/>
      <w:bookmarkStart w:id="93" w:name="_Toc192323515"/>
      <w:bookmarkStart w:id="94" w:name="_Toc23767"/>
    </w:p>
    <w:p>
      <w:pPr>
        <w:outlineLvl w:val="9"/>
        <w:rPr>
          <w:rFonts w:hint="eastAsia" w:ascii="宋体" w:hAnsi="宋体" w:eastAsia="宋体" w:cs="宋体"/>
          <w:b/>
          <w:bCs w:val="0"/>
          <w:sz w:val="21"/>
          <w:szCs w:val="21"/>
        </w:rPr>
      </w:pPr>
      <w:bookmarkStart w:id="95" w:name="_Toc524010287"/>
      <w:r>
        <w:rPr>
          <w:rFonts w:hint="eastAsia" w:ascii="宋体" w:hAnsi="宋体" w:eastAsia="宋体" w:cs="宋体"/>
          <w:b/>
          <w:sz w:val="21"/>
          <w:szCs w:val="21"/>
        </w:rPr>
        <w:t>四、</w:t>
      </w:r>
      <w:bookmarkEnd w:id="89"/>
      <w:bookmarkEnd w:id="90"/>
      <w:bookmarkEnd w:id="91"/>
      <w:bookmarkEnd w:id="92"/>
      <w:bookmarkEnd w:id="93"/>
      <w:r>
        <w:rPr>
          <w:rFonts w:hint="eastAsia" w:ascii="宋体" w:hAnsi="宋体" w:eastAsia="宋体" w:cs="宋体"/>
          <w:b/>
          <w:sz w:val="21"/>
          <w:szCs w:val="21"/>
        </w:rPr>
        <w:t>支付</w:t>
      </w:r>
      <w:bookmarkEnd w:id="95"/>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bCs/>
          <w:sz w:val="21"/>
          <w:szCs w:val="21"/>
        </w:rPr>
        <w:t>4.1</w:t>
      </w:r>
      <w:r>
        <w:rPr>
          <w:rFonts w:hint="eastAsia" w:ascii="宋体" w:hAnsi="宋体" w:eastAsia="宋体" w:cs="宋体"/>
          <w:sz w:val="21"/>
          <w:szCs w:val="21"/>
        </w:rPr>
        <w:t>付款周期为每</w:t>
      </w:r>
      <w:r>
        <w:rPr>
          <w:rFonts w:hint="eastAsia" w:ascii="宋体" w:hAnsi="宋体" w:eastAsia="宋体" w:cs="宋体"/>
          <w:sz w:val="21"/>
          <w:szCs w:val="21"/>
          <w:u w:val="single"/>
          <w:lang w:eastAsia="zh-CN"/>
        </w:rPr>
        <w:t>半年</w:t>
      </w:r>
      <w:r>
        <w:rPr>
          <w:rFonts w:hint="eastAsia" w:ascii="宋体" w:hAnsi="宋体" w:eastAsia="宋体" w:cs="宋体"/>
          <w:sz w:val="21"/>
          <w:szCs w:val="21"/>
        </w:rPr>
        <w:t>支付一次，甲方对乙方工作进行验收，且乙方按甲方的支付程序办理请款手续并提供合规的增值税专用发票后28个工作日内，由甲方向乙方支付；</w:t>
      </w:r>
    </w:p>
    <w:p>
      <w:pPr>
        <w:adjustRightInd w:val="0"/>
        <w:snapToGrid w:val="0"/>
        <w:spacing w:line="360" w:lineRule="auto"/>
        <w:ind w:firstLine="411" w:firstLineChars="196"/>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4.2每次支付金额为</w:t>
      </w:r>
      <w:r>
        <w:rPr>
          <w:rFonts w:hint="eastAsia" w:ascii="宋体" w:hAnsi="宋体" w:eastAsia="宋体" w:cs="宋体"/>
          <w:sz w:val="21"/>
          <w:szCs w:val="21"/>
          <w:lang w:eastAsia="zh-CN"/>
        </w:rPr>
        <w:t>当期</w:t>
      </w:r>
      <w:r>
        <w:rPr>
          <w:rFonts w:hint="eastAsia" w:ascii="宋体" w:hAnsi="宋体" w:eastAsia="宋体" w:cs="宋体"/>
          <w:sz w:val="21"/>
          <w:szCs w:val="21"/>
        </w:rPr>
        <w:t>计量金额综合</w:t>
      </w:r>
      <w:r>
        <w:rPr>
          <w:rFonts w:hint="eastAsia" w:ascii="宋体" w:hAnsi="宋体" w:eastAsia="宋体" w:cs="宋体"/>
          <w:sz w:val="21"/>
          <w:szCs w:val="21"/>
          <w:lang w:eastAsia="zh-CN"/>
        </w:rPr>
        <w:t>当期</w:t>
      </w:r>
      <w:r>
        <w:rPr>
          <w:rFonts w:hint="eastAsia" w:ascii="宋体" w:hAnsi="宋体" w:eastAsia="宋体" w:cs="宋体"/>
          <w:sz w:val="21"/>
          <w:szCs w:val="21"/>
        </w:rPr>
        <w:t>检查考评结果后的金额</w:t>
      </w:r>
      <w:r>
        <w:rPr>
          <w:rFonts w:hint="eastAsia" w:ascii="宋体" w:hAnsi="宋体" w:eastAsia="宋体" w:cs="宋体"/>
          <w:sz w:val="21"/>
          <w:szCs w:val="21"/>
          <w:lang w:eastAsia="zh-CN"/>
        </w:rPr>
        <w:t>，</w:t>
      </w:r>
      <w:r>
        <w:rPr>
          <w:rFonts w:hint="eastAsia" w:ascii="宋体" w:hAnsi="宋体" w:eastAsia="宋体" w:cs="宋体"/>
          <w:sz w:val="21"/>
          <w:szCs w:val="21"/>
        </w:rPr>
        <w:t>甲方</w:t>
      </w:r>
      <w:r>
        <w:rPr>
          <w:rFonts w:hint="eastAsia" w:ascii="宋体" w:hAnsi="宋体" w:eastAsia="宋体" w:cs="宋体"/>
          <w:bCs/>
          <w:sz w:val="21"/>
          <w:szCs w:val="21"/>
        </w:rPr>
        <w:t>验收合</w:t>
      </w:r>
      <w:r>
        <w:rPr>
          <w:rFonts w:hint="eastAsia" w:ascii="宋体" w:hAnsi="宋体" w:eastAsia="宋体" w:cs="宋体"/>
          <w:sz w:val="21"/>
          <w:szCs w:val="21"/>
        </w:rPr>
        <w:t>格后向乙方支付上一个付款周期的价款</w:t>
      </w:r>
      <w:r>
        <w:rPr>
          <w:rFonts w:hint="eastAsia" w:ascii="宋体" w:hAnsi="宋体" w:eastAsia="宋体" w:cs="宋体"/>
          <w:sz w:val="21"/>
          <w:szCs w:val="21"/>
          <w:lang w:eastAsia="zh-CN"/>
        </w:rPr>
        <w:t>，</w:t>
      </w:r>
      <w:r>
        <w:rPr>
          <w:rFonts w:hint="eastAsia" w:ascii="宋体" w:hAnsi="宋体" w:eastAsia="宋体" w:cs="宋体"/>
          <w:color w:val="auto"/>
          <w:sz w:val="21"/>
          <w:szCs w:val="21"/>
          <w:highlight w:val="none"/>
          <w:lang w:val="en-US" w:eastAsia="zh-CN"/>
        </w:rPr>
        <w:t>最后一个付款周期需在办完履约验收完成后付款。</w:t>
      </w:r>
    </w:p>
    <w:p>
      <w:pPr>
        <w:adjustRightInd w:val="0"/>
        <w:snapToGrid w:val="0"/>
        <w:spacing w:line="360" w:lineRule="auto"/>
        <w:ind w:firstLine="411" w:firstLineChars="196"/>
        <w:outlineLvl w:val="9"/>
        <w:rPr>
          <w:rFonts w:hint="eastAsia" w:ascii="宋体" w:hAnsi="宋体" w:eastAsia="宋体" w:cs="宋体"/>
          <w:b w:val="0"/>
          <w:bCs w:val="0"/>
          <w:sz w:val="21"/>
          <w:szCs w:val="21"/>
          <w:lang w:eastAsia="zh-CN"/>
        </w:rPr>
      </w:pPr>
      <w:r>
        <w:rPr>
          <w:rFonts w:hint="eastAsia" w:ascii="宋体" w:hAnsi="宋体" w:eastAsia="宋体" w:cs="宋体"/>
          <w:b w:val="0"/>
          <w:bCs w:val="0"/>
          <w:color w:val="auto"/>
          <w:sz w:val="21"/>
          <w:szCs w:val="21"/>
          <w:highlight w:val="none"/>
          <w:lang w:val="en-US" w:eastAsia="zh-CN"/>
        </w:rPr>
        <w:t>其中，当期计量金额=</w:t>
      </w:r>
      <w:r>
        <w:rPr>
          <w:rFonts w:hint="eastAsia" w:ascii="宋体" w:hAnsi="宋体" w:eastAsia="宋体" w:cs="宋体"/>
          <w:b w:val="0"/>
          <w:bCs w:val="0"/>
          <w:sz w:val="21"/>
          <w:szCs w:val="21"/>
          <w:lang w:eastAsia="zh-CN"/>
        </w:rPr>
        <w:t>（联网报警</w:t>
      </w:r>
      <w:r>
        <w:rPr>
          <w:rFonts w:hint="eastAsia" w:ascii="宋体" w:hAnsi="宋体" w:eastAsia="宋体" w:cs="宋体"/>
          <w:b w:val="0"/>
          <w:bCs w:val="0"/>
          <w:sz w:val="21"/>
          <w:szCs w:val="21"/>
        </w:rPr>
        <w:t>单价</w:t>
      </w:r>
      <w:r>
        <w:rPr>
          <w:rFonts w:hint="eastAsia" w:ascii="宋体" w:hAnsi="宋体" w:eastAsia="宋体" w:cs="宋体"/>
          <w:b w:val="0"/>
          <w:bCs w:val="0"/>
          <w:sz w:val="21"/>
          <w:szCs w:val="21"/>
          <w:lang w:val="en-US" w:eastAsia="zh-CN"/>
        </w:rPr>
        <w:t>+视频监控单价+每个站点初装费平均到当期的费用）</w:t>
      </w:r>
      <w:r>
        <w:rPr>
          <w:rFonts w:hint="eastAsia" w:ascii="宋体" w:hAnsi="宋体" w:eastAsia="宋体" w:cs="宋体"/>
          <w:b w:val="0"/>
          <w:bCs w:val="0"/>
          <w:sz w:val="21"/>
          <w:szCs w:val="21"/>
        </w:rPr>
        <w:t>×</w:t>
      </w:r>
      <w:r>
        <w:rPr>
          <w:rFonts w:hint="eastAsia" w:ascii="宋体" w:hAnsi="宋体" w:eastAsia="宋体" w:cs="宋体"/>
          <w:b w:val="0"/>
          <w:bCs w:val="0"/>
          <w:sz w:val="21"/>
          <w:szCs w:val="21"/>
          <w:lang w:eastAsia="zh-CN"/>
        </w:rPr>
        <w:t>当期</w:t>
      </w:r>
      <w:r>
        <w:rPr>
          <w:rFonts w:hint="eastAsia" w:ascii="宋体" w:hAnsi="宋体" w:eastAsia="宋体" w:cs="宋体"/>
          <w:b w:val="0"/>
          <w:bCs w:val="0"/>
          <w:sz w:val="21"/>
          <w:szCs w:val="21"/>
        </w:rPr>
        <w:t>实际服务站点</w:t>
      </w:r>
      <w:r>
        <w:rPr>
          <w:rFonts w:hint="eastAsia" w:ascii="宋体" w:hAnsi="宋体" w:eastAsia="宋体" w:cs="宋体"/>
          <w:b w:val="0"/>
          <w:bCs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履约验收完成付款：乙方按合同规定完成履约，且收到乙方提交经审批同意的支付申请及增值税专用税务发票、有效期内的履约担保复印件等相关资料后28个工作日内，支付最后一个付款周期的酬金。项目履约验收按甲方相关规定执行。</w:t>
      </w:r>
    </w:p>
    <w:p>
      <w:pPr>
        <w:outlineLvl w:val="9"/>
        <w:rPr>
          <w:rFonts w:hint="eastAsia" w:ascii="宋体" w:hAnsi="宋体" w:eastAsia="宋体" w:cs="宋体"/>
          <w:b/>
          <w:bCs w:val="0"/>
          <w:sz w:val="21"/>
          <w:szCs w:val="21"/>
        </w:rPr>
      </w:pPr>
      <w:bookmarkStart w:id="96" w:name="_Toc524010288"/>
      <w:r>
        <w:rPr>
          <w:rFonts w:hint="eastAsia" w:ascii="宋体" w:hAnsi="宋体" w:eastAsia="宋体" w:cs="宋体"/>
          <w:b/>
          <w:sz w:val="21"/>
          <w:szCs w:val="21"/>
        </w:rPr>
        <w:t>五、履约担保</w:t>
      </w:r>
      <w:bookmarkEnd w:id="94"/>
      <w:bookmarkEnd w:id="96"/>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5.1</w:t>
      </w:r>
      <w:r>
        <w:rPr>
          <w:rFonts w:hint="eastAsia" w:ascii="宋体" w:hAnsi="宋体" w:eastAsia="宋体" w:cs="宋体"/>
          <w:kern w:val="0"/>
          <w:sz w:val="21"/>
          <w:szCs w:val="21"/>
        </w:rPr>
        <w:t>履约担保是办理付款的必要条件之一，乙方应在本合同签订后</w:t>
      </w:r>
      <w:r>
        <w:rPr>
          <w:rFonts w:hint="eastAsia" w:ascii="宋体" w:hAnsi="宋体" w:eastAsia="宋体" w:cs="宋体"/>
          <w:kern w:val="0"/>
          <w:sz w:val="21"/>
          <w:szCs w:val="21"/>
          <w:lang w:val="en-US" w:eastAsia="zh-CN"/>
        </w:rPr>
        <w:t>15</w:t>
      </w:r>
      <w:r>
        <w:rPr>
          <w:rFonts w:hint="eastAsia" w:ascii="宋体" w:hAnsi="宋体" w:eastAsia="宋体" w:cs="宋体"/>
          <w:kern w:val="0"/>
          <w:sz w:val="21"/>
          <w:szCs w:val="21"/>
        </w:rPr>
        <w:t>个工作日内提供履约担保。</w:t>
      </w:r>
    </w:p>
    <w:p>
      <w:pPr>
        <w:adjustRightInd w:val="0"/>
        <w:snapToGrid w:val="0"/>
        <w:spacing w:line="360" w:lineRule="auto"/>
        <w:ind w:firstLine="411" w:firstLineChars="196"/>
        <w:outlineLvl w:val="9"/>
        <w:rPr>
          <w:rFonts w:hint="eastAsia" w:ascii="宋体" w:hAnsi="宋体" w:eastAsia="宋体" w:cs="宋体"/>
          <w:kern w:val="0"/>
          <w:sz w:val="21"/>
          <w:szCs w:val="21"/>
        </w:rPr>
      </w:pPr>
      <w:r>
        <w:rPr>
          <w:rFonts w:hint="eastAsia" w:ascii="宋体" w:hAnsi="宋体" w:eastAsia="宋体" w:cs="宋体"/>
          <w:sz w:val="21"/>
          <w:szCs w:val="21"/>
        </w:rPr>
        <w:t>5.2</w:t>
      </w:r>
      <w:r>
        <w:rPr>
          <w:rFonts w:hint="eastAsia" w:ascii="宋体" w:hAnsi="宋体" w:eastAsia="宋体" w:cs="宋体"/>
          <w:kern w:val="0"/>
          <w:sz w:val="21"/>
          <w:szCs w:val="21"/>
        </w:rPr>
        <w:t>履约担保用于补偿甲方因乙方不能完成其合同义务而蒙受的损失。</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kern w:val="0"/>
          <w:sz w:val="21"/>
          <w:szCs w:val="21"/>
        </w:rPr>
        <w:t>5.3乙方提供履约担保的形式、金额及期限可采用以下两种方式之一：</w:t>
      </w:r>
      <w:bookmarkStart w:id="97" w:name="_Toc384885957"/>
    </w:p>
    <w:p>
      <w:pPr>
        <w:adjustRightInd w:val="0"/>
        <w:snapToGrid w:val="0"/>
        <w:spacing w:line="360" w:lineRule="auto"/>
        <w:ind w:firstLine="411" w:firstLineChars="196"/>
        <w:outlineLvl w:val="9"/>
        <w:rPr>
          <w:rFonts w:hint="eastAsia" w:ascii="宋体" w:hAnsi="宋体" w:eastAsia="宋体" w:cs="宋体"/>
          <w:kern w:val="0"/>
          <w:sz w:val="21"/>
          <w:szCs w:val="21"/>
        </w:rPr>
      </w:pPr>
      <w:r>
        <w:rPr>
          <w:rFonts w:hint="eastAsia" w:ascii="宋体" w:hAnsi="宋体" w:eastAsia="宋体" w:cs="宋体"/>
          <w:kern w:val="0"/>
          <w:sz w:val="21"/>
          <w:szCs w:val="21"/>
        </w:rPr>
        <w:t>（1）采用银行履约保函形式，银行履约保函的担保额度为签约</w:t>
      </w:r>
      <w:r>
        <w:rPr>
          <w:rFonts w:hint="eastAsia" w:ascii="宋体" w:hAnsi="宋体" w:eastAsia="宋体" w:cs="宋体"/>
          <w:kern w:val="0"/>
          <w:sz w:val="21"/>
          <w:szCs w:val="21"/>
          <w:lang w:eastAsia="zh-CN"/>
        </w:rPr>
        <w:t>酬金</w:t>
      </w:r>
      <w:r>
        <w:rPr>
          <w:rFonts w:hint="eastAsia" w:ascii="宋体" w:hAnsi="宋体" w:eastAsia="宋体" w:cs="宋体"/>
          <w:kern w:val="0"/>
          <w:sz w:val="21"/>
          <w:szCs w:val="21"/>
        </w:rPr>
        <w:t>的10%，担保期限为自保函生效之日起，至服务期满之日止。银行履约保函应为在中国境内注册和营业的银行出具的、以甲方为受益人首次申请即作为无条件付款的保函，银行履约保函格式具体详见合同附录。</w:t>
      </w:r>
    </w:p>
    <w:p>
      <w:pPr>
        <w:tabs>
          <w:tab w:val="left" w:pos="851"/>
        </w:tabs>
        <w:adjustRightInd w:val="0"/>
        <w:snapToGrid w:val="0"/>
        <w:spacing w:line="360" w:lineRule="auto"/>
        <w:ind w:firstLine="420" w:firstLineChars="200"/>
        <w:textAlignment w:val="baseline"/>
        <w:outlineLvl w:val="9"/>
        <w:rPr>
          <w:rFonts w:hint="eastAsia" w:ascii="宋体" w:hAnsi="宋体" w:eastAsia="宋体" w:cs="宋体"/>
          <w:kern w:val="0"/>
          <w:sz w:val="21"/>
          <w:szCs w:val="21"/>
        </w:rPr>
      </w:pPr>
      <w:r>
        <w:rPr>
          <w:rFonts w:hint="eastAsia" w:ascii="宋体" w:hAnsi="宋体" w:eastAsia="宋体" w:cs="宋体"/>
          <w:kern w:val="0"/>
          <w:sz w:val="21"/>
          <w:szCs w:val="21"/>
        </w:rPr>
        <w:t>（2）采用现金形式，现金担保额度为签约</w:t>
      </w:r>
      <w:r>
        <w:rPr>
          <w:rFonts w:hint="eastAsia" w:ascii="宋体" w:hAnsi="宋体" w:eastAsia="宋体" w:cs="宋体"/>
          <w:kern w:val="0"/>
          <w:sz w:val="21"/>
          <w:szCs w:val="21"/>
          <w:lang w:eastAsia="zh-CN"/>
        </w:rPr>
        <w:t>酬金</w:t>
      </w:r>
      <w:r>
        <w:rPr>
          <w:rFonts w:hint="eastAsia" w:ascii="宋体" w:hAnsi="宋体" w:eastAsia="宋体" w:cs="宋体"/>
          <w:kern w:val="0"/>
          <w:sz w:val="21"/>
          <w:szCs w:val="21"/>
        </w:rPr>
        <w:t>的10%，担保期限为履约保证金到账之日起，至服务期满之日止。履约担保以现金形式提交的，乙方应从其</w:t>
      </w:r>
      <w:r>
        <w:rPr>
          <w:rFonts w:hint="eastAsia" w:ascii="宋体" w:hAnsi="宋体" w:eastAsia="宋体" w:cs="宋体"/>
          <w:kern w:val="0"/>
          <w:sz w:val="21"/>
          <w:szCs w:val="21"/>
          <w:lang w:eastAsia="zh-CN"/>
        </w:rPr>
        <w:t>公司</w:t>
      </w:r>
      <w:r>
        <w:rPr>
          <w:rFonts w:hint="eastAsia" w:ascii="宋体" w:hAnsi="宋体" w:eastAsia="宋体" w:cs="宋体"/>
          <w:kern w:val="0"/>
          <w:sz w:val="21"/>
          <w:szCs w:val="21"/>
        </w:rPr>
        <w:t>账户通过</w:t>
      </w:r>
      <w:r>
        <w:rPr>
          <w:rFonts w:hint="eastAsia" w:ascii="宋体" w:hAnsi="宋体" w:eastAsia="宋体" w:cs="宋体"/>
          <w:kern w:val="0"/>
          <w:sz w:val="21"/>
          <w:szCs w:val="21"/>
          <w:lang w:eastAsia="zh-CN"/>
        </w:rPr>
        <w:t>转账</w:t>
      </w:r>
      <w:r>
        <w:rPr>
          <w:rFonts w:hint="eastAsia" w:ascii="宋体" w:hAnsi="宋体" w:eastAsia="宋体" w:cs="宋体"/>
          <w:kern w:val="0"/>
          <w:sz w:val="21"/>
          <w:szCs w:val="21"/>
        </w:rPr>
        <w:t>或电汇至甲方指定的账户。</w:t>
      </w:r>
    </w:p>
    <w:p>
      <w:pPr>
        <w:tabs>
          <w:tab w:val="left" w:pos="851"/>
        </w:tabs>
        <w:adjustRightInd w:val="0"/>
        <w:snapToGrid w:val="0"/>
        <w:spacing w:line="360" w:lineRule="auto"/>
        <w:ind w:firstLine="420" w:firstLineChars="200"/>
        <w:textAlignment w:val="baseline"/>
        <w:outlineLvl w:val="9"/>
        <w:rPr>
          <w:rFonts w:hint="eastAsia" w:ascii="宋体" w:hAnsi="宋体" w:eastAsia="宋体" w:cs="宋体"/>
          <w:kern w:val="0"/>
          <w:sz w:val="21"/>
          <w:szCs w:val="21"/>
        </w:rPr>
      </w:pPr>
      <w:r>
        <w:rPr>
          <w:rFonts w:hint="eastAsia" w:ascii="宋体" w:hAnsi="宋体" w:eastAsia="宋体" w:cs="宋体"/>
          <w:kern w:val="0"/>
          <w:sz w:val="21"/>
          <w:szCs w:val="21"/>
        </w:rPr>
        <w:t>5.4在乙方完成其合同义务包括任何保证义务后，甲方将把履约担保无息退还乙方。</w:t>
      </w:r>
    </w:p>
    <w:p>
      <w:pPr>
        <w:outlineLvl w:val="9"/>
        <w:rPr>
          <w:rFonts w:hint="eastAsia" w:ascii="宋体" w:hAnsi="宋体" w:eastAsia="宋体" w:cs="宋体"/>
          <w:b/>
          <w:sz w:val="21"/>
          <w:szCs w:val="21"/>
        </w:rPr>
      </w:pPr>
      <w:bookmarkStart w:id="98" w:name="_Toc524010289"/>
      <w:r>
        <w:rPr>
          <w:rFonts w:hint="eastAsia" w:ascii="宋体" w:hAnsi="宋体" w:eastAsia="宋体" w:cs="宋体"/>
          <w:b/>
          <w:sz w:val="21"/>
          <w:szCs w:val="21"/>
        </w:rPr>
        <w:t>六、双方责任</w:t>
      </w:r>
      <w:bookmarkEnd w:id="98"/>
    </w:p>
    <w:p>
      <w:pPr>
        <w:adjustRightInd w:val="0"/>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6.1甲方责任</w:t>
      </w:r>
      <w:bookmarkEnd w:id="97"/>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1、在服务期间,向乙方提供必要的工作条件。</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2、提供服务工作所需的基础资料。</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3、甲方在本项目履行期间派一名代表协助乙方处理项目执行中存在的问题，并对乙方工作进行监督、检查。</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4、根据本合同规定按时向乙方付款。</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5、按合同要求组织验收。</w:t>
      </w:r>
    </w:p>
    <w:p>
      <w:pPr>
        <w:widowControl/>
        <w:adjustRightInd w:val="0"/>
        <w:snapToGrid w:val="0"/>
        <w:spacing w:line="360" w:lineRule="auto"/>
        <w:ind w:firstLine="413" w:firstLineChars="196"/>
        <w:outlineLvl w:val="9"/>
        <w:rPr>
          <w:rFonts w:hint="eastAsia" w:ascii="宋体" w:hAnsi="宋体" w:eastAsia="宋体" w:cs="宋体"/>
          <w:b/>
          <w:sz w:val="21"/>
          <w:szCs w:val="21"/>
        </w:rPr>
      </w:pPr>
      <w:bookmarkStart w:id="99" w:name="_Toc384885958"/>
      <w:r>
        <w:rPr>
          <w:rFonts w:hint="eastAsia" w:ascii="宋体" w:hAnsi="宋体" w:eastAsia="宋体" w:cs="宋体"/>
          <w:b/>
          <w:sz w:val="21"/>
          <w:szCs w:val="21"/>
        </w:rPr>
        <w:t>6.2乙方责任</w:t>
      </w:r>
      <w:bookmarkEnd w:id="99"/>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1、乙方应严格按照合同约定的标准、规范提供服务。</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2、乙方须安排专人值守，确保通讯畅通。一旦发现可疑情况或接收报警信号，应及时通知甲方工作人员和押运车组负责人及时处置。</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3、发现或接报故障后，应按甲方要求在规定时间内响并进行处理。</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4、乙方须接受甲方对工期、质量、人员组成、设备、仪器、故障维护过程的监督。</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5、无论是合同期内或合同到期后，乙方须严格遵守保密制度。对包括但不限于参与押运的人员、车辆、时间、线路、押运物品、相关视频等机密事项，不得向任何第三方泄露，但必要的司法协助时除外。</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5、乙方需负责合同约定设备的提供、安装、调试及服务期内故障维护、巡检及合同到期后设备的拆回。</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6、乙方应按照甲方要求提交服务报告、故障处理记录等相关资料。</w:t>
      </w:r>
    </w:p>
    <w:p>
      <w:pPr>
        <w:outlineLvl w:val="9"/>
        <w:rPr>
          <w:rFonts w:hint="eastAsia" w:ascii="宋体" w:hAnsi="宋体" w:eastAsia="宋体" w:cs="宋体"/>
          <w:b/>
          <w:bCs w:val="0"/>
          <w:sz w:val="21"/>
          <w:szCs w:val="21"/>
        </w:rPr>
      </w:pPr>
      <w:bookmarkStart w:id="100" w:name="_Toc524010290"/>
      <w:r>
        <w:rPr>
          <w:rFonts w:hint="eastAsia" w:ascii="宋体" w:hAnsi="宋体" w:eastAsia="宋体" w:cs="宋体"/>
          <w:b/>
          <w:sz w:val="21"/>
          <w:szCs w:val="21"/>
        </w:rPr>
        <w:t>七、项目验收</w:t>
      </w:r>
      <w:bookmarkEnd w:id="100"/>
    </w:p>
    <w:p>
      <w:pPr>
        <w:widowControl/>
        <w:adjustRightInd w:val="0"/>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乙方应按甲方规定的时间以书面形式提交服务报告、故障处理记录等相关资料，经甲方确认达到本合同要求的技术及质量标准，视为验收合格。具体要求以</w:t>
      </w:r>
      <w:r>
        <w:rPr>
          <w:rFonts w:hint="eastAsia" w:ascii="宋体" w:hAnsi="宋体" w:eastAsia="宋体" w:cs="宋体"/>
          <w:sz w:val="21"/>
          <w:szCs w:val="21"/>
          <w:lang w:eastAsia="zh-CN"/>
        </w:rPr>
        <w:t>用户需求书/</w:t>
      </w:r>
      <w:r>
        <w:rPr>
          <w:rFonts w:hint="eastAsia" w:ascii="宋体" w:hAnsi="宋体" w:cs="宋体"/>
          <w:sz w:val="21"/>
          <w:szCs w:val="21"/>
          <w:lang w:eastAsia="zh-CN"/>
        </w:rPr>
        <w:t>技术规格书</w:t>
      </w:r>
      <w:r>
        <w:rPr>
          <w:rFonts w:hint="eastAsia" w:ascii="宋体" w:hAnsi="宋体" w:eastAsia="宋体" w:cs="宋体"/>
          <w:sz w:val="21"/>
          <w:szCs w:val="21"/>
        </w:rPr>
        <w:t>为准。</w:t>
      </w:r>
    </w:p>
    <w:p>
      <w:pPr>
        <w:outlineLvl w:val="9"/>
        <w:rPr>
          <w:rFonts w:hint="eastAsia" w:ascii="宋体" w:hAnsi="宋体" w:eastAsia="宋体" w:cs="宋体"/>
          <w:b/>
          <w:sz w:val="21"/>
          <w:szCs w:val="21"/>
        </w:rPr>
      </w:pPr>
      <w:bookmarkStart w:id="101" w:name="_Toc524010291"/>
      <w:r>
        <w:rPr>
          <w:rFonts w:hint="eastAsia" w:ascii="宋体" w:hAnsi="宋体" w:eastAsia="宋体" w:cs="宋体"/>
          <w:b/>
          <w:sz w:val="21"/>
          <w:szCs w:val="21"/>
        </w:rPr>
        <w:t>八、违约责任</w:t>
      </w:r>
      <w:bookmarkEnd w:id="101"/>
    </w:p>
    <w:p>
      <w:pPr>
        <w:widowControl/>
        <w:adjustRightInd w:val="0"/>
        <w:snapToGrid w:val="0"/>
        <w:spacing w:line="360" w:lineRule="auto"/>
        <w:ind w:firstLine="420" w:firstLineChars="200"/>
        <w:outlineLvl w:val="9"/>
        <w:rPr>
          <w:rFonts w:hint="eastAsia" w:ascii="宋体" w:hAnsi="宋体" w:eastAsia="宋体" w:cs="宋体"/>
          <w:b/>
          <w:sz w:val="21"/>
          <w:szCs w:val="21"/>
        </w:rPr>
      </w:pPr>
      <w:r>
        <w:rPr>
          <w:rFonts w:hint="eastAsia" w:ascii="宋体" w:hAnsi="宋体" w:eastAsia="宋体" w:cs="宋体"/>
          <w:sz w:val="21"/>
          <w:szCs w:val="21"/>
        </w:rPr>
        <w:t>1、发现或接报故障后，未按甲方要求的时间响应或进行处理的，甲方有权要求乙方交付1000-20000元/次的违约金。</w:t>
      </w:r>
    </w:p>
    <w:p>
      <w:pPr>
        <w:widowControl/>
        <w:adjustRightInd w:val="0"/>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2、乙方在值守中因工作疏漏、玩忽职守等未及时通知处理和/或给甲方造成损失的，乙方除承担由此给甲方造成的一切损失外，甲方有权要求解除合同。</w:t>
      </w:r>
    </w:p>
    <w:p>
      <w:pPr>
        <w:widowControl/>
        <w:adjustRightInd w:val="0"/>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3、乙方未采取严格的安全防护措施导致发生人员安全事故的，由乙方承担全部责任及由此而产生的一切费用。</w:t>
      </w:r>
    </w:p>
    <w:p>
      <w:pPr>
        <w:pStyle w:val="45"/>
        <w:spacing w:after="0"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4、因违反保密条款，乙方除承担由此给甲方造成的一切损失外，甲方有权要求解除合同。</w:t>
      </w:r>
    </w:p>
    <w:p>
      <w:pPr>
        <w:widowControl/>
        <w:adjustRightInd w:val="0"/>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5、乙方未按合同规定的时间及要求完成设备的安装调试、提交服务报告、监控记录、故障处理记录等相关资料，甲方有权要求乙方交纳2000元/次的违约金。</w:t>
      </w:r>
    </w:p>
    <w:p>
      <w:pPr>
        <w:widowControl/>
        <w:adjustRightInd w:val="0"/>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color w:val="000000"/>
          <w:sz w:val="21"/>
          <w:szCs w:val="21"/>
        </w:rPr>
        <w:t>乙方未在本合同签订后15个工作日内提供履约担保的，</w:t>
      </w:r>
      <w:r>
        <w:rPr>
          <w:rFonts w:hint="eastAsia" w:ascii="宋体" w:hAnsi="宋体" w:eastAsia="宋体" w:cs="宋体"/>
          <w:color w:val="000000"/>
          <w:sz w:val="21"/>
          <w:szCs w:val="21"/>
          <w:lang w:eastAsia="zh-CN"/>
        </w:rPr>
        <w:t>每延迟一天</w:t>
      </w:r>
      <w:r>
        <w:rPr>
          <w:rFonts w:hint="eastAsia" w:ascii="宋体" w:hAnsi="宋体" w:eastAsia="宋体" w:cs="宋体"/>
          <w:color w:val="000000"/>
          <w:sz w:val="21"/>
          <w:szCs w:val="21"/>
        </w:rPr>
        <w:t>乙方应按</w:t>
      </w:r>
      <w:r>
        <w:rPr>
          <w:rFonts w:hint="eastAsia" w:ascii="宋体" w:hAnsi="宋体" w:eastAsia="宋体" w:cs="宋体"/>
          <w:color w:val="000000"/>
          <w:sz w:val="21"/>
          <w:szCs w:val="21"/>
          <w:lang w:eastAsia="zh-CN"/>
        </w:rPr>
        <w:t>签约合同价</w:t>
      </w:r>
      <w:r>
        <w:rPr>
          <w:rFonts w:hint="eastAsia" w:ascii="宋体" w:hAnsi="宋体" w:eastAsia="宋体" w:cs="宋体"/>
          <w:color w:val="000000"/>
          <w:sz w:val="21"/>
          <w:szCs w:val="21"/>
        </w:rPr>
        <w:t>的5‰向甲方</w:t>
      </w:r>
      <w:r>
        <w:rPr>
          <w:rFonts w:hint="eastAsia" w:ascii="宋体" w:hAnsi="宋体" w:eastAsia="宋体" w:cs="宋体"/>
          <w:color w:val="000000"/>
          <w:sz w:val="21"/>
          <w:szCs w:val="21"/>
          <w:lang w:eastAsia="zh-CN"/>
        </w:rPr>
        <w:t>交纳</w:t>
      </w:r>
      <w:r>
        <w:rPr>
          <w:rFonts w:hint="eastAsia" w:ascii="宋体" w:hAnsi="宋体" w:eastAsia="宋体" w:cs="宋体"/>
          <w:color w:val="000000"/>
          <w:sz w:val="21"/>
          <w:szCs w:val="21"/>
        </w:rPr>
        <w:t>违约金</w:t>
      </w:r>
      <w:r>
        <w:rPr>
          <w:rFonts w:hint="eastAsia" w:ascii="宋体" w:hAnsi="宋体" w:eastAsia="宋体" w:cs="宋体"/>
          <w:color w:val="000000"/>
          <w:sz w:val="21"/>
          <w:szCs w:val="21"/>
          <w:lang w:eastAsia="zh-CN"/>
        </w:rPr>
        <w:t>，违约金最高不超过签约合同价的10%。</w:t>
      </w:r>
    </w:p>
    <w:p>
      <w:pPr>
        <w:outlineLvl w:val="9"/>
        <w:rPr>
          <w:rFonts w:hint="eastAsia" w:ascii="宋体" w:hAnsi="宋体" w:eastAsia="宋体" w:cs="宋体"/>
          <w:b/>
          <w:sz w:val="21"/>
          <w:szCs w:val="21"/>
        </w:rPr>
      </w:pPr>
      <w:bookmarkStart w:id="102" w:name="_Toc524010292"/>
      <w:r>
        <w:rPr>
          <w:rFonts w:hint="eastAsia" w:ascii="宋体" w:hAnsi="宋体" w:eastAsia="宋体" w:cs="宋体"/>
          <w:b/>
          <w:sz w:val="21"/>
          <w:szCs w:val="21"/>
        </w:rPr>
        <w:t>九、争议的解决</w:t>
      </w:r>
      <w:bookmarkEnd w:id="102"/>
      <w:bookmarkStart w:id="103" w:name="_Toc368066699"/>
    </w:p>
    <w:p>
      <w:pPr>
        <w:widowControl/>
        <w:adjustRightInd w:val="0"/>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9.1合同双方在履行合同中发生争议的，先应友好协商解决或委托中介机构或专业部门进行鉴定，检测或审核，也可提请行政主管部门的专门机构进行调解。</w:t>
      </w:r>
    </w:p>
    <w:p>
      <w:pPr>
        <w:widowControl/>
        <w:adjustRightInd w:val="0"/>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9.2合同当事人友好协商解决不成，不愿委托中介机构或专业部门鉴定、检测、审核、也不提请调解的，或不接受鉴定、检测、审核结论或调解意见的，可向甲方所在地的人民法院提起诉讼。</w:t>
      </w:r>
    </w:p>
    <w:bookmarkEnd w:id="103"/>
    <w:p>
      <w:pPr>
        <w:outlineLvl w:val="9"/>
        <w:rPr>
          <w:rFonts w:hint="eastAsia" w:ascii="宋体" w:hAnsi="宋体" w:eastAsia="宋体" w:cs="宋体"/>
          <w:b/>
          <w:sz w:val="21"/>
          <w:szCs w:val="21"/>
        </w:rPr>
      </w:pPr>
      <w:bookmarkStart w:id="104" w:name="_Toc524010293"/>
      <w:r>
        <w:rPr>
          <w:rFonts w:hint="eastAsia" w:ascii="宋体" w:hAnsi="宋体" w:eastAsia="宋体" w:cs="宋体"/>
          <w:b/>
          <w:sz w:val="21"/>
          <w:szCs w:val="21"/>
        </w:rPr>
        <w:t>十、双方约定的其他事项</w:t>
      </w:r>
      <w:bookmarkEnd w:id="104"/>
    </w:p>
    <w:p>
      <w:pPr>
        <w:widowControl/>
        <w:adjustRightInd w:val="0"/>
        <w:snapToGrid w:val="0"/>
        <w:spacing w:line="360" w:lineRule="auto"/>
        <w:ind w:firstLine="420" w:firstLineChars="200"/>
        <w:outlineLvl w:val="9"/>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widowControl/>
        <w:adjustRightInd w:val="0"/>
        <w:snapToGrid w:val="0"/>
        <w:spacing w:line="360" w:lineRule="auto"/>
        <w:ind w:firstLine="480" w:firstLineChars="200"/>
        <w:outlineLvl w:val="9"/>
        <w:rPr>
          <w:rFonts w:hint="eastAsia" w:ascii="宋体" w:hAnsi="宋体" w:eastAsia="宋体" w:cs="宋体"/>
          <w:sz w:val="24"/>
        </w:rPr>
      </w:pPr>
    </w:p>
    <w:p>
      <w:pPr>
        <w:widowControl/>
        <w:adjustRightInd w:val="0"/>
        <w:snapToGrid w:val="0"/>
        <w:spacing w:line="360" w:lineRule="auto"/>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br w:type="page"/>
      </w:r>
    </w:p>
    <w:p>
      <w:pPr>
        <w:tabs>
          <w:tab w:val="left" w:pos="851"/>
          <w:tab w:val="left" w:pos="1440"/>
        </w:tabs>
        <w:adjustRightInd w:val="0"/>
        <w:snapToGrid w:val="0"/>
        <w:spacing w:beforeLines="50" w:afterLines="50" w:line="360" w:lineRule="auto"/>
        <w:jc w:val="center"/>
        <w:outlineLvl w:val="9"/>
        <w:rPr>
          <w:rFonts w:hint="eastAsia" w:ascii="宋体" w:hAnsi="宋体" w:eastAsia="宋体" w:cs="宋体"/>
          <w:b/>
          <w:color w:val="000000"/>
          <w:kern w:val="0"/>
          <w:sz w:val="32"/>
          <w:szCs w:val="32"/>
        </w:rPr>
      </w:pPr>
      <w:bookmarkStart w:id="105" w:name="_Toc29947"/>
      <w:bookmarkStart w:id="106" w:name="_Toc524010294"/>
      <w:r>
        <w:rPr>
          <w:rFonts w:hint="eastAsia" w:ascii="宋体" w:hAnsi="宋体" w:eastAsia="宋体" w:cs="宋体"/>
          <w:b/>
          <w:color w:val="000000"/>
          <w:kern w:val="0"/>
          <w:sz w:val="32"/>
          <w:szCs w:val="32"/>
        </w:rPr>
        <w:t>第</w:t>
      </w:r>
      <w:r>
        <w:rPr>
          <w:rFonts w:hint="eastAsia" w:ascii="宋体" w:hAnsi="宋体" w:cs="宋体"/>
          <w:b/>
          <w:color w:val="000000"/>
          <w:kern w:val="0"/>
          <w:sz w:val="32"/>
          <w:szCs w:val="32"/>
          <w:lang w:eastAsia="zh-CN"/>
        </w:rPr>
        <w:t>四</w:t>
      </w:r>
      <w:r>
        <w:rPr>
          <w:rFonts w:hint="eastAsia" w:ascii="宋体" w:hAnsi="宋体" w:eastAsia="宋体" w:cs="宋体"/>
          <w:b/>
          <w:color w:val="000000"/>
          <w:kern w:val="0"/>
          <w:sz w:val="32"/>
          <w:szCs w:val="32"/>
        </w:rPr>
        <w:t>部分 合同附件</w:t>
      </w:r>
      <w:bookmarkEnd w:id="105"/>
      <w:bookmarkEnd w:id="106"/>
    </w:p>
    <w:p>
      <w:pPr>
        <w:tabs>
          <w:tab w:val="left" w:pos="540"/>
        </w:tabs>
        <w:spacing w:line="360" w:lineRule="auto"/>
        <w:outlineLvl w:val="9"/>
        <w:rPr>
          <w:rFonts w:hint="eastAsia" w:ascii="宋体" w:hAnsi="宋体" w:eastAsia="宋体" w:cs="宋体"/>
          <w:b/>
          <w:bCs/>
          <w:sz w:val="21"/>
          <w:szCs w:val="21"/>
        </w:rPr>
      </w:pPr>
      <w:bookmarkStart w:id="107" w:name="_Toc452557272"/>
      <w:bookmarkStart w:id="108" w:name="_Toc19498"/>
      <w:bookmarkStart w:id="109" w:name="_Toc524010295"/>
      <w:r>
        <w:rPr>
          <w:rFonts w:hint="eastAsia" w:ascii="宋体" w:hAnsi="宋体" w:eastAsia="宋体" w:cs="宋体"/>
          <w:b/>
          <w:bCs/>
          <w:sz w:val="21"/>
          <w:szCs w:val="21"/>
        </w:rPr>
        <w:t>附件1 价格清单</w:t>
      </w:r>
      <w:bookmarkEnd w:id="107"/>
      <w:bookmarkEnd w:id="108"/>
      <w:bookmarkEnd w:id="109"/>
    </w:p>
    <w:tbl>
      <w:tblPr>
        <w:tblStyle w:val="46"/>
        <w:tblW w:w="10005" w:type="dxa"/>
        <w:tblInd w:w="-711" w:type="dxa"/>
        <w:tblLayout w:type="fixed"/>
        <w:tblCellMar>
          <w:top w:w="15" w:type="dxa"/>
          <w:left w:w="15" w:type="dxa"/>
          <w:bottom w:w="15" w:type="dxa"/>
          <w:right w:w="15" w:type="dxa"/>
        </w:tblCellMar>
      </w:tblPr>
      <w:tblGrid>
        <w:gridCol w:w="402"/>
        <w:gridCol w:w="990"/>
        <w:gridCol w:w="706"/>
        <w:gridCol w:w="983"/>
        <w:gridCol w:w="4282"/>
        <w:gridCol w:w="2642"/>
      </w:tblGrid>
      <w:tr>
        <w:tblPrEx>
          <w:tblLayout w:type="fixed"/>
          <w:tblCellMar>
            <w:top w:w="15" w:type="dxa"/>
            <w:left w:w="15" w:type="dxa"/>
            <w:bottom w:w="15" w:type="dxa"/>
            <w:right w:w="15" w:type="dxa"/>
          </w:tblCellMar>
        </w:tblPrEx>
        <w:trPr>
          <w:trHeight w:val="990" w:hRule="atLeast"/>
        </w:trPr>
        <w:tc>
          <w:tcPr>
            <w:tcW w:w="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b/>
                <w:sz w:val="21"/>
                <w:szCs w:val="21"/>
              </w:rPr>
            </w:pPr>
            <w:bookmarkStart w:id="110" w:name="_Toc452557274"/>
            <w:bookmarkStart w:id="111" w:name="_Toc14441"/>
            <w:r>
              <w:rPr>
                <w:rFonts w:hint="eastAsia" w:ascii="宋体" w:hAnsi="宋体" w:eastAsia="宋体" w:cs="宋体"/>
                <w:b/>
                <w:kern w:val="0"/>
                <w:sz w:val="21"/>
                <w:szCs w:val="21"/>
                <w:lang w:bidi="ar"/>
              </w:rPr>
              <w:t>序号</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b/>
                <w:sz w:val="21"/>
                <w:szCs w:val="21"/>
              </w:rPr>
            </w:pPr>
            <w:r>
              <w:rPr>
                <w:rFonts w:hint="eastAsia" w:ascii="宋体" w:hAnsi="宋体" w:eastAsia="宋体" w:cs="宋体"/>
                <w:b/>
                <w:kern w:val="0"/>
                <w:sz w:val="21"/>
                <w:szCs w:val="21"/>
                <w:lang w:bidi="ar"/>
              </w:rPr>
              <w:t>项目名称</w:t>
            </w:r>
          </w:p>
        </w:tc>
        <w:tc>
          <w:tcPr>
            <w:tcW w:w="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b/>
                <w:sz w:val="21"/>
                <w:szCs w:val="21"/>
              </w:rPr>
            </w:pPr>
            <w:r>
              <w:rPr>
                <w:rFonts w:hint="eastAsia" w:ascii="宋体" w:hAnsi="宋体" w:eastAsia="宋体" w:cs="宋体"/>
                <w:b/>
                <w:kern w:val="0"/>
                <w:sz w:val="21"/>
                <w:szCs w:val="21"/>
                <w:lang w:bidi="ar"/>
              </w:rPr>
              <w:t>单位</w:t>
            </w: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b/>
                <w:sz w:val="21"/>
                <w:szCs w:val="21"/>
              </w:rPr>
            </w:pPr>
            <w:r>
              <w:rPr>
                <w:rFonts w:hint="eastAsia" w:ascii="宋体" w:hAnsi="宋体" w:eastAsia="宋体" w:cs="宋体"/>
                <w:b/>
                <w:kern w:val="0"/>
                <w:sz w:val="21"/>
                <w:szCs w:val="21"/>
                <w:lang w:bidi="ar"/>
              </w:rPr>
              <w:t>控制价</w:t>
            </w:r>
          </w:p>
        </w:tc>
        <w:tc>
          <w:tcPr>
            <w:tcW w:w="4282" w:type="dxa"/>
            <w:tcBorders>
              <w:top w:val="single" w:color="000000" w:sz="4" w:space="0"/>
              <w:left w:val="single" w:color="000000" w:sz="4" w:space="0"/>
              <w:right w:val="single" w:color="000000" w:sz="4" w:space="0"/>
            </w:tcBorders>
            <w:vAlign w:val="center"/>
          </w:tcPr>
          <w:p>
            <w:pPr>
              <w:widowControl/>
              <w:jc w:val="center"/>
              <w:textAlignment w:val="center"/>
              <w:outlineLvl w:val="9"/>
              <w:rPr>
                <w:rFonts w:hint="eastAsia" w:ascii="宋体" w:hAnsi="宋体" w:eastAsia="宋体" w:cs="宋体"/>
                <w:b/>
                <w:sz w:val="21"/>
                <w:szCs w:val="21"/>
              </w:rPr>
            </w:pPr>
            <w:r>
              <w:rPr>
                <w:rFonts w:hint="eastAsia" w:ascii="宋体" w:hAnsi="宋体" w:eastAsia="宋体" w:cs="宋体"/>
                <w:b/>
                <w:kern w:val="0"/>
                <w:sz w:val="21"/>
                <w:szCs w:val="21"/>
                <w:lang w:bidi="ar"/>
              </w:rPr>
              <w:t>综合单价报价</w:t>
            </w:r>
            <w:r>
              <w:rPr>
                <w:rFonts w:hint="eastAsia" w:ascii="宋体" w:hAnsi="宋体" w:eastAsia="宋体" w:cs="宋体"/>
                <w:b/>
                <w:kern w:val="0"/>
                <w:sz w:val="21"/>
                <w:szCs w:val="21"/>
                <w:lang w:eastAsia="zh-CN" w:bidi="ar"/>
              </w:rPr>
              <w:t>（</w:t>
            </w:r>
            <w:r>
              <w:rPr>
                <w:rFonts w:hint="eastAsia" w:ascii="宋体" w:hAnsi="宋体" w:eastAsia="宋体" w:cs="宋体"/>
                <w:b/>
                <w:kern w:val="0"/>
                <w:sz w:val="21"/>
                <w:szCs w:val="21"/>
                <w:lang w:val="en-US" w:eastAsia="zh-CN" w:bidi="ar"/>
              </w:rPr>
              <w:t>5</w:t>
            </w:r>
            <w:r>
              <w:rPr>
                <w:rFonts w:hint="eastAsia" w:ascii="宋体" w:hAnsi="宋体" w:eastAsia="宋体" w:cs="宋体"/>
                <w:b/>
                <w:kern w:val="0"/>
                <w:sz w:val="21"/>
                <w:szCs w:val="21"/>
                <w:lang w:bidi="ar"/>
              </w:rPr>
              <w:t>号线</w:t>
            </w:r>
            <w:r>
              <w:rPr>
                <w:rFonts w:hint="eastAsia" w:ascii="宋体" w:hAnsi="宋体" w:eastAsia="宋体" w:cs="宋体"/>
                <w:b/>
                <w:kern w:val="0"/>
                <w:sz w:val="21"/>
                <w:szCs w:val="21"/>
                <w:lang w:eastAsia="zh-CN" w:bidi="ar"/>
              </w:rPr>
              <w:t>）</w:t>
            </w:r>
          </w:p>
        </w:tc>
        <w:tc>
          <w:tcPr>
            <w:tcW w:w="2642" w:type="dxa"/>
            <w:tcBorders>
              <w:top w:val="single" w:color="000000" w:sz="4" w:space="0"/>
              <w:left w:val="single" w:color="000000" w:sz="4" w:space="0"/>
              <w:right w:val="single" w:color="000000" w:sz="4" w:space="0"/>
            </w:tcBorders>
            <w:vAlign w:val="center"/>
          </w:tcPr>
          <w:p>
            <w:pPr>
              <w:widowControl/>
              <w:jc w:val="center"/>
              <w:textAlignment w:val="center"/>
              <w:outlineLvl w:val="9"/>
              <w:rPr>
                <w:rFonts w:hint="eastAsia" w:ascii="宋体" w:hAnsi="宋体" w:eastAsia="宋体" w:cs="宋体"/>
                <w:b/>
                <w:sz w:val="21"/>
                <w:szCs w:val="21"/>
              </w:rPr>
            </w:pPr>
            <w:r>
              <w:rPr>
                <w:rFonts w:hint="eastAsia" w:ascii="宋体" w:hAnsi="宋体" w:eastAsia="宋体" w:cs="宋体"/>
                <w:b/>
                <w:kern w:val="0"/>
                <w:sz w:val="21"/>
                <w:szCs w:val="21"/>
                <w:lang w:bidi="ar"/>
              </w:rPr>
              <w:t>备注</w:t>
            </w:r>
          </w:p>
        </w:tc>
      </w:tr>
      <w:tr>
        <w:tblPrEx>
          <w:tblLayout w:type="fixed"/>
          <w:tblCellMar>
            <w:top w:w="15" w:type="dxa"/>
            <w:left w:w="15" w:type="dxa"/>
            <w:bottom w:w="15" w:type="dxa"/>
            <w:right w:w="15" w:type="dxa"/>
          </w:tblCellMar>
        </w:tblPrEx>
        <w:trPr>
          <w:trHeight w:val="600" w:hRule="atLeast"/>
        </w:trPr>
        <w:tc>
          <w:tcPr>
            <w:tcW w:w="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联网报警单价</w:t>
            </w:r>
          </w:p>
        </w:tc>
        <w:tc>
          <w:tcPr>
            <w:tcW w:w="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元/月/网点</w:t>
            </w: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p>
        </w:tc>
        <w:tc>
          <w:tcPr>
            <w:tcW w:w="4282" w:type="dxa"/>
            <w:tcBorders>
              <w:top w:val="single" w:color="000000" w:sz="4" w:space="0"/>
              <w:left w:val="single" w:color="000000" w:sz="4" w:space="0"/>
              <w:bottom w:val="single" w:color="000000" w:sz="4" w:space="0"/>
              <w:right w:val="single" w:color="000000" w:sz="4" w:space="0"/>
            </w:tcBorders>
            <w:vAlign w:val="center"/>
          </w:tcPr>
          <w:p>
            <w:pPr>
              <w:jc w:val="center"/>
              <w:outlineLvl w:val="9"/>
              <w:rPr>
                <w:rFonts w:hint="eastAsia" w:ascii="宋体" w:hAnsi="宋体" w:eastAsia="宋体" w:cs="宋体"/>
                <w:sz w:val="21"/>
                <w:szCs w:val="21"/>
              </w:rPr>
            </w:pPr>
          </w:p>
        </w:tc>
        <w:tc>
          <w:tcPr>
            <w:tcW w:w="2642" w:type="dxa"/>
            <w:tcBorders>
              <w:top w:val="single" w:color="000000" w:sz="4" w:space="0"/>
              <w:left w:val="single" w:color="000000" w:sz="4" w:space="0"/>
              <w:bottom w:val="single" w:color="000000" w:sz="4" w:space="0"/>
              <w:right w:val="single" w:color="000000" w:sz="4" w:space="0"/>
            </w:tcBorders>
            <w:vAlign w:val="center"/>
          </w:tcPr>
          <w:p>
            <w:pPr>
              <w:jc w:val="left"/>
              <w:outlineLvl w:val="9"/>
              <w:rPr>
                <w:rFonts w:hint="eastAsia" w:ascii="宋体" w:hAnsi="宋体" w:eastAsia="宋体" w:cs="宋体"/>
                <w:sz w:val="21"/>
                <w:szCs w:val="21"/>
              </w:rPr>
            </w:pPr>
          </w:p>
        </w:tc>
      </w:tr>
      <w:tr>
        <w:tblPrEx>
          <w:tblLayout w:type="fixed"/>
          <w:tblCellMar>
            <w:top w:w="15" w:type="dxa"/>
            <w:left w:w="15" w:type="dxa"/>
            <w:bottom w:w="15" w:type="dxa"/>
            <w:right w:w="15" w:type="dxa"/>
          </w:tblCellMar>
        </w:tblPrEx>
        <w:trPr>
          <w:trHeight w:val="600" w:hRule="atLeast"/>
        </w:trPr>
        <w:tc>
          <w:tcPr>
            <w:tcW w:w="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视频监控单价</w:t>
            </w:r>
          </w:p>
        </w:tc>
        <w:tc>
          <w:tcPr>
            <w:tcW w:w="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元/月/网点</w:t>
            </w: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p>
        </w:tc>
        <w:tc>
          <w:tcPr>
            <w:tcW w:w="4282" w:type="dxa"/>
            <w:tcBorders>
              <w:top w:val="single" w:color="000000" w:sz="4" w:space="0"/>
              <w:left w:val="single" w:color="000000" w:sz="4" w:space="0"/>
              <w:bottom w:val="single" w:color="000000" w:sz="4" w:space="0"/>
              <w:right w:val="single" w:color="000000" w:sz="4" w:space="0"/>
            </w:tcBorders>
            <w:vAlign w:val="center"/>
          </w:tcPr>
          <w:p>
            <w:pPr>
              <w:jc w:val="center"/>
              <w:outlineLvl w:val="9"/>
              <w:rPr>
                <w:rFonts w:hint="eastAsia" w:ascii="宋体" w:hAnsi="宋体" w:eastAsia="宋体" w:cs="宋体"/>
                <w:sz w:val="21"/>
                <w:szCs w:val="21"/>
              </w:rPr>
            </w:pPr>
          </w:p>
        </w:tc>
        <w:tc>
          <w:tcPr>
            <w:tcW w:w="2642" w:type="dxa"/>
            <w:tcBorders>
              <w:top w:val="single" w:color="000000" w:sz="4" w:space="0"/>
              <w:left w:val="single" w:color="000000" w:sz="4" w:space="0"/>
              <w:bottom w:val="single" w:color="000000" w:sz="4" w:space="0"/>
              <w:right w:val="single" w:color="000000" w:sz="4" w:space="0"/>
            </w:tcBorders>
            <w:vAlign w:val="center"/>
          </w:tcPr>
          <w:p>
            <w:pPr>
              <w:jc w:val="left"/>
              <w:outlineLvl w:val="9"/>
              <w:rPr>
                <w:rFonts w:hint="eastAsia" w:ascii="宋体" w:hAnsi="宋体" w:eastAsia="宋体" w:cs="宋体"/>
                <w:sz w:val="21"/>
                <w:szCs w:val="21"/>
              </w:rPr>
            </w:pPr>
          </w:p>
        </w:tc>
      </w:tr>
      <w:tr>
        <w:tblPrEx>
          <w:tblLayout w:type="fixed"/>
          <w:tblCellMar>
            <w:top w:w="15" w:type="dxa"/>
            <w:left w:w="15" w:type="dxa"/>
            <w:bottom w:w="15" w:type="dxa"/>
            <w:right w:w="15" w:type="dxa"/>
          </w:tblCellMar>
        </w:tblPrEx>
        <w:trPr>
          <w:trHeight w:val="600" w:hRule="atLeast"/>
        </w:trPr>
        <w:tc>
          <w:tcPr>
            <w:tcW w:w="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初装费</w:t>
            </w:r>
          </w:p>
        </w:tc>
        <w:tc>
          <w:tcPr>
            <w:tcW w:w="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元/网点</w:t>
            </w: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p>
        </w:tc>
        <w:tc>
          <w:tcPr>
            <w:tcW w:w="4282" w:type="dxa"/>
            <w:tcBorders>
              <w:top w:val="single" w:color="000000" w:sz="4" w:space="0"/>
              <w:left w:val="single" w:color="000000" w:sz="4" w:space="0"/>
              <w:bottom w:val="single" w:color="000000" w:sz="4" w:space="0"/>
              <w:right w:val="single" w:color="000000" w:sz="4" w:space="0"/>
            </w:tcBorders>
            <w:vAlign w:val="center"/>
          </w:tcPr>
          <w:p>
            <w:pPr>
              <w:jc w:val="center"/>
              <w:outlineLvl w:val="9"/>
              <w:rPr>
                <w:rFonts w:hint="eastAsia" w:ascii="宋体" w:hAnsi="宋体" w:eastAsia="宋体" w:cs="宋体"/>
                <w:sz w:val="21"/>
                <w:szCs w:val="21"/>
                <w:lang w:val="en-US" w:eastAsia="zh-CN"/>
              </w:rPr>
            </w:pPr>
          </w:p>
        </w:tc>
        <w:tc>
          <w:tcPr>
            <w:tcW w:w="26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lang w:val="en-US" w:eastAsia="zh-CN"/>
              </w:rPr>
            </w:pPr>
          </w:p>
        </w:tc>
      </w:tr>
      <w:tr>
        <w:tblPrEx>
          <w:tblLayout w:type="fixed"/>
          <w:tblCellMar>
            <w:top w:w="15" w:type="dxa"/>
            <w:left w:w="15" w:type="dxa"/>
            <w:bottom w:w="15" w:type="dxa"/>
            <w:right w:w="15" w:type="dxa"/>
          </w:tblCellMar>
        </w:tblPrEx>
        <w:trPr>
          <w:trHeight w:val="600" w:hRule="atLeast"/>
        </w:trPr>
        <w:tc>
          <w:tcPr>
            <w:tcW w:w="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4</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网点</w:t>
            </w:r>
          </w:p>
        </w:tc>
        <w:tc>
          <w:tcPr>
            <w:tcW w:w="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个</w:t>
            </w: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p>
        </w:tc>
        <w:tc>
          <w:tcPr>
            <w:tcW w:w="42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p>
        </w:tc>
        <w:tc>
          <w:tcPr>
            <w:tcW w:w="2642" w:type="dxa"/>
            <w:tcBorders>
              <w:top w:val="single" w:color="000000" w:sz="4" w:space="0"/>
              <w:left w:val="single" w:color="000000" w:sz="4" w:space="0"/>
              <w:bottom w:val="single" w:color="000000" w:sz="4" w:space="0"/>
              <w:right w:val="single" w:color="000000" w:sz="4" w:space="0"/>
            </w:tcBorders>
            <w:vAlign w:val="center"/>
          </w:tcPr>
          <w:p>
            <w:pPr>
              <w:jc w:val="center"/>
              <w:outlineLvl w:val="9"/>
              <w:rPr>
                <w:rFonts w:hint="eastAsia" w:ascii="宋体" w:hAnsi="宋体" w:eastAsia="宋体" w:cs="宋体"/>
                <w:b/>
                <w:sz w:val="21"/>
                <w:szCs w:val="21"/>
              </w:rPr>
            </w:pPr>
          </w:p>
        </w:tc>
      </w:tr>
      <w:tr>
        <w:tblPrEx>
          <w:tblLayout w:type="fixed"/>
          <w:tblCellMar>
            <w:top w:w="15" w:type="dxa"/>
            <w:left w:w="15" w:type="dxa"/>
            <w:bottom w:w="15" w:type="dxa"/>
            <w:right w:w="15" w:type="dxa"/>
          </w:tblCellMar>
        </w:tblPrEx>
        <w:trPr>
          <w:trHeight w:val="600" w:hRule="atLeast"/>
        </w:trPr>
        <w:tc>
          <w:tcPr>
            <w:tcW w:w="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服务期</w:t>
            </w:r>
          </w:p>
        </w:tc>
        <w:tc>
          <w:tcPr>
            <w:tcW w:w="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月</w:t>
            </w: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p>
        </w:tc>
        <w:tc>
          <w:tcPr>
            <w:tcW w:w="42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p>
        </w:tc>
        <w:tc>
          <w:tcPr>
            <w:tcW w:w="26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服务期为预估量，结算时按实际服务天数结算。</w:t>
            </w:r>
          </w:p>
        </w:tc>
      </w:tr>
      <w:tr>
        <w:tblPrEx>
          <w:tblLayout w:type="fixed"/>
          <w:tblCellMar>
            <w:top w:w="15" w:type="dxa"/>
            <w:left w:w="15" w:type="dxa"/>
            <w:bottom w:w="15" w:type="dxa"/>
            <w:right w:w="15" w:type="dxa"/>
          </w:tblCellMar>
        </w:tblPrEx>
        <w:trPr>
          <w:trHeight w:val="600" w:hRule="atLeast"/>
        </w:trPr>
        <w:tc>
          <w:tcPr>
            <w:tcW w:w="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7</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小计</w:t>
            </w:r>
          </w:p>
        </w:tc>
        <w:tc>
          <w:tcPr>
            <w:tcW w:w="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元</w:t>
            </w: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p>
        </w:tc>
        <w:tc>
          <w:tcPr>
            <w:tcW w:w="4282" w:type="dxa"/>
            <w:tcBorders>
              <w:top w:val="single" w:color="000000" w:sz="4" w:space="0"/>
              <w:left w:val="single" w:color="000000" w:sz="4" w:space="0"/>
              <w:bottom w:val="single" w:color="000000" w:sz="4" w:space="0"/>
              <w:right w:val="single" w:color="000000" w:sz="4" w:space="0"/>
            </w:tcBorders>
            <w:vAlign w:val="center"/>
          </w:tcPr>
          <w:p>
            <w:pPr>
              <w:jc w:val="center"/>
              <w:outlineLvl w:val="9"/>
              <w:rPr>
                <w:rFonts w:hint="eastAsia" w:ascii="宋体" w:hAnsi="宋体" w:eastAsia="宋体" w:cs="宋体"/>
                <w:sz w:val="21"/>
                <w:szCs w:val="21"/>
                <w:u w:val="none"/>
              </w:rPr>
            </w:pPr>
          </w:p>
        </w:tc>
        <w:tc>
          <w:tcPr>
            <w:tcW w:w="2642" w:type="dxa"/>
            <w:tcBorders>
              <w:top w:val="single" w:color="000000" w:sz="4" w:space="0"/>
              <w:left w:val="single" w:color="000000" w:sz="4" w:space="0"/>
              <w:bottom w:val="single" w:color="000000" w:sz="4" w:space="0"/>
              <w:right w:val="single" w:color="000000" w:sz="4" w:space="0"/>
            </w:tcBorders>
            <w:vAlign w:val="center"/>
          </w:tcPr>
          <w:p>
            <w:pPr>
              <w:outlineLvl w:val="9"/>
              <w:rPr>
                <w:rFonts w:hint="eastAsia" w:ascii="宋体" w:hAnsi="宋体" w:eastAsia="宋体" w:cs="宋体"/>
                <w:sz w:val="21"/>
                <w:szCs w:val="21"/>
                <w:lang w:val="en-US" w:eastAsia="zh-CN"/>
              </w:rPr>
            </w:pPr>
          </w:p>
        </w:tc>
      </w:tr>
      <w:tr>
        <w:tblPrEx>
          <w:tblLayout w:type="fixed"/>
          <w:tblCellMar>
            <w:top w:w="15" w:type="dxa"/>
            <w:left w:w="15" w:type="dxa"/>
            <w:bottom w:w="15" w:type="dxa"/>
            <w:right w:w="15" w:type="dxa"/>
          </w:tblCellMar>
        </w:tblPrEx>
        <w:trPr>
          <w:trHeight w:val="510" w:hRule="atLeast"/>
        </w:trPr>
        <w:tc>
          <w:tcPr>
            <w:tcW w:w="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8</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合计</w:t>
            </w:r>
          </w:p>
        </w:tc>
        <w:tc>
          <w:tcPr>
            <w:tcW w:w="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元</w:t>
            </w: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p>
        </w:tc>
        <w:tc>
          <w:tcPr>
            <w:tcW w:w="4282" w:type="dxa"/>
            <w:tcBorders>
              <w:top w:val="single" w:color="000000" w:sz="4" w:space="0"/>
              <w:left w:val="single" w:color="000000" w:sz="4" w:space="0"/>
              <w:bottom w:val="single" w:color="000000" w:sz="4" w:space="0"/>
              <w:right w:val="single" w:color="000000" w:sz="4" w:space="0"/>
            </w:tcBorders>
            <w:vAlign w:val="center"/>
          </w:tcPr>
          <w:p>
            <w:pPr>
              <w:jc w:val="center"/>
              <w:outlineLvl w:val="9"/>
              <w:rPr>
                <w:rFonts w:hint="eastAsia" w:ascii="宋体" w:hAnsi="宋体" w:eastAsia="宋体" w:cs="宋体"/>
                <w:sz w:val="21"/>
                <w:szCs w:val="21"/>
                <w:lang w:val="en-US" w:eastAsia="zh-CN"/>
              </w:rPr>
            </w:pPr>
          </w:p>
        </w:tc>
        <w:tc>
          <w:tcPr>
            <w:tcW w:w="2642" w:type="dxa"/>
            <w:tcBorders>
              <w:top w:val="single" w:color="000000" w:sz="4" w:space="0"/>
              <w:left w:val="single" w:color="000000" w:sz="4" w:space="0"/>
              <w:bottom w:val="single" w:color="000000" w:sz="4" w:space="0"/>
              <w:right w:val="single" w:color="000000" w:sz="4" w:space="0"/>
            </w:tcBorders>
            <w:vAlign w:val="center"/>
          </w:tcPr>
          <w:p>
            <w:pPr>
              <w:outlineLvl w:val="9"/>
              <w:rPr>
                <w:rFonts w:hint="eastAsia" w:ascii="宋体" w:hAnsi="宋体" w:eastAsia="宋体" w:cs="宋体"/>
                <w:sz w:val="21"/>
                <w:szCs w:val="21"/>
              </w:rPr>
            </w:pPr>
          </w:p>
        </w:tc>
      </w:tr>
    </w:tbl>
    <w:p>
      <w:pPr>
        <w:adjustRightInd w:val="0"/>
        <w:snapToGrid w:val="0"/>
        <w:spacing w:line="360" w:lineRule="auto"/>
        <w:rPr>
          <w:rFonts w:hint="eastAsia" w:ascii="宋体" w:hAnsi="宋体" w:eastAsia="宋体" w:cs="宋体"/>
          <w:b/>
          <w:bCs/>
          <w:sz w:val="24"/>
        </w:rPr>
      </w:pPr>
    </w:p>
    <w:p>
      <w:pPr>
        <w:adjustRightInd w:val="0"/>
        <w:snapToGrid w:val="0"/>
        <w:spacing w:line="360" w:lineRule="auto"/>
        <w:rPr>
          <w:rFonts w:hint="eastAsia" w:ascii="宋体" w:hAnsi="宋体" w:eastAsia="宋体" w:cs="宋体"/>
          <w:b/>
          <w:bCs/>
          <w:sz w:val="24"/>
        </w:rPr>
      </w:pPr>
    </w:p>
    <w:p>
      <w:pPr>
        <w:adjustRightInd w:val="0"/>
        <w:snapToGrid w:val="0"/>
        <w:spacing w:line="360" w:lineRule="auto"/>
        <w:rPr>
          <w:rFonts w:hint="eastAsia" w:ascii="宋体" w:hAnsi="宋体" w:eastAsia="宋体" w:cs="宋体"/>
          <w:b/>
          <w:bCs/>
          <w:sz w:val="24"/>
        </w:rPr>
      </w:pPr>
    </w:p>
    <w:p>
      <w:pPr>
        <w:adjustRightInd w:val="0"/>
        <w:snapToGrid w:val="0"/>
        <w:spacing w:line="360" w:lineRule="auto"/>
        <w:rPr>
          <w:rFonts w:hint="eastAsia" w:ascii="宋体" w:hAnsi="宋体" w:eastAsia="宋体" w:cs="宋体"/>
          <w:b/>
          <w:bCs/>
          <w:sz w:val="24"/>
        </w:rPr>
      </w:pPr>
    </w:p>
    <w:p>
      <w:pPr>
        <w:adjustRightInd w:val="0"/>
        <w:snapToGrid w:val="0"/>
        <w:spacing w:line="360" w:lineRule="auto"/>
        <w:rPr>
          <w:rFonts w:hint="eastAsia" w:ascii="宋体" w:hAnsi="宋体" w:eastAsia="宋体" w:cs="宋体"/>
          <w:b/>
          <w:bCs/>
          <w:sz w:val="24"/>
        </w:rPr>
      </w:pPr>
    </w:p>
    <w:p>
      <w:pPr>
        <w:adjustRightInd w:val="0"/>
        <w:snapToGrid w:val="0"/>
        <w:spacing w:line="360" w:lineRule="auto"/>
        <w:rPr>
          <w:rFonts w:hint="eastAsia" w:ascii="宋体" w:hAnsi="宋体" w:eastAsia="宋体" w:cs="宋体"/>
          <w:b/>
          <w:bCs/>
          <w:sz w:val="24"/>
        </w:rPr>
      </w:pPr>
    </w:p>
    <w:p>
      <w:pPr>
        <w:adjustRightInd w:val="0"/>
        <w:snapToGrid w:val="0"/>
        <w:spacing w:line="360" w:lineRule="auto"/>
        <w:rPr>
          <w:rFonts w:hint="eastAsia" w:ascii="宋体" w:hAnsi="宋体" w:eastAsia="宋体" w:cs="宋体"/>
          <w:b/>
          <w:bCs/>
          <w:sz w:val="24"/>
        </w:rPr>
      </w:pPr>
    </w:p>
    <w:p>
      <w:pPr>
        <w:adjustRightInd w:val="0"/>
        <w:snapToGrid w:val="0"/>
        <w:spacing w:line="360" w:lineRule="auto"/>
        <w:rPr>
          <w:rFonts w:hint="eastAsia" w:ascii="宋体" w:hAnsi="宋体" w:eastAsia="宋体" w:cs="宋体"/>
          <w:b/>
          <w:bCs/>
          <w:sz w:val="24"/>
        </w:rPr>
      </w:pPr>
    </w:p>
    <w:p>
      <w:pPr>
        <w:adjustRightInd w:val="0"/>
        <w:snapToGrid w:val="0"/>
        <w:spacing w:line="360" w:lineRule="auto"/>
        <w:rPr>
          <w:rFonts w:hint="eastAsia" w:ascii="宋体" w:hAnsi="宋体" w:eastAsia="宋体" w:cs="宋体"/>
          <w:b/>
          <w:bCs/>
          <w:sz w:val="24"/>
        </w:rPr>
      </w:pPr>
    </w:p>
    <w:p>
      <w:pPr>
        <w:rPr>
          <w:rFonts w:hint="eastAsia" w:ascii="宋体" w:hAnsi="宋体" w:eastAsia="宋体" w:cs="宋体"/>
          <w:b/>
          <w:sz w:val="24"/>
        </w:rPr>
      </w:pPr>
      <w:bookmarkStart w:id="112" w:name="_Toc524010296"/>
      <w:r>
        <w:rPr>
          <w:rFonts w:hint="eastAsia" w:ascii="宋体" w:hAnsi="宋体" w:eastAsia="宋体" w:cs="宋体"/>
          <w:b/>
          <w:sz w:val="24"/>
        </w:rPr>
        <w:br w:type="page"/>
      </w:r>
    </w:p>
    <w:p>
      <w:pPr>
        <w:jc w:val="both"/>
        <w:outlineLvl w:val="9"/>
        <w:rPr>
          <w:rFonts w:hint="eastAsia" w:ascii="宋体" w:hAnsi="宋体" w:eastAsia="宋体" w:cs="宋体"/>
          <w:sz w:val="21"/>
          <w:szCs w:val="21"/>
          <w:lang w:val="en-US" w:eastAsia="zh-CN"/>
        </w:rPr>
      </w:pPr>
      <w:r>
        <w:rPr>
          <w:rFonts w:hint="eastAsia" w:ascii="宋体" w:hAnsi="宋体" w:eastAsia="宋体" w:cs="宋体"/>
          <w:b/>
          <w:sz w:val="21"/>
          <w:szCs w:val="21"/>
        </w:rPr>
        <w:t>附件</w:t>
      </w:r>
      <w:bookmarkEnd w:id="110"/>
      <w:r>
        <w:rPr>
          <w:rFonts w:hint="eastAsia" w:ascii="宋体" w:hAnsi="宋体" w:eastAsia="宋体" w:cs="宋体"/>
          <w:b/>
          <w:sz w:val="21"/>
          <w:szCs w:val="21"/>
        </w:rPr>
        <w:t xml:space="preserve">2 </w:t>
      </w:r>
      <w:bookmarkEnd w:id="112"/>
      <w:r>
        <w:rPr>
          <w:rFonts w:hint="eastAsia" w:ascii="宋体" w:hAnsi="宋体" w:eastAsia="宋体" w:cs="宋体"/>
          <w:b/>
          <w:sz w:val="21"/>
          <w:szCs w:val="21"/>
          <w:lang w:eastAsia="zh-CN"/>
        </w:rPr>
        <w:t>用户需求书/技术规格书</w:t>
      </w:r>
    </w:p>
    <w:p>
      <w:pPr>
        <w:adjustRightInd w:val="0"/>
        <w:snapToGrid w:val="0"/>
        <w:spacing w:line="360" w:lineRule="auto"/>
        <w:outlineLvl w:val="9"/>
        <w:rPr>
          <w:rFonts w:hint="eastAsia" w:ascii="宋体" w:hAnsi="宋体" w:eastAsia="宋体" w:cs="宋体"/>
          <w:b/>
          <w:bCs/>
          <w:sz w:val="21"/>
          <w:szCs w:val="21"/>
        </w:rPr>
      </w:pPr>
    </w:p>
    <w:p>
      <w:pPr>
        <w:outlineLvl w:val="9"/>
        <w:rPr>
          <w:rFonts w:hint="eastAsia" w:ascii="宋体" w:hAnsi="宋体" w:eastAsia="宋体" w:cs="宋体"/>
          <w:b/>
          <w:bCs w:val="0"/>
          <w:sz w:val="21"/>
          <w:szCs w:val="21"/>
        </w:rPr>
      </w:pPr>
      <w:bookmarkStart w:id="113" w:name="_Toc524010297"/>
      <w:r>
        <w:rPr>
          <w:rFonts w:hint="eastAsia" w:ascii="宋体" w:hAnsi="宋体" w:eastAsia="宋体" w:cs="宋体"/>
          <w:b/>
          <w:sz w:val="21"/>
          <w:szCs w:val="21"/>
        </w:rPr>
        <w:t>附件3</w:t>
      </w:r>
      <w:r>
        <w:rPr>
          <w:rFonts w:hint="eastAsia" w:ascii="宋体" w:hAnsi="宋体" w:cs="宋体"/>
          <w:b/>
          <w:sz w:val="21"/>
          <w:szCs w:val="21"/>
          <w:lang w:val="en-US" w:eastAsia="zh-CN"/>
        </w:rPr>
        <w:t xml:space="preserve"> </w:t>
      </w:r>
      <w:r>
        <w:rPr>
          <w:rFonts w:hint="eastAsia" w:ascii="宋体" w:hAnsi="宋体" w:eastAsia="宋体" w:cs="宋体"/>
          <w:b/>
          <w:sz w:val="21"/>
          <w:szCs w:val="21"/>
        </w:rPr>
        <w:t>澄清与答疑</w:t>
      </w:r>
      <w:bookmarkEnd w:id="111"/>
      <w:r>
        <w:rPr>
          <w:rFonts w:hint="eastAsia" w:ascii="宋体" w:hAnsi="宋体" w:eastAsia="宋体" w:cs="宋体"/>
          <w:b/>
          <w:sz w:val="21"/>
          <w:szCs w:val="21"/>
        </w:rPr>
        <w:t>文件</w:t>
      </w:r>
      <w:bookmarkEnd w:id="113"/>
    </w:p>
    <w:p>
      <w:pPr>
        <w:outlineLvl w:val="9"/>
        <w:rPr>
          <w:rFonts w:hint="eastAsia" w:ascii="宋体" w:hAnsi="宋体" w:eastAsia="宋体" w:cs="宋体"/>
          <w:b/>
          <w:sz w:val="24"/>
        </w:rPr>
      </w:pPr>
      <w:bookmarkStart w:id="114" w:name="_Toc524010298"/>
      <w:r>
        <w:rPr>
          <w:rFonts w:hint="eastAsia" w:ascii="宋体" w:hAnsi="宋体" w:eastAsia="宋体" w:cs="宋体"/>
          <w:b/>
          <w:sz w:val="24"/>
        </w:rPr>
        <w:br w:type="page"/>
      </w:r>
    </w:p>
    <w:p>
      <w:pPr>
        <w:jc w:val="both"/>
        <w:outlineLvl w:val="9"/>
        <w:rPr>
          <w:rFonts w:hint="eastAsia" w:ascii="宋体" w:hAnsi="宋体" w:eastAsia="宋体" w:cs="宋体"/>
          <w:b/>
          <w:bCs w:val="0"/>
          <w:sz w:val="21"/>
          <w:szCs w:val="21"/>
        </w:rPr>
      </w:pPr>
      <w:r>
        <w:rPr>
          <w:rFonts w:hint="eastAsia" w:ascii="宋体" w:hAnsi="宋体" w:eastAsia="宋体" w:cs="宋体"/>
          <w:b/>
          <w:sz w:val="21"/>
          <w:szCs w:val="21"/>
        </w:rPr>
        <w:t>附件4 廉政合同</w:t>
      </w:r>
      <w:bookmarkEnd w:id="114"/>
    </w:p>
    <w:p>
      <w:pPr>
        <w:tabs>
          <w:tab w:val="left" w:pos="540"/>
        </w:tabs>
        <w:spacing w:line="360" w:lineRule="auto"/>
        <w:jc w:val="center"/>
        <w:outlineLvl w:val="9"/>
        <w:rPr>
          <w:rFonts w:hint="eastAsia" w:ascii="宋体" w:hAnsi="宋体" w:eastAsia="宋体" w:cs="宋体"/>
          <w:b/>
          <w:bCs/>
          <w:sz w:val="24"/>
          <w:szCs w:val="24"/>
        </w:rPr>
      </w:pPr>
      <w:bookmarkStart w:id="115" w:name="_Toc23736"/>
      <w:bookmarkStart w:id="116" w:name="_Toc20995"/>
      <w:r>
        <w:rPr>
          <w:rFonts w:hint="eastAsia" w:ascii="宋体" w:hAnsi="宋体" w:eastAsia="宋体" w:cs="宋体"/>
          <w:b/>
          <w:sz w:val="32"/>
          <w:szCs w:val="32"/>
        </w:rPr>
        <w:t>廉政合同</w:t>
      </w:r>
      <w:bookmarkEnd w:id="115"/>
      <w:bookmarkEnd w:id="116"/>
    </w:p>
    <w:p>
      <w:pPr>
        <w:spacing w:line="400" w:lineRule="exact"/>
        <w:ind w:left="0" w:firstLine="420" w:firstLineChars="200"/>
        <w:jc w:val="left"/>
        <w:outlineLvl w:val="9"/>
        <w:rPr>
          <w:rFonts w:hint="eastAsia" w:ascii="宋体" w:hAnsi="宋体" w:eastAsia="宋体" w:cs="宋体"/>
          <w:sz w:val="21"/>
          <w:szCs w:val="21"/>
        </w:rPr>
      </w:pPr>
      <w:bookmarkStart w:id="117" w:name="_Toc59896701"/>
      <w:bookmarkStart w:id="118" w:name="_Toc59900969"/>
      <w:r>
        <w:rPr>
          <w:rFonts w:hint="eastAsia" w:ascii="宋体" w:hAnsi="宋体" w:eastAsia="宋体" w:cs="宋体"/>
          <w:sz w:val="21"/>
          <w:szCs w:val="21"/>
        </w:rPr>
        <w:t>根据国家法律、法规以及有关项目建设、廉政建设的规定，为做好项目建设中的党风廉政建设，保证项目建设高效优质，保证项目资金的安全和有效使用，</w:t>
      </w:r>
    </w:p>
    <w:p>
      <w:pPr>
        <w:spacing w:line="400" w:lineRule="exact"/>
        <w:jc w:val="left"/>
        <w:outlineLvl w:val="9"/>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的项目法人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(以下称甲方)与</w:t>
      </w:r>
      <w:r>
        <w:rPr>
          <w:rFonts w:hint="eastAsia" w:ascii="宋体" w:hAnsi="宋体" w:eastAsia="宋体" w:cs="宋体"/>
          <w:sz w:val="21"/>
          <w:szCs w:val="21"/>
          <w:u w:val="single"/>
        </w:rPr>
        <w:t xml:space="preserve">      </w:t>
      </w:r>
      <w:r>
        <w:rPr>
          <w:rFonts w:hint="eastAsia" w:ascii="宋体" w:hAnsi="宋体" w:eastAsia="宋体" w:cs="宋体"/>
          <w:sz w:val="21"/>
          <w:szCs w:val="21"/>
        </w:rPr>
        <w:t>（以下称乙方），特订立如下合同：</w:t>
      </w:r>
    </w:p>
    <w:p>
      <w:pPr>
        <w:spacing w:line="400" w:lineRule="exact"/>
        <w:ind w:left="0" w:firstLine="422" w:firstLineChars="200"/>
        <w:outlineLvl w:val="9"/>
        <w:rPr>
          <w:rFonts w:hint="eastAsia" w:ascii="宋体" w:hAnsi="宋体" w:eastAsia="宋体" w:cs="宋体"/>
          <w:b/>
          <w:sz w:val="21"/>
          <w:szCs w:val="21"/>
        </w:rPr>
      </w:pPr>
      <w:r>
        <w:rPr>
          <w:rFonts w:hint="eastAsia" w:ascii="宋体" w:hAnsi="宋体" w:eastAsia="宋体" w:cs="宋体"/>
          <w:b/>
          <w:sz w:val="21"/>
          <w:szCs w:val="21"/>
        </w:rPr>
        <w:t>第一条 甲乙双方的权利和义务</w:t>
      </w:r>
      <w:bookmarkEnd w:id="117"/>
      <w:bookmarkEnd w:id="118"/>
    </w:p>
    <w:p>
      <w:pPr>
        <w:tabs>
          <w:tab w:val="left" w:pos="2115"/>
        </w:tabs>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（一）严格遵守党和国家有关法律法规及湖南省、长沙市的相关规定。</w:t>
      </w:r>
    </w:p>
    <w:p>
      <w:pPr>
        <w:tabs>
          <w:tab w:val="left" w:pos="2115"/>
        </w:tabs>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（二）严格执行</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rPr>
        <w:t>的合同文件（以下称“主合同”），自觉按合同办事。</w:t>
      </w:r>
    </w:p>
    <w:p>
      <w:pPr>
        <w:tabs>
          <w:tab w:val="left" w:pos="2115"/>
        </w:tabs>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（三）双方的业务活动坚持公开、公正、诚信、透明的原则（除法律认定的商业秘密和合同文件另有规定之外），不得损害国家和集体利益，违反相关法律法规及规章制度。</w:t>
      </w:r>
    </w:p>
    <w:p>
      <w:pPr>
        <w:tabs>
          <w:tab w:val="left" w:pos="2115"/>
        </w:tabs>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（四）建立健全廉政制度，开展廉政教育，设立廉政告示牌，公布举报电话，监督并认真查处违法违纪行为。</w:t>
      </w:r>
    </w:p>
    <w:p>
      <w:pPr>
        <w:tabs>
          <w:tab w:val="left" w:pos="2115"/>
        </w:tabs>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（五）发现对方在业务活动中有违反廉政规定的行为，有及时提醒对方纠正的权利和义务。</w:t>
      </w:r>
    </w:p>
    <w:p>
      <w:pPr>
        <w:tabs>
          <w:tab w:val="left" w:pos="2115"/>
        </w:tabs>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（六）发现对方严重违反本合同义务条款的行为，有向其上级有关部门举报、建议给予处理并要求告知处理结果的权利。</w:t>
      </w:r>
    </w:p>
    <w:p>
      <w:pPr>
        <w:spacing w:line="400" w:lineRule="exact"/>
        <w:ind w:left="0" w:firstLine="422" w:firstLineChars="200"/>
        <w:outlineLvl w:val="9"/>
        <w:rPr>
          <w:rFonts w:hint="eastAsia" w:ascii="宋体" w:hAnsi="宋体" w:eastAsia="宋体" w:cs="宋体"/>
          <w:b/>
          <w:sz w:val="21"/>
          <w:szCs w:val="21"/>
        </w:rPr>
      </w:pPr>
      <w:bookmarkStart w:id="119" w:name="_Toc59900970"/>
      <w:bookmarkStart w:id="120" w:name="_Toc59896702"/>
      <w:r>
        <w:rPr>
          <w:rFonts w:hint="eastAsia" w:ascii="宋体" w:hAnsi="宋体" w:eastAsia="宋体" w:cs="宋体"/>
          <w:b/>
          <w:sz w:val="21"/>
          <w:szCs w:val="21"/>
        </w:rPr>
        <w:t>第二条 甲方的义务</w:t>
      </w:r>
      <w:bookmarkEnd w:id="119"/>
      <w:bookmarkEnd w:id="120"/>
    </w:p>
    <w:p>
      <w:pPr>
        <w:tabs>
          <w:tab w:val="left" w:pos="0"/>
          <w:tab w:val="left" w:pos="2115"/>
        </w:tabs>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（一）甲方及其工作人员不得索要或接受乙方的礼金、有价证券和贵重物品，不得在乙方报销任何应由甲方或个人支付的费用等。</w:t>
      </w:r>
    </w:p>
    <w:p>
      <w:pPr>
        <w:tabs>
          <w:tab w:val="left" w:pos="0"/>
          <w:tab w:val="left" w:pos="2115"/>
        </w:tabs>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（二）甲方工作人员不得参加乙方安排的超标准宴请和娱乐活动；不得接受乙方提供的通讯工具、交通工具和高档办公用品等。</w:t>
      </w:r>
    </w:p>
    <w:p>
      <w:pPr>
        <w:tabs>
          <w:tab w:val="left" w:pos="0"/>
          <w:tab w:val="left" w:pos="2115"/>
        </w:tabs>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（三）甲方及其工作人员不得要求或者接受乙方为其住房装修、婚丧嫁娶活动、配偶子女的工作安排以及出国出境、旅游等提供方便等。</w:t>
      </w:r>
    </w:p>
    <w:p>
      <w:pPr>
        <w:spacing w:line="400" w:lineRule="exact"/>
        <w:ind w:left="0" w:firstLine="422" w:firstLineChars="200"/>
        <w:outlineLvl w:val="9"/>
        <w:rPr>
          <w:rFonts w:hint="eastAsia" w:ascii="宋体" w:hAnsi="宋体" w:eastAsia="宋体" w:cs="宋体"/>
          <w:b/>
          <w:sz w:val="21"/>
          <w:szCs w:val="21"/>
        </w:rPr>
      </w:pPr>
      <w:bookmarkStart w:id="121" w:name="_Toc59900971"/>
      <w:bookmarkStart w:id="122" w:name="_Toc59896703"/>
      <w:r>
        <w:rPr>
          <w:rFonts w:hint="eastAsia" w:ascii="宋体" w:hAnsi="宋体" w:eastAsia="宋体" w:cs="宋体"/>
          <w:b/>
          <w:sz w:val="21"/>
          <w:szCs w:val="21"/>
        </w:rPr>
        <w:t>第三条 乙方的义务</w:t>
      </w:r>
      <w:bookmarkEnd w:id="121"/>
      <w:bookmarkEnd w:id="122"/>
    </w:p>
    <w:p>
      <w:pPr>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（一）乙方不得以任何理由向甲方及其工作人员行贿或馈赠礼金、有价证券、贵重礼品。</w:t>
      </w:r>
    </w:p>
    <w:p>
      <w:pPr>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（二）乙方不得以任何名义为甲方及其工作人员报销应由甲方单位或个人支付的任何费用。</w:t>
      </w:r>
    </w:p>
    <w:p>
      <w:pPr>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（三）乙方不得以任何理由安排甲方工作人员参加超标准宴请及娱乐活动。</w:t>
      </w:r>
    </w:p>
    <w:p>
      <w:pPr>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（四）乙方不得为甲方单位和个人购置或提供通讯工具、交通工具和高档办公用品等。</w:t>
      </w:r>
    </w:p>
    <w:p>
      <w:pPr>
        <w:spacing w:line="400" w:lineRule="exact"/>
        <w:ind w:left="0" w:firstLine="422" w:firstLineChars="200"/>
        <w:outlineLvl w:val="9"/>
        <w:rPr>
          <w:rFonts w:hint="eastAsia" w:ascii="宋体" w:hAnsi="宋体" w:eastAsia="宋体" w:cs="宋体"/>
          <w:b/>
          <w:sz w:val="21"/>
          <w:szCs w:val="21"/>
        </w:rPr>
      </w:pPr>
      <w:r>
        <w:rPr>
          <w:rFonts w:hint="eastAsia" w:ascii="宋体" w:hAnsi="宋体" w:eastAsia="宋体" w:cs="宋体"/>
          <w:b/>
          <w:sz w:val="21"/>
          <w:szCs w:val="21"/>
        </w:rPr>
        <w:t>第四条 违约责任</w:t>
      </w:r>
    </w:p>
    <w:p>
      <w:pPr>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的所有项目进行投标的处罚。</w:t>
      </w:r>
    </w:p>
    <w:p>
      <w:pPr>
        <w:spacing w:line="400" w:lineRule="exact"/>
        <w:ind w:left="0" w:firstLine="422" w:firstLineChars="200"/>
        <w:outlineLvl w:val="9"/>
        <w:rPr>
          <w:rFonts w:hint="eastAsia" w:ascii="宋体" w:hAnsi="宋体" w:eastAsia="宋体" w:cs="宋体"/>
          <w:sz w:val="21"/>
          <w:szCs w:val="21"/>
        </w:rPr>
      </w:pPr>
      <w:r>
        <w:rPr>
          <w:rFonts w:hint="eastAsia" w:ascii="宋体" w:hAnsi="宋体" w:eastAsia="宋体" w:cs="宋体"/>
          <w:b/>
          <w:sz w:val="21"/>
          <w:szCs w:val="21"/>
        </w:rPr>
        <w:t>第五条</w:t>
      </w:r>
      <w:r>
        <w:rPr>
          <w:rFonts w:hint="eastAsia" w:ascii="宋体" w:hAnsi="宋体" w:eastAsia="宋体" w:cs="宋体"/>
          <w:sz w:val="21"/>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spacing w:line="400" w:lineRule="exact"/>
        <w:ind w:left="0" w:firstLine="422" w:firstLineChars="200"/>
        <w:outlineLvl w:val="9"/>
        <w:rPr>
          <w:rFonts w:hint="eastAsia" w:ascii="宋体" w:hAnsi="宋体" w:eastAsia="宋体" w:cs="宋体"/>
          <w:sz w:val="21"/>
          <w:szCs w:val="21"/>
        </w:rPr>
      </w:pPr>
      <w:r>
        <w:rPr>
          <w:rFonts w:hint="eastAsia" w:ascii="宋体" w:hAnsi="宋体" w:eastAsia="宋体" w:cs="宋体"/>
          <w:b/>
          <w:sz w:val="21"/>
          <w:szCs w:val="21"/>
        </w:rPr>
        <w:t>第六条</w:t>
      </w:r>
      <w:r>
        <w:rPr>
          <w:rFonts w:hint="eastAsia" w:ascii="宋体" w:hAnsi="宋体" w:eastAsia="宋体" w:cs="宋体"/>
          <w:sz w:val="21"/>
          <w:szCs w:val="21"/>
        </w:rPr>
        <w:t xml:space="preserve"> 本合同有效期为甲乙双方签署之日起至主合同完全履行完毕之日止。</w:t>
      </w:r>
    </w:p>
    <w:p>
      <w:pPr>
        <w:spacing w:line="400" w:lineRule="exact"/>
        <w:ind w:left="0" w:firstLine="422" w:firstLineChars="200"/>
        <w:outlineLvl w:val="9"/>
        <w:rPr>
          <w:rFonts w:hint="eastAsia" w:ascii="宋体" w:hAnsi="宋体" w:eastAsia="宋体" w:cs="宋体"/>
          <w:sz w:val="21"/>
          <w:szCs w:val="21"/>
        </w:rPr>
      </w:pPr>
      <w:r>
        <w:rPr>
          <w:rFonts w:hint="eastAsia" w:ascii="宋体" w:hAnsi="宋体" w:eastAsia="宋体" w:cs="宋体"/>
          <w:b/>
          <w:sz w:val="21"/>
          <w:szCs w:val="21"/>
        </w:rPr>
        <w:t>第七条</w:t>
      </w:r>
      <w:r>
        <w:rPr>
          <w:rFonts w:hint="eastAsia" w:ascii="宋体" w:hAnsi="宋体" w:eastAsia="宋体" w:cs="宋体"/>
          <w:sz w:val="21"/>
          <w:szCs w:val="21"/>
        </w:rPr>
        <w:t xml:space="preserve"> 本合同作为主合同的附件，与主合同具有同等的法律效力，经甲乙双方及双方的监督单位签署立即生效。</w:t>
      </w:r>
    </w:p>
    <w:p>
      <w:pPr>
        <w:spacing w:line="400" w:lineRule="exact"/>
        <w:ind w:left="0" w:firstLine="422" w:firstLineChars="200"/>
        <w:outlineLvl w:val="9"/>
        <w:rPr>
          <w:rFonts w:hint="eastAsia" w:ascii="宋体" w:hAnsi="宋体" w:eastAsia="宋体" w:cs="宋体"/>
          <w:sz w:val="21"/>
          <w:szCs w:val="21"/>
        </w:rPr>
      </w:pPr>
      <w:r>
        <w:rPr>
          <w:rFonts w:hint="eastAsia" w:ascii="宋体" w:hAnsi="宋体" w:eastAsia="宋体" w:cs="宋体"/>
          <w:b/>
          <w:bCs/>
          <w:sz w:val="21"/>
          <w:szCs w:val="21"/>
        </w:rPr>
        <w:t>第八条</w:t>
      </w:r>
      <w:r>
        <w:rPr>
          <w:rFonts w:hint="eastAsia" w:ascii="宋体" w:hAnsi="宋体" w:eastAsia="宋体" w:cs="宋体"/>
          <w:sz w:val="21"/>
          <w:szCs w:val="21"/>
        </w:rPr>
        <w:t>发现有违反相关要求的，可通过以下途径举报：</w:t>
      </w:r>
    </w:p>
    <w:p>
      <w:pPr>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（1）监督举报电话（限短信方式）：15367896029，</w:t>
      </w:r>
      <w:r>
        <w:rPr>
          <w:rFonts w:hint="eastAsia" w:ascii="宋体" w:hAnsi="宋体" w:eastAsia="宋体" w:cs="宋体"/>
          <w:sz w:val="21"/>
          <w:szCs w:val="21"/>
          <w:lang w:val="en-US" w:eastAsia="zh-CN"/>
        </w:rPr>
        <w:t>15367896120</w:t>
      </w:r>
      <w:r>
        <w:rPr>
          <w:rFonts w:hint="eastAsia" w:ascii="宋体" w:hAnsi="宋体" w:eastAsia="宋体" w:cs="宋体"/>
          <w:sz w:val="21"/>
          <w:szCs w:val="21"/>
        </w:rPr>
        <w:t>。</w:t>
      </w:r>
    </w:p>
    <w:p>
      <w:pPr>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（2）举报邮箱：yygsjbyx2015@163.com。</w:t>
      </w:r>
    </w:p>
    <w:p>
      <w:pPr>
        <w:spacing w:line="400" w:lineRule="exact"/>
        <w:ind w:left="0" w:firstLine="420" w:firstLineChars="200"/>
        <w:outlineLvl w:val="9"/>
        <w:rPr>
          <w:rFonts w:hint="eastAsia" w:ascii="宋体" w:hAnsi="宋体" w:eastAsia="宋体" w:cs="宋体"/>
          <w:sz w:val="21"/>
          <w:szCs w:val="21"/>
        </w:rPr>
      </w:pPr>
    </w:p>
    <w:p>
      <w:pPr>
        <w:spacing w:line="400" w:lineRule="exact"/>
        <w:ind w:left="0" w:firstLine="420" w:firstLineChars="200"/>
        <w:outlineLvl w:val="9"/>
        <w:rPr>
          <w:rFonts w:hint="eastAsia" w:ascii="宋体" w:hAnsi="宋体" w:eastAsia="宋体" w:cs="宋体"/>
          <w:sz w:val="21"/>
          <w:szCs w:val="21"/>
        </w:rPr>
      </w:pPr>
    </w:p>
    <w:p>
      <w:pPr>
        <w:spacing w:line="400" w:lineRule="exact"/>
        <w:ind w:left="0" w:firstLine="420" w:firstLineChars="200"/>
        <w:outlineLvl w:val="9"/>
        <w:rPr>
          <w:rFonts w:hint="eastAsia" w:ascii="宋体" w:hAnsi="宋体" w:eastAsia="宋体" w:cs="宋体"/>
          <w:bCs/>
          <w:sz w:val="21"/>
          <w:szCs w:val="21"/>
          <w:u w:val="single"/>
        </w:rPr>
      </w:pPr>
      <w:r>
        <w:rPr>
          <w:rFonts w:hint="eastAsia" w:ascii="宋体" w:hAnsi="宋体" w:eastAsia="宋体" w:cs="宋体"/>
          <w:bCs/>
          <w:sz w:val="21"/>
          <w:szCs w:val="21"/>
        </w:rPr>
        <w:t>甲方单位：</w:t>
      </w:r>
      <w:r>
        <w:rPr>
          <w:rFonts w:hint="eastAsia" w:ascii="宋体" w:hAnsi="宋体" w:eastAsia="宋体" w:cs="宋体"/>
          <w:bCs/>
          <w:sz w:val="21"/>
          <w:szCs w:val="21"/>
          <w:u w:val="single"/>
        </w:rPr>
        <w:t xml:space="preserve">  （盖章）   </w:t>
      </w:r>
      <w:r>
        <w:rPr>
          <w:rFonts w:hint="eastAsia" w:ascii="宋体" w:hAnsi="宋体" w:eastAsia="宋体" w:cs="宋体"/>
          <w:bCs/>
          <w:sz w:val="21"/>
          <w:szCs w:val="21"/>
        </w:rPr>
        <w:t xml:space="preserve">          乙方单位：</w:t>
      </w:r>
      <w:r>
        <w:rPr>
          <w:rFonts w:hint="eastAsia" w:ascii="宋体" w:hAnsi="宋体" w:eastAsia="宋体" w:cs="宋体"/>
          <w:bCs/>
          <w:sz w:val="21"/>
          <w:szCs w:val="21"/>
          <w:u w:val="single"/>
        </w:rPr>
        <w:t xml:space="preserve"> （盖章）    </w:t>
      </w:r>
    </w:p>
    <w:p>
      <w:pPr>
        <w:spacing w:line="400" w:lineRule="exact"/>
        <w:ind w:left="0" w:firstLine="420" w:firstLineChars="200"/>
        <w:outlineLvl w:val="9"/>
        <w:rPr>
          <w:rFonts w:hint="eastAsia" w:ascii="宋体" w:hAnsi="宋体" w:eastAsia="宋体" w:cs="宋体"/>
          <w:bCs/>
          <w:sz w:val="21"/>
          <w:szCs w:val="21"/>
          <w:u w:val="single"/>
        </w:rPr>
      </w:pPr>
      <w:r>
        <w:rPr>
          <w:rFonts w:hint="eastAsia" w:ascii="宋体" w:hAnsi="宋体" w:eastAsia="宋体" w:cs="宋体"/>
          <w:bCs/>
          <w:sz w:val="21"/>
          <w:szCs w:val="21"/>
        </w:rPr>
        <w:t>法定代表人或授权代表（签字）：    法定代表人或授权代表（签字）：</w:t>
      </w:r>
    </w:p>
    <w:p>
      <w:pPr>
        <w:spacing w:line="400" w:lineRule="exact"/>
        <w:ind w:left="0" w:firstLine="420" w:firstLineChars="200"/>
        <w:outlineLvl w:val="9"/>
        <w:rPr>
          <w:rFonts w:hint="eastAsia" w:ascii="宋体" w:hAnsi="宋体" w:eastAsia="宋体" w:cs="宋体"/>
          <w:bCs/>
          <w:sz w:val="21"/>
          <w:szCs w:val="21"/>
        </w:rPr>
      </w:pPr>
    </w:p>
    <w:p>
      <w:pPr>
        <w:spacing w:line="400" w:lineRule="exact"/>
        <w:ind w:left="0" w:firstLine="420" w:firstLineChars="200"/>
        <w:outlineLvl w:val="9"/>
        <w:rPr>
          <w:rFonts w:hint="eastAsia" w:ascii="宋体" w:hAnsi="宋体" w:eastAsia="宋体" w:cs="宋体"/>
          <w:bCs/>
          <w:sz w:val="21"/>
          <w:szCs w:val="21"/>
          <w:u w:val="single"/>
        </w:rPr>
      </w:pPr>
      <w:r>
        <w:rPr>
          <w:rFonts w:hint="eastAsia" w:ascii="宋体" w:hAnsi="宋体" w:eastAsia="宋体" w:cs="宋体"/>
          <w:bCs/>
          <w:sz w:val="21"/>
          <w:szCs w:val="21"/>
        </w:rPr>
        <w:t>电  话：</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 xml:space="preserve">  电  话：</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lang w:val="en-US" w:eastAsia="zh-CN"/>
        </w:rPr>
        <w:t xml:space="preserve"> </w:t>
      </w:r>
    </w:p>
    <w:p>
      <w:pPr>
        <w:spacing w:line="400" w:lineRule="exact"/>
        <w:ind w:left="0"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rPr>
        <w:t>甲方监督单位：</w:t>
      </w:r>
      <w:r>
        <w:rPr>
          <w:rFonts w:hint="eastAsia" w:ascii="宋体" w:hAnsi="宋体" w:eastAsia="宋体" w:cs="宋体"/>
          <w:bCs/>
          <w:sz w:val="21"/>
          <w:szCs w:val="21"/>
          <w:u w:val="single"/>
        </w:rPr>
        <w:t xml:space="preserve">（盖章） </w:t>
      </w:r>
      <w:r>
        <w:rPr>
          <w:rFonts w:hint="eastAsia" w:ascii="宋体" w:hAnsi="宋体" w:eastAsia="宋体" w:cs="宋体"/>
          <w:bCs/>
          <w:sz w:val="21"/>
          <w:szCs w:val="21"/>
        </w:rPr>
        <w:t xml:space="preserve">       </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 xml:space="preserve">  乙方监督单位：</w:t>
      </w:r>
      <w:r>
        <w:rPr>
          <w:rFonts w:hint="eastAsia" w:ascii="宋体" w:hAnsi="宋体" w:eastAsia="宋体" w:cs="宋体"/>
          <w:bCs/>
          <w:sz w:val="21"/>
          <w:szCs w:val="21"/>
          <w:u w:val="single"/>
        </w:rPr>
        <w:t xml:space="preserve">（盖章） </w:t>
      </w:r>
    </w:p>
    <w:p>
      <w:pPr>
        <w:snapToGrid w:val="0"/>
        <w:spacing w:line="360" w:lineRule="auto"/>
        <w:outlineLvl w:val="9"/>
        <w:rPr>
          <w:rFonts w:hint="eastAsia" w:ascii="宋体" w:hAnsi="宋体" w:eastAsia="宋体" w:cs="宋体"/>
          <w:b/>
          <w:sz w:val="24"/>
        </w:rPr>
      </w:pPr>
    </w:p>
    <w:p>
      <w:pPr>
        <w:snapToGrid w:val="0"/>
        <w:spacing w:line="360" w:lineRule="auto"/>
        <w:outlineLvl w:val="9"/>
        <w:rPr>
          <w:rFonts w:hint="eastAsia" w:ascii="宋体" w:hAnsi="宋体" w:eastAsia="宋体" w:cs="宋体"/>
          <w:b/>
          <w:sz w:val="24"/>
        </w:rPr>
      </w:pPr>
    </w:p>
    <w:p>
      <w:pPr>
        <w:snapToGrid w:val="0"/>
        <w:spacing w:line="360" w:lineRule="auto"/>
        <w:jc w:val="center"/>
        <w:outlineLvl w:val="9"/>
        <w:rPr>
          <w:rFonts w:hint="eastAsia" w:ascii="宋体" w:hAnsi="宋体" w:eastAsia="宋体" w:cs="宋体"/>
          <w:b/>
          <w:color w:val="000000"/>
          <w:kern w:val="0"/>
          <w:sz w:val="32"/>
          <w:szCs w:val="32"/>
        </w:rPr>
      </w:pPr>
    </w:p>
    <w:p>
      <w:pPr>
        <w:outlineLvl w:val="9"/>
        <w:rPr>
          <w:rFonts w:hint="eastAsia" w:ascii="宋体" w:hAnsi="宋体" w:eastAsia="宋体" w:cs="宋体"/>
          <w:color w:val="000000"/>
          <w:kern w:val="0"/>
          <w:szCs w:val="32"/>
        </w:rPr>
      </w:pPr>
      <w:bookmarkStart w:id="123" w:name="_Toc524010299"/>
      <w:r>
        <w:rPr>
          <w:rFonts w:hint="eastAsia" w:ascii="宋体" w:hAnsi="宋体" w:eastAsia="宋体" w:cs="宋体"/>
          <w:color w:val="000000"/>
          <w:kern w:val="0"/>
          <w:szCs w:val="32"/>
        </w:rPr>
        <w:br w:type="page"/>
      </w:r>
    </w:p>
    <w:p>
      <w:pPr>
        <w:jc w:val="center"/>
        <w:outlineLvl w:val="9"/>
        <w:rPr>
          <w:rFonts w:hint="eastAsia" w:ascii="宋体" w:hAnsi="宋体" w:eastAsia="宋体" w:cs="宋体"/>
          <w:b w:val="0"/>
          <w:color w:val="000000"/>
          <w:kern w:val="0"/>
          <w:sz w:val="32"/>
          <w:szCs w:val="32"/>
        </w:rPr>
      </w:pPr>
      <w:r>
        <w:rPr>
          <w:rFonts w:hint="eastAsia" w:ascii="宋体" w:hAnsi="宋体" w:eastAsia="宋体" w:cs="宋体"/>
          <w:color w:val="000000"/>
          <w:kern w:val="0"/>
          <w:sz w:val="32"/>
          <w:szCs w:val="32"/>
        </w:rPr>
        <w:t>第</w:t>
      </w:r>
      <w:r>
        <w:rPr>
          <w:rFonts w:hint="eastAsia" w:ascii="宋体" w:hAnsi="宋体" w:eastAsia="宋体" w:cs="宋体"/>
          <w:color w:val="000000"/>
          <w:kern w:val="0"/>
          <w:sz w:val="32"/>
          <w:szCs w:val="32"/>
          <w:lang w:eastAsia="zh-CN"/>
        </w:rPr>
        <w:t>五</w:t>
      </w:r>
      <w:r>
        <w:rPr>
          <w:rFonts w:hint="eastAsia" w:ascii="宋体" w:hAnsi="宋体" w:eastAsia="宋体" w:cs="宋体"/>
          <w:color w:val="000000"/>
          <w:kern w:val="0"/>
          <w:sz w:val="32"/>
          <w:szCs w:val="32"/>
        </w:rPr>
        <w:t>部分 合同附录</w:t>
      </w:r>
      <w:bookmarkEnd w:id="123"/>
    </w:p>
    <w:p>
      <w:pPr>
        <w:outlineLvl w:val="9"/>
        <w:rPr>
          <w:rFonts w:hint="eastAsia" w:ascii="宋体" w:hAnsi="宋体" w:eastAsia="宋体" w:cs="宋体"/>
          <w:b/>
          <w:sz w:val="21"/>
          <w:szCs w:val="21"/>
        </w:rPr>
      </w:pPr>
      <w:bookmarkStart w:id="124" w:name="_Toc524010300"/>
      <w:r>
        <w:rPr>
          <w:rFonts w:hint="eastAsia" w:ascii="宋体" w:hAnsi="宋体" w:eastAsia="宋体" w:cs="宋体"/>
          <w:b/>
          <w:sz w:val="21"/>
          <w:szCs w:val="21"/>
        </w:rPr>
        <w:t>附录1：授权委托书</w:t>
      </w:r>
      <w:bookmarkEnd w:id="124"/>
    </w:p>
    <w:p>
      <w:pPr>
        <w:keepNext w:val="0"/>
        <w:keepLines w:val="0"/>
        <w:pageBreakBefore w:val="0"/>
        <w:widowControl w:val="0"/>
        <w:kinsoku/>
        <w:wordWrap/>
        <w:overflowPunct/>
        <w:topLinePunct w:val="0"/>
        <w:autoSpaceDE/>
        <w:autoSpaceDN/>
        <w:bidi w:val="0"/>
        <w:adjustRightInd w:val="0"/>
        <w:snapToGrid w:val="0"/>
        <w:spacing w:line="360" w:lineRule="auto"/>
        <w:jc w:val="center"/>
        <w:outlineLvl w:val="9"/>
        <w:rPr>
          <w:rFonts w:hint="eastAsia" w:ascii="宋体" w:hAnsi="宋体" w:eastAsia="宋体" w:cs="宋体"/>
          <w:b/>
          <w:sz w:val="24"/>
          <w:szCs w:val="24"/>
        </w:rPr>
      </w:pPr>
      <w:r>
        <w:rPr>
          <w:rFonts w:hint="eastAsia" w:ascii="宋体" w:hAnsi="宋体" w:eastAsia="宋体" w:cs="宋体"/>
          <w:b/>
          <w:sz w:val="24"/>
          <w:szCs w:val="24"/>
        </w:rPr>
        <w:t>授权委托书</w:t>
      </w: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本授权书声明：注册于</w:t>
      </w:r>
      <w:r>
        <w:rPr>
          <w:rFonts w:hint="eastAsia" w:ascii="宋体" w:hAnsi="宋体" w:eastAsia="宋体" w:cs="宋体"/>
          <w:sz w:val="21"/>
          <w:szCs w:val="21"/>
          <w:u w:val="single"/>
        </w:rPr>
        <w:t xml:space="preserve">              </w:t>
      </w:r>
      <w:r>
        <w:rPr>
          <w:rFonts w:hint="eastAsia" w:ascii="宋体" w:hAnsi="宋体" w:eastAsia="宋体" w:cs="宋体"/>
          <w:sz w:val="21"/>
          <w:szCs w:val="21"/>
        </w:rPr>
        <w:t>（国家名称）的</w:t>
      </w:r>
      <w:r>
        <w:rPr>
          <w:rFonts w:hint="eastAsia" w:ascii="宋体" w:hAnsi="宋体" w:eastAsia="宋体" w:cs="宋体"/>
          <w:sz w:val="21"/>
          <w:szCs w:val="21"/>
          <w:u w:val="single"/>
        </w:rPr>
        <w:t xml:space="preserve">              </w:t>
      </w:r>
      <w:r>
        <w:rPr>
          <w:rFonts w:hint="eastAsia" w:ascii="宋体" w:hAnsi="宋体" w:eastAsia="宋体" w:cs="宋体"/>
          <w:sz w:val="21"/>
          <w:szCs w:val="21"/>
        </w:rPr>
        <w:t>（乙方全称）在下面签字的</w:t>
      </w:r>
      <w:r>
        <w:rPr>
          <w:rFonts w:hint="eastAsia" w:ascii="宋体" w:hAnsi="宋体" w:eastAsia="宋体" w:cs="宋体"/>
          <w:sz w:val="21"/>
          <w:szCs w:val="21"/>
          <w:u w:val="single"/>
        </w:rPr>
        <w:t xml:space="preserve">          </w:t>
      </w:r>
      <w:r>
        <w:rPr>
          <w:rFonts w:hint="eastAsia" w:ascii="宋体" w:hAnsi="宋体" w:eastAsia="宋体" w:cs="宋体"/>
          <w:sz w:val="21"/>
          <w:szCs w:val="21"/>
        </w:rPr>
        <w:t>（法定代表人姓名、职务）代表本公司授权在下面签字的</w:t>
      </w:r>
      <w:r>
        <w:rPr>
          <w:rFonts w:hint="eastAsia" w:ascii="宋体" w:hAnsi="宋体" w:eastAsia="宋体" w:cs="宋体"/>
          <w:sz w:val="21"/>
          <w:szCs w:val="21"/>
          <w:u w:val="single"/>
        </w:rPr>
        <w:t xml:space="preserve">   </w:t>
      </w:r>
      <w:r>
        <w:rPr>
          <w:rFonts w:hint="eastAsia" w:ascii="宋体" w:hAnsi="宋体" w:eastAsia="宋体" w:cs="宋体"/>
          <w:sz w:val="21"/>
          <w:szCs w:val="21"/>
        </w:rPr>
        <w:t>（被授权人的姓名、职务）为本公司的合法代表，就合同编号为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合同》（以下简称“合同”）的签约、执行和质量保证期服务、售后服务期服务等，并以本公司名义处理一切与之有关的事务。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本授权书于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日签字生效，特此声明。</w:t>
      </w: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sz w:val="21"/>
          <w:szCs w:val="21"/>
          <w:u w:val="single"/>
        </w:rPr>
      </w:pPr>
      <w:r>
        <w:rPr>
          <w:rFonts w:hint="eastAsia" w:ascii="宋体" w:hAnsi="宋体" w:eastAsia="宋体" w:cs="宋体"/>
          <w:sz w:val="21"/>
          <w:szCs w:val="21"/>
        </w:rPr>
        <w:t>法定代表人签字：</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sz w:val="21"/>
          <w:szCs w:val="21"/>
          <w:u w:val="single"/>
        </w:rPr>
      </w:pPr>
      <w:r>
        <w:rPr>
          <w:rFonts w:hint="eastAsia" w:ascii="宋体" w:hAnsi="宋体" w:eastAsia="宋体" w:cs="宋体"/>
          <w:sz w:val="21"/>
          <w:szCs w:val="21"/>
        </w:rPr>
        <w:t>授权代表（被授权人，即授权代理人）签字：</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sz w:val="21"/>
          <w:szCs w:val="21"/>
          <w:u w:val="single"/>
        </w:rPr>
      </w:pPr>
      <w:r>
        <w:rPr>
          <w:rFonts w:hint="eastAsia" w:ascii="宋体" w:hAnsi="宋体" w:eastAsia="宋体" w:cs="宋体"/>
          <w:sz w:val="21"/>
          <w:szCs w:val="21"/>
        </w:rPr>
        <w:t>乙方全称（公章）：</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sz w:val="21"/>
          <w:szCs w:val="21"/>
          <w:u w:val="single"/>
        </w:rPr>
      </w:pPr>
      <w:r>
        <w:rPr>
          <w:rFonts w:hint="eastAsia" w:ascii="宋体" w:hAnsi="宋体" w:eastAsia="宋体" w:cs="宋体"/>
          <w:sz w:val="21"/>
          <w:szCs w:val="21"/>
        </w:rPr>
        <w:t>乙方地址：</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sz w:val="21"/>
          <w:szCs w:val="21"/>
          <w:u w:val="single"/>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sz w:val="21"/>
          <w:szCs w:val="21"/>
          <w:u w:val="single"/>
        </w:rPr>
      </w:pP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附：</w:t>
      </w:r>
      <w:r>
        <w:rPr>
          <w:rFonts w:hint="eastAsia" w:ascii="宋体" w:hAnsi="宋体" w:eastAsia="宋体" w:cs="宋体"/>
          <w:sz w:val="21"/>
          <w:szCs w:val="21"/>
        </w:rPr>
        <w:t>授权人的法定代表人证明材料复印件（加盖单位公章）、授权人和被授权人的身份证彩色影印件（加盖单位公章）</w:t>
      </w: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b/>
          <w:bCs/>
          <w:sz w:val="24"/>
          <w:szCs w:val="24"/>
        </w:rPr>
        <w:sectPr>
          <w:footerReference r:id="rId9" w:type="default"/>
          <w:pgSz w:w="11906" w:h="16838"/>
          <w:pgMar w:top="1440" w:right="1800" w:bottom="1440" w:left="1800" w:header="851" w:footer="992" w:gutter="0"/>
          <w:pgNumType w:fmt="decimal"/>
          <w:cols w:space="720" w:num="1"/>
          <w:docGrid w:type="lines" w:linePitch="312" w:charSpace="0"/>
        </w:sectPr>
      </w:pPr>
    </w:p>
    <w:p>
      <w:pPr>
        <w:outlineLvl w:val="9"/>
        <w:rPr>
          <w:rFonts w:hint="eastAsia" w:ascii="宋体" w:hAnsi="宋体" w:eastAsia="宋体" w:cs="宋体"/>
          <w:b/>
          <w:sz w:val="24"/>
        </w:rPr>
      </w:pPr>
    </w:p>
    <w:p>
      <w:pPr>
        <w:outlineLvl w:val="9"/>
        <w:rPr>
          <w:rFonts w:hint="eastAsia" w:ascii="宋体" w:hAnsi="宋体" w:eastAsia="宋体" w:cs="宋体"/>
          <w:b/>
          <w:sz w:val="24"/>
        </w:rPr>
      </w:pPr>
      <w:bookmarkStart w:id="125" w:name="_Toc524010301"/>
      <w:r>
        <w:rPr>
          <w:rFonts w:hint="eastAsia" w:ascii="宋体" w:hAnsi="宋体" w:eastAsia="宋体" w:cs="宋体"/>
          <w:b/>
          <w:sz w:val="21"/>
          <w:szCs w:val="21"/>
        </w:rPr>
        <w:t>附录2：履约担保</w:t>
      </w:r>
      <w:bookmarkEnd w:id="125"/>
    </w:p>
    <w:p>
      <w:pPr>
        <w:jc w:val="center"/>
        <w:outlineLvl w:val="9"/>
        <w:rPr>
          <w:rFonts w:hint="eastAsia" w:ascii="宋体" w:hAnsi="宋体" w:eastAsia="宋体" w:cs="宋体"/>
          <w:b/>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center"/>
        <w:outlineLvl w:val="9"/>
        <w:rPr>
          <w:rFonts w:hint="eastAsia" w:ascii="宋体" w:hAnsi="宋体" w:eastAsia="宋体" w:cs="宋体"/>
          <w:b/>
          <w:sz w:val="24"/>
          <w:szCs w:val="24"/>
        </w:rPr>
      </w:pPr>
      <w:r>
        <w:rPr>
          <w:rFonts w:hint="eastAsia" w:ascii="宋体" w:hAnsi="宋体" w:eastAsia="宋体" w:cs="宋体"/>
          <w:b/>
          <w:sz w:val="24"/>
          <w:szCs w:val="24"/>
        </w:rPr>
        <w:t>银行履约保函</w:t>
      </w:r>
    </w:p>
    <w:p>
      <w:pPr>
        <w:keepNext w:val="0"/>
        <w:keepLines w:val="0"/>
        <w:pageBreakBefore w:val="0"/>
        <w:widowControl w:val="0"/>
        <w:kinsoku/>
        <w:wordWrap/>
        <w:overflowPunct/>
        <w:topLinePunct w:val="0"/>
        <w:autoSpaceDE/>
        <w:autoSpaceDN/>
        <w:bidi w:val="0"/>
        <w:adjustRightInd w:val="0"/>
        <w:snapToGrid w:val="0"/>
        <w:spacing w:line="360" w:lineRule="auto"/>
        <w:ind w:right="480" w:firstLine="480" w:firstLineChars="200"/>
        <w:jc w:val="center"/>
        <w:outlineLvl w:val="9"/>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0"/>
        <w:jc w:val="left"/>
        <w:outlineLvl w:val="9"/>
        <w:rPr>
          <w:rFonts w:hint="eastAsia" w:ascii="宋体" w:hAnsi="宋体" w:eastAsia="宋体" w:cs="宋体"/>
          <w:sz w:val="21"/>
          <w:szCs w:val="21"/>
          <w:u w:val="single"/>
        </w:rPr>
      </w:pPr>
      <w:r>
        <w:rPr>
          <w:rFonts w:hint="eastAsia" w:ascii="宋体" w:hAnsi="宋体" w:eastAsia="宋体" w:cs="宋体"/>
          <w:sz w:val="21"/>
          <w:szCs w:val="21"/>
        </w:rPr>
        <w:t xml:space="preserve">                                              保函编号：</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0"/>
        <w:outlineLvl w:val="9"/>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（甲方名称）：</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outlineLvl w:val="9"/>
        <w:rPr>
          <w:rFonts w:hint="eastAsia" w:ascii="宋体" w:hAnsi="宋体" w:eastAsia="宋体" w:cs="宋体"/>
          <w:sz w:val="21"/>
          <w:szCs w:val="21"/>
        </w:rPr>
      </w:pPr>
      <w:r>
        <w:rPr>
          <w:rFonts w:hint="eastAsia" w:ascii="宋体" w:hAnsi="宋体" w:eastAsia="宋体" w:cs="宋体"/>
          <w:sz w:val="21"/>
          <w:szCs w:val="21"/>
        </w:rPr>
        <w:t xml:space="preserve">    鉴于</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（甲方名称，以下简称“你方”）与 </w:t>
      </w:r>
      <w:r>
        <w:rPr>
          <w:rFonts w:hint="eastAsia" w:ascii="宋体" w:hAnsi="宋体" w:eastAsia="宋体" w:cs="宋体"/>
          <w:sz w:val="21"/>
          <w:szCs w:val="21"/>
          <w:u w:val="single"/>
        </w:rPr>
        <w:t xml:space="preserve">         </w:t>
      </w:r>
      <w:r>
        <w:rPr>
          <w:rFonts w:hint="eastAsia" w:ascii="宋体" w:hAnsi="宋体" w:eastAsia="宋体" w:cs="宋体"/>
          <w:sz w:val="21"/>
          <w:szCs w:val="21"/>
        </w:rPr>
        <w:t>（乙方名称，以下简称“乙方”）于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日协商一致共同签订合同编号为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合同》（以下简称“合同”）。 我方愿意无条件地、不可撤销地就乙方履行与你方签订的合同，向你方提供连带责任担保。</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outlineLvl w:val="9"/>
        <w:rPr>
          <w:rFonts w:hint="eastAsia" w:ascii="宋体" w:hAnsi="宋体" w:eastAsia="宋体" w:cs="宋体"/>
          <w:sz w:val="21"/>
          <w:szCs w:val="21"/>
        </w:rPr>
      </w:pPr>
      <w:r>
        <w:rPr>
          <w:rFonts w:hint="eastAsia" w:ascii="宋体" w:hAnsi="宋体" w:eastAsia="宋体" w:cs="宋体"/>
          <w:sz w:val="21"/>
          <w:szCs w:val="21"/>
        </w:rPr>
        <w:t xml:space="preserve">    1.担保金额为人民币（大写）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元（小写：¥</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outlineLvl w:val="9"/>
        <w:rPr>
          <w:rFonts w:hint="eastAsia" w:ascii="宋体" w:hAnsi="宋体" w:eastAsia="宋体" w:cs="宋体"/>
          <w:sz w:val="21"/>
          <w:szCs w:val="21"/>
        </w:rPr>
      </w:pPr>
      <w:r>
        <w:rPr>
          <w:rFonts w:hint="eastAsia" w:ascii="宋体" w:hAnsi="宋体" w:eastAsia="宋体" w:cs="宋体"/>
          <w:sz w:val="21"/>
          <w:szCs w:val="21"/>
        </w:rPr>
        <w:t xml:space="preserve">    2. 担保有效期自本保函生效之日起至合同约定</w:t>
      </w:r>
      <w:r>
        <w:rPr>
          <w:rFonts w:hint="eastAsia" w:ascii="宋体" w:hAnsi="宋体" w:eastAsia="宋体" w:cs="宋体"/>
          <w:sz w:val="21"/>
          <w:szCs w:val="21"/>
          <w:lang w:eastAsia="zh-CN"/>
        </w:rPr>
        <w:t>合同工期期满</w:t>
      </w:r>
      <w:r>
        <w:rPr>
          <w:rFonts w:hint="eastAsia" w:ascii="宋体" w:hAnsi="宋体" w:eastAsia="宋体" w:cs="宋体"/>
          <w:sz w:val="21"/>
          <w:szCs w:val="21"/>
        </w:rPr>
        <w:t>止。</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outlineLvl w:val="9"/>
        <w:rPr>
          <w:rFonts w:hint="eastAsia" w:ascii="宋体" w:hAnsi="宋体" w:eastAsia="宋体" w:cs="宋体"/>
          <w:sz w:val="21"/>
          <w:szCs w:val="21"/>
        </w:rPr>
      </w:pPr>
      <w:r>
        <w:rPr>
          <w:rFonts w:hint="eastAsia" w:ascii="宋体" w:hAnsi="宋体" w:eastAsia="宋体" w:cs="宋体"/>
          <w:sz w:val="21"/>
          <w:szCs w:val="21"/>
        </w:rPr>
        <w:t xml:space="preserve">    3.在本担保有效期内，因乙方违反合同约定的义务给你方造成经济损失时，我方在收到你方以书面形式提出的在担保金额内的赔偿要求后，在7个工作日内无条件支付。</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outlineLvl w:val="9"/>
        <w:rPr>
          <w:rFonts w:hint="eastAsia" w:ascii="宋体" w:hAnsi="宋体" w:eastAsia="宋体" w:cs="宋体"/>
          <w:sz w:val="21"/>
          <w:szCs w:val="21"/>
        </w:rPr>
      </w:pPr>
      <w:r>
        <w:rPr>
          <w:rFonts w:hint="eastAsia" w:ascii="宋体" w:hAnsi="宋体" w:eastAsia="宋体" w:cs="宋体"/>
          <w:sz w:val="21"/>
          <w:szCs w:val="21"/>
        </w:rPr>
        <w:t xml:space="preserve">    4.你方和乙方按合同约定变更合同时，我方承担本担保规定的义务不变。</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outlineLvl w:val="9"/>
        <w:rPr>
          <w:rFonts w:hint="eastAsia" w:ascii="宋体" w:hAnsi="宋体" w:eastAsia="宋体" w:cs="宋体"/>
          <w:sz w:val="21"/>
          <w:szCs w:val="21"/>
        </w:rPr>
      </w:pPr>
      <w:r>
        <w:rPr>
          <w:rFonts w:hint="eastAsia" w:ascii="宋体" w:hAnsi="宋体" w:eastAsia="宋体" w:cs="宋体"/>
          <w:sz w:val="21"/>
          <w:szCs w:val="21"/>
        </w:rPr>
        <w:t xml:space="preserve">    5.因本保函发生的纠纷，可由双方协商解决，协商不成的，任何一方均可提请在甲方所在地仲裁委员会仲裁。</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outlineLvl w:val="9"/>
        <w:rPr>
          <w:rFonts w:hint="eastAsia" w:ascii="宋体" w:hAnsi="宋体" w:eastAsia="宋体" w:cs="宋体"/>
          <w:sz w:val="21"/>
          <w:szCs w:val="21"/>
        </w:rPr>
      </w:pPr>
      <w:r>
        <w:rPr>
          <w:rFonts w:hint="eastAsia" w:ascii="宋体" w:hAnsi="宋体" w:eastAsia="宋体" w:cs="宋体"/>
          <w:sz w:val="21"/>
          <w:szCs w:val="21"/>
        </w:rPr>
        <w:t xml:space="preserve">    6.本保函自我方法定代表人或授权代理人签字并加盖公章之日起生效。</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352" w:firstLineChars="168"/>
        <w:outlineLvl w:val="9"/>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352" w:firstLineChars="168"/>
        <w:outlineLvl w:val="9"/>
        <w:rPr>
          <w:rFonts w:hint="eastAsia" w:ascii="宋体" w:hAnsi="宋体" w:eastAsia="宋体" w:cs="宋体"/>
          <w:sz w:val="21"/>
          <w:szCs w:val="21"/>
          <w:u w:val="single"/>
        </w:rPr>
      </w:pPr>
      <w:r>
        <w:rPr>
          <w:rFonts w:hint="eastAsia" w:ascii="宋体" w:hAnsi="宋体" w:eastAsia="宋体" w:cs="宋体"/>
          <w:sz w:val="21"/>
          <w:szCs w:val="21"/>
        </w:rPr>
        <w:t>担保人：</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352" w:firstLineChars="168"/>
        <w:outlineLvl w:val="9"/>
        <w:rPr>
          <w:rFonts w:hint="eastAsia" w:ascii="宋体" w:hAnsi="宋体" w:eastAsia="宋体" w:cs="宋体"/>
          <w:sz w:val="21"/>
          <w:szCs w:val="21"/>
        </w:rPr>
      </w:pPr>
      <w:r>
        <w:rPr>
          <w:rFonts w:hint="eastAsia" w:ascii="宋体" w:hAnsi="宋体" w:eastAsia="宋体" w:cs="宋体"/>
          <w:sz w:val="21"/>
          <w:szCs w:val="21"/>
        </w:rPr>
        <w:t>法定代表人或授权代理人：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352" w:firstLineChars="168"/>
        <w:outlineLvl w:val="9"/>
        <w:rPr>
          <w:rFonts w:hint="eastAsia" w:ascii="宋体" w:hAnsi="宋体" w:eastAsia="宋体" w:cs="宋体"/>
          <w:sz w:val="21"/>
          <w:szCs w:val="21"/>
          <w:u w:val="single"/>
        </w:rPr>
      </w:pPr>
      <w:r>
        <w:rPr>
          <w:rFonts w:hint="eastAsia" w:ascii="宋体" w:hAnsi="宋体" w:eastAsia="宋体" w:cs="宋体"/>
          <w:sz w:val="21"/>
          <w:szCs w:val="21"/>
        </w:rPr>
        <w:t>地址：</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352" w:firstLineChars="168"/>
        <w:outlineLvl w:val="9"/>
        <w:rPr>
          <w:rFonts w:hint="eastAsia" w:ascii="宋体" w:hAnsi="宋体" w:eastAsia="宋体" w:cs="宋体"/>
          <w:sz w:val="21"/>
          <w:szCs w:val="21"/>
          <w:u w:val="single"/>
        </w:rPr>
      </w:pPr>
      <w:r>
        <w:rPr>
          <w:rFonts w:hint="eastAsia" w:ascii="宋体" w:hAnsi="宋体" w:eastAsia="宋体" w:cs="宋体"/>
          <w:sz w:val="21"/>
          <w:szCs w:val="21"/>
        </w:rPr>
        <w:t xml:space="preserve">邮政编码： </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352" w:firstLineChars="168"/>
        <w:outlineLvl w:val="9"/>
        <w:rPr>
          <w:rFonts w:hint="eastAsia" w:ascii="宋体" w:hAnsi="宋体" w:eastAsia="宋体" w:cs="宋体"/>
          <w:sz w:val="21"/>
          <w:szCs w:val="21"/>
          <w:u w:val="single"/>
        </w:rPr>
      </w:pPr>
      <w:r>
        <w:rPr>
          <w:rFonts w:hint="eastAsia" w:ascii="宋体" w:hAnsi="宋体" w:eastAsia="宋体" w:cs="宋体"/>
          <w:sz w:val="21"/>
          <w:szCs w:val="21"/>
        </w:rPr>
        <w:t xml:space="preserve">电话： </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352" w:firstLineChars="168"/>
        <w:outlineLvl w:val="9"/>
        <w:rPr>
          <w:rFonts w:hint="eastAsia" w:ascii="宋体" w:hAnsi="宋体" w:eastAsia="宋体" w:cs="宋体"/>
          <w:sz w:val="21"/>
          <w:szCs w:val="21"/>
          <w:u w:val="single"/>
        </w:rPr>
      </w:pPr>
      <w:r>
        <w:rPr>
          <w:rFonts w:hint="eastAsia" w:ascii="宋体" w:hAnsi="宋体" w:eastAsia="宋体" w:cs="宋体"/>
          <w:sz w:val="21"/>
          <w:szCs w:val="21"/>
        </w:rPr>
        <w:t>传真：</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352" w:firstLineChars="168"/>
        <w:outlineLvl w:val="9"/>
        <w:rPr>
          <w:rFonts w:hint="eastAsia" w:ascii="宋体" w:hAnsi="宋体" w:eastAsia="宋体" w:cs="宋体"/>
          <w:sz w:val="24"/>
          <w:szCs w:val="24"/>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widowControl/>
        <w:jc w:val="left"/>
        <w:rPr>
          <w:rFonts w:ascii="黑体" w:eastAsia="黑体"/>
          <w:b/>
          <w:sz w:val="32"/>
          <w:szCs w:val="32"/>
        </w:rPr>
      </w:pPr>
    </w:p>
    <w:p>
      <w:pPr>
        <w:pStyle w:val="2"/>
        <w:sectPr>
          <w:pgSz w:w="11906" w:h="16838"/>
          <w:pgMar w:top="1440" w:right="1797" w:bottom="1440" w:left="1797" w:header="851" w:footer="851" w:gutter="0"/>
          <w:pgNumType w:fmt="decimal"/>
          <w:cols w:space="720" w:num="1"/>
          <w:docGrid w:linePitch="312" w:charSpace="0"/>
        </w:sectPr>
      </w:pPr>
    </w:p>
    <w:p>
      <w:pPr>
        <w:snapToGrid w:val="0"/>
        <w:spacing w:line="360" w:lineRule="auto"/>
        <w:jc w:val="center"/>
        <w:outlineLvl w:val="0"/>
        <w:rPr>
          <w:rFonts w:hint="eastAsia" w:ascii="宋体" w:hAnsi="宋体" w:eastAsia="宋体" w:cs="宋体"/>
          <w:bCs/>
          <w:sz w:val="32"/>
          <w:szCs w:val="32"/>
        </w:rPr>
      </w:pPr>
      <w:bookmarkStart w:id="126" w:name="_Toc29654"/>
      <w:bookmarkStart w:id="127" w:name="_Toc18525"/>
      <w:bookmarkStart w:id="128" w:name="_Toc20891"/>
      <w:bookmarkStart w:id="129" w:name="_Toc5097"/>
      <w:r>
        <w:rPr>
          <w:rFonts w:hint="eastAsia" w:ascii="宋体" w:hAnsi="宋体" w:eastAsia="宋体" w:cs="宋体"/>
        </w:rPr>
        <w:pict>
          <v:shape id="_x0000_s1026" o:spid="_x0000_s1026" o:spt="202" type="#_x0000_t202" style="position:absolute;left:0pt;margin-left:336.75pt;margin-top:30.3pt;height:33pt;width:87.75pt;z-index:251669504;mso-width-relative:page;mso-height-relative:page;" coordsize="21600,21600" o:gfxdata="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aK00NYAAAAHAQAADwAAAAAAAAABACAAAAAiAAAAZHJzL2Rvd25yZXYueG1sUEsBAhQA&#10;FAAAAAgAh07iQFNcX8AtAgAASAQAAA4AAAAAAAAAAQAgAAAAJQEAAGRycy9lMm9Eb2MueG1sUEsF&#10;BgAAAAAGAAYAWQEAAMQFAAAAAA==&#10;">
            <v:path/>
            <v:fill focussize="0,0"/>
            <v:stroke weight="1.25pt" joinstyle="miter"/>
            <v:imagedata o:title=""/>
            <o:lock v:ext="edit"/>
            <v:textbox>
              <w:txbxContent>
                <w:p>
                  <w:pPr>
                    <w:spacing w:line="440" w:lineRule="exact"/>
                    <w:jc w:val="center"/>
                    <w:rPr>
                      <w:b/>
                      <w:sz w:val="30"/>
                      <w:szCs w:val="30"/>
                    </w:rPr>
                  </w:pPr>
                  <w:r>
                    <w:rPr>
                      <w:rFonts w:hint="eastAsia"/>
                      <w:b/>
                      <w:sz w:val="30"/>
                      <w:szCs w:val="30"/>
                    </w:rPr>
                    <w:t>正本/副本</w:t>
                  </w:r>
                </w:p>
              </w:txbxContent>
            </v:textbox>
          </v:shape>
        </w:pict>
      </w:r>
      <w:r>
        <w:rPr>
          <w:rFonts w:hint="eastAsia" w:ascii="宋体" w:hAnsi="宋体" w:eastAsia="宋体" w:cs="宋体"/>
          <w:b/>
          <w:sz w:val="32"/>
          <w:szCs w:val="32"/>
        </w:rPr>
        <w:t>第</w:t>
      </w:r>
      <w:r>
        <w:rPr>
          <w:rFonts w:hint="eastAsia" w:ascii="宋体" w:hAnsi="宋体" w:cs="宋体"/>
          <w:b/>
          <w:sz w:val="32"/>
          <w:szCs w:val="32"/>
          <w:lang w:eastAsia="zh-CN"/>
        </w:rPr>
        <w:t>六</w:t>
      </w:r>
      <w:r>
        <w:rPr>
          <w:rFonts w:hint="eastAsia" w:ascii="宋体" w:hAnsi="宋体" w:eastAsia="宋体" w:cs="宋体"/>
          <w:b/>
          <w:sz w:val="32"/>
          <w:szCs w:val="32"/>
        </w:rPr>
        <w:t>章</w:t>
      </w:r>
      <w:bookmarkStart w:id="130" w:name="_Toc14891079"/>
      <w:r>
        <w:rPr>
          <w:rFonts w:hint="eastAsia" w:ascii="宋体" w:hAnsi="宋体" w:eastAsia="宋体" w:cs="宋体"/>
          <w:b/>
          <w:sz w:val="32"/>
          <w:szCs w:val="32"/>
        </w:rPr>
        <w:t xml:space="preserve">  </w:t>
      </w:r>
      <w:r>
        <w:rPr>
          <w:rFonts w:hint="eastAsia" w:ascii="宋体" w:hAnsi="宋体" w:eastAsia="宋体" w:cs="宋体"/>
          <w:b/>
          <w:bCs/>
          <w:sz w:val="32"/>
          <w:szCs w:val="32"/>
        </w:rPr>
        <w:t>响应文件组成</w:t>
      </w:r>
      <w:bookmarkEnd w:id="126"/>
      <w:bookmarkEnd w:id="127"/>
      <w:bookmarkEnd w:id="128"/>
      <w:bookmarkEnd w:id="129"/>
      <w:bookmarkEnd w:id="130"/>
    </w:p>
    <w:p>
      <w:pPr>
        <w:keepNext w:val="0"/>
        <w:keepLines w:val="0"/>
        <w:pageBreakBefore w:val="0"/>
        <w:widowControl w:val="0"/>
        <w:kinsoku/>
        <w:wordWrap/>
        <w:overflowPunct/>
        <w:topLinePunct w:val="0"/>
        <w:autoSpaceDE/>
        <w:autoSpaceDN/>
        <w:bidi w:val="0"/>
        <w:spacing w:line="360" w:lineRule="auto"/>
        <w:ind w:left="0" w:leftChars="0" w:firstLine="0" w:firstLineChars="0"/>
        <w:jc w:val="both"/>
        <w:textAlignment w:val="auto"/>
        <w:rPr>
          <w:rFonts w:hint="eastAsia" w:ascii="宋体" w:hAnsi="宋体"/>
          <w:b/>
          <w:bCs/>
          <w:sz w:val="52"/>
          <w:szCs w:val="52"/>
        </w:rPr>
      </w:pPr>
    </w:p>
    <w:p>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宋体" w:hAnsi="宋体"/>
          <w:b/>
          <w:bCs/>
          <w:sz w:val="52"/>
          <w:szCs w:val="52"/>
        </w:rPr>
      </w:pPr>
      <w:r>
        <w:rPr>
          <w:rFonts w:hint="eastAsia" w:ascii="宋体" w:hAnsi="宋体"/>
          <w:b/>
          <w:bCs/>
          <w:sz w:val="52"/>
          <w:szCs w:val="52"/>
        </w:rPr>
        <w:t>自主竞争性谈判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ascii="宋体" w:hAnsi="宋体"/>
          <w:b/>
          <w:bCs/>
          <w:sz w:val="52"/>
          <w:szCs w:val="52"/>
        </w:rPr>
      </w:pPr>
      <w:r>
        <w:rPr>
          <w:rFonts w:hint="eastAsia" w:ascii="宋体" w:hAnsi="宋体"/>
          <w:b/>
          <w:bCs/>
          <w:sz w:val="52"/>
          <w:szCs w:val="52"/>
        </w:rPr>
        <w:t>响应文件</w:t>
      </w:r>
    </w:p>
    <w:p>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宋体" w:hAnsi="宋体"/>
          <w:b/>
          <w:bCs/>
          <w:sz w:val="28"/>
          <w:szCs w:val="28"/>
        </w:rPr>
      </w:pPr>
    </w:p>
    <w:p>
      <w:pPr>
        <w:pStyle w:val="2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Ansi="宋体"/>
          <w:b/>
          <w:bCs/>
          <w:sz w:val="32"/>
          <w:szCs w:val="32"/>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
      <w:pPr>
        <w:spacing w:line="360" w:lineRule="exact"/>
        <w:rPr>
          <w:rFonts w:ascii="宋体" w:hAnsi="宋体"/>
          <w:b/>
        </w:rPr>
      </w:pPr>
    </w:p>
    <w:p>
      <w:pPr>
        <w:adjustRightInd w:val="0"/>
        <w:snapToGrid w:val="0"/>
        <w:spacing w:line="360" w:lineRule="auto"/>
        <w:jc w:val="center"/>
        <w:outlineLvl w:val="0"/>
        <w:rPr>
          <w:rFonts w:ascii="黑体" w:eastAsia="黑体"/>
          <w:b/>
          <w:sz w:val="32"/>
          <w:szCs w:val="32"/>
        </w:rPr>
        <w:sectPr>
          <w:pgSz w:w="11906" w:h="16838"/>
          <w:pgMar w:top="1440" w:right="1797" w:bottom="1440" w:left="1797" w:header="851" w:footer="851" w:gutter="0"/>
          <w:pgNumType w:fmt="decimal"/>
          <w:cols w:space="720" w:num="1"/>
          <w:docGrid w:linePitch="312" w:charSpace="0"/>
        </w:sectPr>
      </w:pPr>
    </w:p>
    <w:p>
      <w:pPr>
        <w:widowControl/>
        <w:spacing w:line="360" w:lineRule="auto"/>
        <w:jc w:val="center"/>
        <w:rPr>
          <w:rFonts w:hAnsi="宋体" w:cs="宋体"/>
          <w:b/>
          <w:bCs/>
          <w:sz w:val="32"/>
          <w:szCs w:val="32"/>
        </w:rPr>
      </w:pPr>
      <w:r>
        <w:rPr>
          <w:rFonts w:hint="eastAsia" w:ascii="宋体" w:hAnsi="宋体"/>
          <w:b/>
          <w:sz w:val="32"/>
          <w:szCs w:val="32"/>
        </w:rPr>
        <w:t xml:space="preserve">目 </w:t>
      </w:r>
      <w:r>
        <w:rPr>
          <w:rFonts w:hint="eastAsia" w:ascii="宋体" w:hAnsi="宋体"/>
          <w:b/>
          <w:sz w:val="32"/>
          <w:szCs w:val="32"/>
          <w:lang w:val="en-US" w:eastAsia="zh-CN"/>
        </w:rPr>
        <w:t xml:space="preserve"> </w:t>
      </w:r>
      <w:r>
        <w:rPr>
          <w:rFonts w:hint="eastAsia" w:ascii="宋体" w:hAnsi="宋体"/>
          <w:b/>
          <w:sz w:val="32"/>
          <w:szCs w:val="32"/>
        </w:rPr>
        <w:t xml:space="preserve"> 录</w:t>
      </w:r>
    </w:p>
    <w:p>
      <w:pPr>
        <w:adjustRightInd w:val="0"/>
        <w:snapToGrid w:val="0"/>
        <w:spacing w:line="360" w:lineRule="auto"/>
        <w:ind w:firstLine="480" w:firstLineChars="200"/>
        <w:outlineLvl w:val="0"/>
        <w:rPr>
          <w:rFonts w:ascii="宋体" w:hAnsi="宋体"/>
          <w:sz w:val="24"/>
        </w:rPr>
      </w:pPr>
    </w:p>
    <w:p>
      <w:pPr>
        <w:adjustRightInd w:val="0"/>
        <w:snapToGrid w:val="0"/>
        <w:spacing w:line="360" w:lineRule="auto"/>
        <w:ind w:firstLine="420" w:firstLineChars="200"/>
        <w:outlineLvl w:val="9"/>
        <w:rPr>
          <w:rFonts w:ascii="宋体" w:hAnsi="宋体"/>
          <w:sz w:val="21"/>
          <w:szCs w:val="21"/>
        </w:rPr>
      </w:pPr>
      <w:r>
        <w:rPr>
          <w:rFonts w:hint="eastAsia" w:ascii="宋体" w:hAnsi="宋体"/>
          <w:sz w:val="21"/>
          <w:szCs w:val="21"/>
        </w:rPr>
        <w:t>一、谈判承诺书</w:t>
      </w:r>
    </w:p>
    <w:p>
      <w:pPr>
        <w:adjustRightInd w:val="0"/>
        <w:snapToGrid w:val="0"/>
        <w:spacing w:line="360" w:lineRule="auto"/>
        <w:ind w:firstLine="420" w:firstLineChars="200"/>
        <w:jc w:val="left"/>
        <w:outlineLvl w:val="9"/>
        <w:rPr>
          <w:rFonts w:ascii="宋体" w:hAnsi="宋体"/>
          <w:sz w:val="21"/>
          <w:szCs w:val="21"/>
        </w:rPr>
      </w:pPr>
      <w:r>
        <w:rPr>
          <w:rFonts w:hint="eastAsia" w:ascii="宋体" w:hAnsi="宋体"/>
          <w:sz w:val="21"/>
          <w:szCs w:val="21"/>
        </w:rPr>
        <w:t>二、法定代表人身份证明书</w:t>
      </w:r>
    </w:p>
    <w:p>
      <w:pPr>
        <w:adjustRightInd w:val="0"/>
        <w:snapToGrid w:val="0"/>
        <w:spacing w:line="360" w:lineRule="auto"/>
        <w:ind w:firstLine="420" w:firstLineChars="200"/>
        <w:jc w:val="left"/>
        <w:outlineLvl w:val="9"/>
        <w:rPr>
          <w:rFonts w:ascii="宋体" w:hAnsi="宋体"/>
          <w:sz w:val="21"/>
          <w:szCs w:val="21"/>
        </w:rPr>
      </w:pPr>
      <w:r>
        <w:rPr>
          <w:rFonts w:hint="eastAsia" w:ascii="宋体" w:hAnsi="宋体"/>
          <w:sz w:val="21"/>
          <w:szCs w:val="21"/>
        </w:rPr>
        <w:t>三、授权委托书</w:t>
      </w:r>
    </w:p>
    <w:p>
      <w:pPr>
        <w:adjustRightInd w:val="0"/>
        <w:snapToGrid w:val="0"/>
        <w:spacing w:line="360" w:lineRule="auto"/>
        <w:ind w:firstLine="420" w:firstLineChars="200"/>
        <w:jc w:val="left"/>
        <w:outlineLvl w:val="9"/>
        <w:rPr>
          <w:rFonts w:ascii="宋体" w:hAnsi="宋体"/>
          <w:sz w:val="21"/>
          <w:szCs w:val="21"/>
        </w:rPr>
      </w:pPr>
      <w:r>
        <w:rPr>
          <w:rFonts w:hint="eastAsia" w:ascii="宋体" w:hAnsi="宋体"/>
          <w:sz w:val="21"/>
          <w:szCs w:val="21"/>
        </w:rPr>
        <w:t>四、</w:t>
      </w:r>
      <w:r>
        <w:rPr>
          <w:rFonts w:hint="eastAsia" w:hAnsi="宋体"/>
          <w:sz w:val="21"/>
          <w:szCs w:val="21"/>
        </w:rPr>
        <w:t>谈判单位资格条件证明文件</w:t>
      </w:r>
    </w:p>
    <w:p>
      <w:pPr>
        <w:adjustRightInd w:val="0"/>
        <w:snapToGrid w:val="0"/>
        <w:spacing w:line="360" w:lineRule="auto"/>
        <w:ind w:firstLine="420" w:firstLineChars="200"/>
        <w:outlineLvl w:val="9"/>
        <w:rPr>
          <w:rFonts w:hint="eastAsia" w:ascii="宋体" w:hAnsi="宋体" w:eastAsia="宋体"/>
          <w:sz w:val="21"/>
          <w:szCs w:val="21"/>
          <w:lang w:eastAsia="zh-CN"/>
        </w:rPr>
      </w:pPr>
      <w:r>
        <w:rPr>
          <w:rFonts w:hint="eastAsia" w:ascii="宋体" w:hAnsi="宋体"/>
          <w:sz w:val="21"/>
          <w:szCs w:val="21"/>
        </w:rPr>
        <w:t>五、</w:t>
      </w:r>
      <w:r>
        <w:rPr>
          <w:rFonts w:hint="eastAsia" w:hAnsi="宋体"/>
          <w:bCs/>
          <w:sz w:val="21"/>
          <w:szCs w:val="21"/>
        </w:rPr>
        <w:t>服务方案</w:t>
      </w:r>
      <w:r>
        <w:rPr>
          <w:rFonts w:hint="eastAsia" w:hAnsi="宋体"/>
          <w:bCs/>
          <w:sz w:val="21"/>
          <w:szCs w:val="21"/>
          <w:lang w:eastAsia="zh-CN"/>
        </w:rPr>
        <w:t>（如有）</w:t>
      </w:r>
    </w:p>
    <w:p>
      <w:pPr>
        <w:adjustRightInd w:val="0"/>
        <w:snapToGrid w:val="0"/>
        <w:spacing w:line="360" w:lineRule="auto"/>
        <w:ind w:firstLine="420" w:firstLineChars="200"/>
        <w:outlineLvl w:val="9"/>
        <w:rPr>
          <w:rFonts w:ascii="宋体" w:hAnsi="宋体"/>
          <w:sz w:val="21"/>
          <w:szCs w:val="21"/>
        </w:rPr>
      </w:pPr>
      <w:r>
        <w:rPr>
          <w:rFonts w:hint="eastAsia" w:ascii="宋体" w:hAnsi="宋体"/>
          <w:sz w:val="21"/>
          <w:szCs w:val="21"/>
        </w:rPr>
        <w:t>六、报价一览表</w:t>
      </w:r>
    </w:p>
    <w:p>
      <w:pPr>
        <w:adjustRightInd w:val="0"/>
        <w:snapToGrid w:val="0"/>
        <w:spacing w:line="360" w:lineRule="auto"/>
        <w:ind w:firstLine="420" w:firstLineChars="200"/>
        <w:jc w:val="left"/>
        <w:outlineLvl w:val="9"/>
        <w:rPr>
          <w:rFonts w:ascii="宋体" w:hAnsi="宋体"/>
          <w:sz w:val="21"/>
          <w:szCs w:val="21"/>
        </w:rPr>
      </w:pPr>
      <w:r>
        <w:rPr>
          <w:rFonts w:hint="eastAsia" w:ascii="宋体" w:hAnsi="宋体"/>
          <w:sz w:val="21"/>
          <w:szCs w:val="21"/>
        </w:rPr>
        <w:t>七、分项价格表</w:t>
      </w:r>
    </w:p>
    <w:p>
      <w:pPr>
        <w:adjustRightInd w:val="0"/>
        <w:snapToGrid w:val="0"/>
        <w:spacing w:line="360" w:lineRule="auto"/>
        <w:ind w:firstLine="420" w:firstLineChars="200"/>
        <w:outlineLvl w:val="9"/>
        <w:rPr>
          <w:rFonts w:ascii="宋体" w:hAnsi="宋体"/>
          <w:sz w:val="21"/>
          <w:szCs w:val="21"/>
        </w:rPr>
      </w:pPr>
      <w:r>
        <w:rPr>
          <w:rFonts w:hint="eastAsia" w:ascii="宋体" w:hAnsi="宋体"/>
          <w:sz w:val="21"/>
          <w:szCs w:val="21"/>
        </w:rPr>
        <w:t>八、其他资料（如有）</w:t>
      </w:r>
    </w:p>
    <w:p>
      <w:pPr>
        <w:ind w:firstLine="480" w:firstLineChars="200"/>
        <w:jc w:val="center"/>
        <w:outlineLvl w:val="1"/>
        <w:rPr>
          <w:rFonts w:ascii="黑体" w:hAnsi="黑体" w:eastAsia="黑体"/>
          <w:b/>
          <w:sz w:val="32"/>
          <w:szCs w:val="32"/>
        </w:rPr>
      </w:pPr>
      <w:r>
        <w:rPr>
          <w:rFonts w:hint="eastAsia" w:ascii="宋体" w:hAnsi="宋体"/>
          <w:sz w:val="24"/>
        </w:rPr>
        <w:br w:type="page"/>
      </w:r>
      <w:bookmarkStart w:id="131" w:name="_Toc14530"/>
      <w:bookmarkStart w:id="132" w:name="_Toc32569"/>
      <w:bookmarkStart w:id="133" w:name="_Toc32600"/>
      <w:bookmarkStart w:id="134" w:name="_Toc7657"/>
      <w:r>
        <w:rPr>
          <w:rFonts w:hint="eastAsia" w:ascii="宋体" w:hAnsi="宋体" w:eastAsia="宋体" w:cs="宋体"/>
          <w:b/>
          <w:sz w:val="32"/>
          <w:szCs w:val="32"/>
        </w:rPr>
        <w:t>一、谈判承诺书</w:t>
      </w:r>
      <w:bookmarkEnd w:id="131"/>
      <w:bookmarkEnd w:id="132"/>
      <w:bookmarkEnd w:id="133"/>
      <w:bookmarkEnd w:id="134"/>
    </w:p>
    <w:p>
      <w:pPr>
        <w:adjustRightInd w:val="0"/>
        <w:snapToGrid w:val="0"/>
        <w:spacing w:line="360" w:lineRule="auto"/>
        <w:outlineLvl w:val="9"/>
        <w:rPr>
          <w:rFonts w:ascii="仿宋_GB2312" w:hAnsi="宋体" w:eastAsia="仿宋_GB2312"/>
          <w:sz w:val="21"/>
          <w:szCs w:val="21"/>
        </w:rPr>
      </w:pPr>
    </w:p>
    <w:p>
      <w:pPr>
        <w:adjustRightInd w:val="0"/>
        <w:snapToGrid w:val="0"/>
        <w:spacing w:line="360" w:lineRule="auto"/>
        <w:outlineLvl w:val="9"/>
        <w:rPr>
          <w:rFonts w:ascii="宋体" w:hAnsi="宋体"/>
          <w:sz w:val="21"/>
          <w:szCs w:val="21"/>
        </w:rPr>
      </w:pPr>
      <w:r>
        <w:rPr>
          <w:rFonts w:hint="eastAsia" w:ascii="宋体" w:hAnsi="宋体"/>
          <w:sz w:val="21"/>
          <w:szCs w:val="21"/>
        </w:rPr>
        <w:t>致(采购单位)：</w:t>
      </w:r>
    </w:p>
    <w:p>
      <w:pPr>
        <w:adjustRightInd w:val="0"/>
        <w:snapToGrid w:val="0"/>
        <w:spacing w:line="360" w:lineRule="auto"/>
        <w:ind w:firstLine="420" w:firstLineChars="200"/>
        <w:outlineLvl w:val="9"/>
        <w:rPr>
          <w:rFonts w:ascii="宋体" w:hAnsi="宋体"/>
          <w:sz w:val="21"/>
          <w:szCs w:val="21"/>
        </w:rPr>
      </w:pPr>
      <w:r>
        <w:rPr>
          <w:rFonts w:hint="eastAsia" w:ascii="宋体" w:hAnsi="宋体"/>
          <w:sz w:val="21"/>
          <w:szCs w:val="21"/>
        </w:rPr>
        <w:t>我方已仔细研究了</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rPr>
        <w:t>项目名称)的竞争性谈判文件（谈判项目编号：</w:t>
      </w:r>
      <w:r>
        <w:rPr>
          <w:rFonts w:hint="eastAsia" w:ascii="宋体" w:hAnsi="宋体"/>
          <w:sz w:val="21"/>
          <w:szCs w:val="21"/>
          <w:lang w:val="en-US" w:eastAsia="zh-CN"/>
        </w:rPr>
        <w:t xml:space="preserve">         </w:t>
      </w:r>
      <w:r>
        <w:rPr>
          <w:rFonts w:hint="eastAsia" w:ascii="宋体" w:hAnsi="宋体"/>
          <w:sz w:val="21"/>
          <w:szCs w:val="21"/>
        </w:rPr>
        <w:t>）的全部内容，</w:t>
      </w:r>
      <w:r>
        <w:rPr>
          <w:rFonts w:hint="eastAsia" w:hAnsi="宋体"/>
          <w:sz w:val="21"/>
          <w:szCs w:val="21"/>
        </w:rPr>
        <w:t>知悉参加竞争性谈判的风险，我方承诺接受谈判文件的全部条款且无任何异议。</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一、</w:t>
      </w:r>
      <w:r>
        <w:rPr>
          <w:rFonts w:hint="eastAsia"/>
          <w:sz w:val="21"/>
          <w:szCs w:val="21"/>
        </w:rPr>
        <w:t>参与本项目竞争性谈判活动系本公司自愿行为。</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二、我方同意在谈判文件中规定的提交响应文件截止时间起</w:t>
      </w:r>
      <w:r>
        <w:rPr>
          <w:rFonts w:hint="eastAsia" w:hAnsi="宋体"/>
          <w:sz w:val="21"/>
          <w:szCs w:val="21"/>
          <w:u w:val="single"/>
        </w:rPr>
        <w:t>180</w:t>
      </w:r>
      <w:r>
        <w:rPr>
          <w:rFonts w:hint="eastAsia" w:hAnsi="宋体"/>
          <w:sz w:val="21"/>
          <w:szCs w:val="21"/>
        </w:rPr>
        <w:t>日</w:t>
      </w:r>
      <w:r>
        <w:rPr>
          <w:rFonts w:hint="eastAsia" w:hAnsi="宋体"/>
          <w:sz w:val="21"/>
          <w:szCs w:val="21"/>
          <w:lang w:eastAsia="zh-CN"/>
        </w:rPr>
        <w:t>历天</w:t>
      </w:r>
      <w:r>
        <w:rPr>
          <w:rFonts w:hint="eastAsia" w:hAnsi="宋体"/>
          <w:sz w:val="21"/>
          <w:szCs w:val="21"/>
        </w:rPr>
        <w:t>内(响应文件有效期)遵守本响应文件中的承诺且在此期限期满之前均具有法律约束力。</w:t>
      </w:r>
    </w:p>
    <w:p>
      <w:pPr>
        <w:pStyle w:val="25"/>
        <w:adjustRightInd w:val="0"/>
        <w:snapToGrid w:val="0"/>
        <w:spacing w:line="360" w:lineRule="auto"/>
        <w:ind w:firstLine="420" w:firstLineChars="200"/>
        <w:outlineLvl w:val="9"/>
        <w:rPr>
          <w:rFonts w:hAnsi="宋体"/>
          <w:bCs/>
          <w:sz w:val="21"/>
          <w:szCs w:val="21"/>
        </w:rPr>
      </w:pPr>
      <w:r>
        <w:rPr>
          <w:rFonts w:hint="eastAsia" w:hAnsi="宋体"/>
          <w:sz w:val="21"/>
          <w:szCs w:val="21"/>
        </w:rPr>
        <w:t>三、我方提交的响应文件均为正本份和副本份，电子文件（包括响应文件全部内容）份，并保证响应文件提供的数据和材料是真实、准确的，且无低于成本的恶意报价行为。否则，愿承担由此引起的一切</w:t>
      </w:r>
      <w:r>
        <w:rPr>
          <w:rFonts w:hint="eastAsia" w:hAnsi="宋体"/>
          <w:bCs/>
          <w:sz w:val="21"/>
          <w:szCs w:val="21"/>
        </w:rPr>
        <w:t>法律责任。</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四、</w:t>
      </w:r>
      <w:r>
        <w:rPr>
          <w:rFonts w:hint="eastAsia"/>
          <w:sz w:val="21"/>
          <w:szCs w:val="21"/>
        </w:rPr>
        <w:t>遵守贵司各项管理制度和谈判现场纪律，服从现场工作人员管理，自觉维护贵司谈判活动秩序。</w:t>
      </w:r>
    </w:p>
    <w:p>
      <w:pPr>
        <w:pStyle w:val="25"/>
        <w:adjustRightInd w:val="0"/>
        <w:snapToGrid w:val="0"/>
        <w:spacing w:line="360" w:lineRule="auto"/>
        <w:ind w:firstLine="420" w:firstLineChars="200"/>
        <w:outlineLvl w:val="9"/>
        <w:rPr>
          <w:sz w:val="21"/>
          <w:szCs w:val="21"/>
        </w:rPr>
      </w:pPr>
      <w:r>
        <w:rPr>
          <w:rFonts w:hint="eastAsia" w:hAnsi="宋体"/>
          <w:sz w:val="21"/>
          <w:szCs w:val="21"/>
        </w:rPr>
        <w:t>五、</w:t>
      </w:r>
      <w:r>
        <w:rPr>
          <w:rFonts w:hint="eastAsia"/>
          <w:sz w:val="21"/>
          <w:szCs w:val="21"/>
        </w:rPr>
        <w:t>保证没有组织、参与围标、串标行为。</w:t>
      </w:r>
    </w:p>
    <w:p>
      <w:pPr>
        <w:pStyle w:val="25"/>
        <w:adjustRightInd w:val="0"/>
        <w:snapToGrid w:val="0"/>
        <w:spacing w:line="360" w:lineRule="auto"/>
        <w:ind w:firstLine="420" w:firstLineChars="200"/>
        <w:outlineLvl w:val="9"/>
        <w:rPr>
          <w:sz w:val="21"/>
          <w:szCs w:val="21"/>
        </w:rPr>
      </w:pPr>
      <w:r>
        <w:rPr>
          <w:rFonts w:hint="eastAsia"/>
          <w:sz w:val="21"/>
          <w:szCs w:val="21"/>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outlineLvl w:val="9"/>
        <w:rPr>
          <w:rFonts w:hAnsi="宋体"/>
          <w:sz w:val="21"/>
          <w:szCs w:val="21"/>
        </w:rPr>
      </w:pPr>
      <w:r>
        <w:rPr>
          <w:rFonts w:hint="eastAsia"/>
          <w:sz w:val="21"/>
          <w:szCs w:val="21"/>
        </w:rPr>
        <w:t>七、</w:t>
      </w:r>
      <w:r>
        <w:rPr>
          <w:rFonts w:hint="eastAsia" w:hAnsi="宋体"/>
          <w:sz w:val="21"/>
          <w:szCs w:val="21"/>
        </w:rPr>
        <w:t>我方承诺，若贵方需要，我方愿意提供任何与本次谈判有关的数据、情况和技术资料。</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outlineLvl w:val="9"/>
        <w:rPr>
          <w:sz w:val="21"/>
          <w:szCs w:val="21"/>
        </w:rPr>
      </w:pPr>
      <w:r>
        <w:rPr>
          <w:rFonts w:hint="eastAsia" w:hAnsi="宋体"/>
          <w:sz w:val="21"/>
          <w:szCs w:val="21"/>
        </w:rPr>
        <w:t>十、我方承诺完全响应本文件第四章“用户需求书”及第五章“合同格式条款”内的全部内容。</w:t>
      </w:r>
    </w:p>
    <w:p>
      <w:pPr>
        <w:ind w:firstLine="420" w:firstLineChars="200"/>
        <w:outlineLvl w:val="9"/>
        <w:rPr>
          <w:rFonts w:hAnsi="宋体"/>
          <w:sz w:val="21"/>
          <w:szCs w:val="21"/>
        </w:rPr>
      </w:pPr>
      <w:r>
        <w:rPr>
          <w:rFonts w:hint="eastAsia"/>
          <w:sz w:val="21"/>
          <w:szCs w:val="21"/>
        </w:rPr>
        <w:t>十一、如有违反本承诺书内容的行为，愿意承担由此产生的法律责任及后果。</w:t>
      </w:r>
    </w:p>
    <w:p>
      <w:pPr>
        <w:adjustRightInd w:val="0"/>
        <w:snapToGrid w:val="0"/>
        <w:spacing w:line="360" w:lineRule="auto"/>
        <w:ind w:right="24"/>
        <w:outlineLvl w:val="9"/>
        <w:rPr>
          <w:rFonts w:ascii="宋体" w:hAnsi="宋体"/>
          <w:bCs/>
          <w:sz w:val="21"/>
          <w:szCs w:val="21"/>
        </w:rPr>
      </w:pPr>
    </w:p>
    <w:p>
      <w:pPr>
        <w:pStyle w:val="25"/>
        <w:adjustRightInd w:val="0"/>
        <w:snapToGrid w:val="0"/>
        <w:spacing w:line="360" w:lineRule="auto"/>
        <w:outlineLvl w:val="9"/>
        <w:rPr>
          <w:rFonts w:hAnsi="宋体"/>
          <w:sz w:val="21"/>
          <w:szCs w:val="21"/>
        </w:rPr>
      </w:pPr>
    </w:p>
    <w:p>
      <w:pPr>
        <w:pStyle w:val="25"/>
        <w:adjustRightInd w:val="0"/>
        <w:snapToGrid w:val="0"/>
        <w:spacing w:line="360" w:lineRule="auto"/>
        <w:outlineLvl w:val="9"/>
        <w:rPr>
          <w:rFonts w:hAnsi="宋体"/>
          <w:sz w:val="21"/>
          <w:szCs w:val="21"/>
        </w:rPr>
      </w:pPr>
    </w:p>
    <w:p>
      <w:pPr>
        <w:spacing w:line="360" w:lineRule="auto"/>
        <w:outlineLvl w:val="9"/>
        <w:rPr>
          <w:sz w:val="21"/>
          <w:szCs w:val="21"/>
          <w:u w:val="single"/>
        </w:rPr>
      </w:pPr>
      <w:r>
        <w:rPr>
          <w:rFonts w:hint="eastAsia"/>
          <w:sz w:val="21"/>
          <w:szCs w:val="21"/>
        </w:rPr>
        <w:t>谈判单位名称：</w:t>
      </w:r>
      <w:r>
        <w:rPr>
          <w:rFonts w:hint="eastAsia"/>
          <w:sz w:val="21"/>
          <w:szCs w:val="21"/>
          <w:u w:val="single"/>
        </w:rPr>
        <w:t xml:space="preserve">    （盖单位章）    </w:t>
      </w:r>
    </w:p>
    <w:p>
      <w:pPr>
        <w:spacing w:line="360" w:lineRule="auto"/>
        <w:outlineLvl w:val="9"/>
        <w:rPr>
          <w:rFonts w:ascii="宋体" w:hAnsi="宋体"/>
          <w:sz w:val="21"/>
          <w:szCs w:val="21"/>
        </w:rPr>
      </w:pPr>
      <w:r>
        <w:rPr>
          <w:rFonts w:hint="eastAsia" w:ascii="宋体" w:hAnsi="宋体"/>
          <w:sz w:val="21"/>
          <w:szCs w:val="21"/>
        </w:rPr>
        <w:t>法定</w:t>
      </w:r>
      <w:r>
        <w:rPr>
          <w:rFonts w:hint="eastAsia"/>
          <w:sz w:val="21"/>
          <w:szCs w:val="21"/>
        </w:rPr>
        <w:t>代表</w:t>
      </w:r>
      <w:r>
        <w:rPr>
          <w:rFonts w:hint="eastAsia" w:ascii="宋体" w:hAnsi="宋体"/>
          <w:sz w:val="21"/>
          <w:szCs w:val="21"/>
        </w:rPr>
        <w:t>人(签字或盖章)：</w:t>
      </w:r>
      <w:r>
        <w:rPr>
          <w:rFonts w:hint="eastAsia" w:ascii="宋体" w:hAnsi="宋体"/>
          <w:sz w:val="21"/>
          <w:szCs w:val="21"/>
          <w:u w:val="single"/>
        </w:rPr>
        <w:t xml:space="preserve">               </w:t>
      </w:r>
    </w:p>
    <w:p>
      <w:pPr>
        <w:spacing w:line="360" w:lineRule="auto"/>
        <w:outlineLvl w:val="9"/>
        <w:rPr>
          <w:rFonts w:ascii="宋体"/>
          <w:sz w:val="21"/>
          <w:szCs w:val="21"/>
        </w:rPr>
      </w:pPr>
      <w:r>
        <w:rPr>
          <w:rFonts w:hint="eastAsia"/>
          <w:sz w:val="21"/>
          <w:szCs w:val="21"/>
        </w:rPr>
        <w:t>日期</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adjustRightInd w:val="0"/>
        <w:snapToGrid w:val="0"/>
        <w:spacing w:line="360" w:lineRule="auto"/>
        <w:ind w:right="24"/>
        <w:outlineLvl w:val="9"/>
        <w:rPr>
          <w:rFonts w:ascii="黑体" w:hAnsi="华文中宋" w:eastAsia="黑体"/>
          <w:bCs/>
          <w:sz w:val="21"/>
          <w:szCs w:val="21"/>
        </w:rPr>
      </w:pPr>
    </w:p>
    <w:p>
      <w:pPr>
        <w:adjustRightInd w:val="0"/>
        <w:snapToGrid w:val="0"/>
        <w:spacing w:line="360" w:lineRule="auto"/>
        <w:ind w:right="24"/>
        <w:outlineLvl w:val="9"/>
        <w:rPr>
          <w:rFonts w:ascii="黑体" w:hAnsi="华文中宋" w:eastAsia="黑体"/>
          <w:bCs/>
          <w:sz w:val="28"/>
          <w:szCs w:val="28"/>
        </w:rPr>
      </w:pPr>
    </w:p>
    <w:p>
      <w:pPr>
        <w:adjustRightInd w:val="0"/>
        <w:snapToGrid w:val="0"/>
        <w:spacing w:line="360" w:lineRule="auto"/>
        <w:ind w:right="24"/>
        <w:jc w:val="center"/>
        <w:outlineLvl w:val="1"/>
        <w:rPr>
          <w:rFonts w:hint="eastAsia" w:ascii="宋体" w:hAnsi="宋体" w:eastAsia="宋体" w:cs="宋体"/>
          <w:b/>
          <w:sz w:val="32"/>
          <w:szCs w:val="32"/>
        </w:rPr>
      </w:pPr>
      <w:bookmarkStart w:id="135" w:name="_Toc1313"/>
      <w:bookmarkStart w:id="136" w:name="_Toc10496"/>
      <w:bookmarkStart w:id="137" w:name="_Toc31277"/>
      <w:bookmarkStart w:id="138" w:name="_Toc3026"/>
      <w:r>
        <w:rPr>
          <w:rFonts w:hint="eastAsia" w:ascii="宋体" w:hAnsi="宋体" w:eastAsia="宋体" w:cs="宋体"/>
          <w:b/>
          <w:sz w:val="32"/>
          <w:szCs w:val="32"/>
        </w:rPr>
        <w:t>二、法定代表人身份证明书</w:t>
      </w:r>
      <w:bookmarkEnd w:id="135"/>
      <w:bookmarkEnd w:id="136"/>
      <w:bookmarkEnd w:id="137"/>
      <w:bookmarkEnd w:id="138"/>
    </w:p>
    <w:p>
      <w:pPr>
        <w:snapToGrid w:val="0"/>
        <w:spacing w:line="480" w:lineRule="auto"/>
        <w:outlineLvl w:val="9"/>
        <w:rPr>
          <w:rFonts w:ascii="宋体" w:hAnsi="宋体"/>
          <w:szCs w:val="21"/>
        </w:rPr>
      </w:pP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outlineLvl w:val="9"/>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Lines="50" w:line="360" w:lineRule="auto"/>
        <w:jc w:val="left"/>
        <w:outlineLvl w:val="9"/>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szCs w:val="21"/>
        </w:rPr>
        <w:t>谈判单位</w:t>
      </w:r>
      <w:r>
        <w:rPr>
          <w:rFonts w:hint="eastAsia" w:ascii="宋体" w:hAnsi="宋体" w:cs="宋体"/>
          <w:kern w:val="0"/>
          <w:szCs w:val="21"/>
        </w:rPr>
        <w:t>名称）的法定代表人。</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outlineLvl w:val="9"/>
        <w:rPr>
          <w:rFonts w:ascii="宋体" w:hAnsi="宋体"/>
          <w:szCs w:val="21"/>
        </w:rPr>
      </w:pPr>
      <w:r>
        <w:rPr>
          <w:rFonts w:ascii="宋体" w:hAnsi="宋体"/>
          <w:szCs w:val="21"/>
        </w:rPr>
        <w:pict>
          <v:rect id="_x0000_s1031" o:spid="_x0000_s1031" o:spt="1" style="position:absolute;left:0pt;margin-left:222.1pt;margin-top:11.5pt;height:96.15pt;width:185.5pt;z-index:-25164390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w:r>
      <w:r>
        <w:rPr>
          <w:rFonts w:ascii="宋体" w:hAnsi="宋体"/>
          <w:szCs w:val="21"/>
        </w:rPr>
        <w:pict>
          <v:rect id="_x0000_s1030" o:spid="_x0000_s1030" o:spt="1" style="position:absolute;left:0pt;margin-left:-8.8pt;margin-top:11.5pt;height:96.15pt;width:185.5pt;z-index:-251644928;mso-width-relative:page;mso-height-relative:page;"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N022QAAAAoBAAAPAAAAAAAAAAEAIAAAACIAAABkcnMvZG93bnJldi54bWxQSwECFAAUAAAACACH&#10;TuJAx7XeGyMCAAA4BAAADgAAAAAAAAABACAAAAAoAQAAZHJzL2Uyb0RvYy54bWxQSwUGAAAAAAYA&#10;BgBZAQAAvQ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w:r>
    </w:p>
    <w:p>
      <w:pPr>
        <w:snapToGrid w:val="0"/>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r>
        <w:rPr>
          <w:rFonts w:hint="eastAsia" w:ascii="宋体" w:hAnsi="宋体"/>
          <w:b/>
          <w:szCs w:val="21"/>
        </w:rPr>
        <w:t>备注：上述证件复印件可另附页，另附页时，证件复印件均须加盖单位公章。</w:t>
      </w:r>
    </w:p>
    <w:p>
      <w:pPr>
        <w:snapToGrid w:val="0"/>
        <w:outlineLvl w:val="9"/>
        <w:rPr>
          <w:rFonts w:ascii="宋体" w:hAnsi="宋体"/>
          <w:szCs w:val="21"/>
        </w:rPr>
      </w:pPr>
    </w:p>
    <w:p>
      <w:pPr>
        <w:snapToGrid w:val="0"/>
        <w:outlineLvl w:val="9"/>
        <w:rPr>
          <w:rFonts w:ascii="宋体" w:hAnsi="宋体"/>
          <w:szCs w:val="21"/>
        </w:rPr>
      </w:pPr>
    </w:p>
    <w:p>
      <w:pPr>
        <w:snapToGrid w:val="0"/>
        <w:outlineLvl w:val="9"/>
        <w:rPr>
          <w:rFonts w:ascii="宋体" w:hAnsi="宋体"/>
          <w:szCs w:val="21"/>
        </w:rPr>
      </w:pPr>
    </w:p>
    <w:p>
      <w:pPr>
        <w:snapToGrid w:val="0"/>
        <w:outlineLvl w:val="9"/>
        <w:rPr>
          <w:rFonts w:ascii="宋体" w:hAnsi="宋体"/>
          <w:szCs w:val="21"/>
        </w:rPr>
      </w:pPr>
    </w:p>
    <w:p>
      <w:pPr>
        <w:snapToGrid w:val="0"/>
        <w:outlineLvl w:val="9"/>
        <w:rPr>
          <w:rFonts w:ascii="宋体" w:hAnsi="宋体"/>
          <w:szCs w:val="21"/>
        </w:rPr>
      </w:pPr>
    </w:p>
    <w:p>
      <w:pPr>
        <w:adjustRightInd w:val="0"/>
        <w:snapToGrid w:val="0"/>
        <w:spacing w:line="360" w:lineRule="auto"/>
        <w:outlineLvl w:val="9"/>
        <w:rPr>
          <w:rFonts w:ascii="宋体" w:hAnsi="宋体"/>
          <w:szCs w:val="21"/>
        </w:rPr>
      </w:pPr>
    </w:p>
    <w:p>
      <w:pPr>
        <w:adjustRightInd w:val="0"/>
        <w:snapToGrid w:val="0"/>
        <w:spacing w:line="360" w:lineRule="auto"/>
        <w:ind w:right="420"/>
        <w:outlineLvl w:val="9"/>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outlineLvl w:val="9"/>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32"/>
          <w:szCs w:val="32"/>
        </w:rPr>
      </w:pPr>
      <w:r>
        <w:rPr>
          <w:rFonts w:ascii="黑体" w:hAnsi="华文中宋" w:eastAsia="黑体"/>
          <w:bCs/>
          <w:sz w:val="24"/>
        </w:rPr>
        <w:br w:type="page"/>
      </w:r>
      <w:bookmarkStart w:id="139" w:name="_Toc21066"/>
      <w:bookmarkStart w:id="140" w:name="_Toc14170"/>
      <w:bookmarkStart w:id="141" w:name="_Toc27642"/>
      <w:bookmarkStart w:id="142" w:name="_Toc761"/>
      <w:r>
        <w:rPr>
          <w:rFonts w:hint="eastAsia" w:ascii="宋体" w:hAnsi="宋体" w:eastAsia="宋体" w:cs="宋体"/>
          <w:b/>
          <w:sz w:val="32"/>
          <w:szCs w:val="32"/>
        </w:rPr>
        <w:t>三、授权委托书</w:t>
      </w:r>
      <w:bookmarkEnd w:id="139"/>
      <w:bookmarkEnd w:id="140"/>
      <w:bookmarkEnd w:id="141"/>
      <w:bookmarkEnd w:id="142"/>
    </w:p>
    <w:p>
      <w:pPr>
        <w:adjustRightInd w:val="0"/>
        <w:snapToGrid w:val="0"/>
        <w:spacing w:line="360" w:lineRule="auto"/>
        <w:jc w:val="center"/>
        <w:outlineLvl w:val="9"/>
        <w:rPr>
          <w:rFonts w:ascii="黑体" w:hAnsi="华文中宋" w:eastAsia="黑体"/>
          <w:b/>
          <w:sz w:val="28"/>
          <w:szCs w:val="28"/>
        </w:rPr>
      </w:pPr>
    </w:p>
    <w:p>
      <w:pPr>
        <w:keepNext w:val="0"/>
        <w:keepLines w:val="0"/>
        <w:pageBreakBefore w:val="0"/>
        <w:widowControl w:val="0"/>
        <w:kinsoku/>
        <w:wordWrap/>
        <w:overflowPunct/>
        <w:topLinePunct w:val="0"/>
        <w:autoSpaceDE w:val="0"/>
        <w:autoSpaceDN w:val="0"/>
        <w:bidi w:val="0"/>
        <w:adjustRightInd w:val="0"/>
        <w:snapToGrid w:val="0"/>
        <w:spacing w:beforeLines="50" w:line="360" w:lineRule="auto"/>
        <w:ind w:firstLine="420" w:firstLineChars="200"/>
        <w:jc w:val="both"/>
        <w:textAlignment w:val="auto"/>
        <w:outlineLvl w:val="9"/>
        <w:rPr>
          <w:rFonts w:ascii="宋体" w:hAnsi="宋体" w:cs="宋体"/>
          <w:kern w:val="0"/>
          <w:sz w:val="21"/>
          <w:szCs w:val="21"/>
        </w:rPr>
      </w:pPr>
      <w:r>
        <w:rPr>
          <w:rFonts w:hint="eastAsia" w:ascii="宋体" w:hAnsi="宋体" w:cs="宋体"/>
          <w:kern w:val="0"/>
          <w:sz w:val="21"/>
          <w:szCs w:val="21"/>
        </w:rPr>
        <w:t>本人</w:t>
      </w:r>
      <w:r>
        <w:rPr>
          <w:rFonts w:hint="eastAsia" w:ascii="宋体" w:hAnsi="宋体" w:cs="宋体"/>
          <w:kern w:val="0"/>
          <w:sz w:val="21"/>
          <w:szCs w:val="21"/>
          <w:u w:val="single"/>
        </w:rPr>
        <w:t>（姓名、职务）</w:t>
      </w:r>
      <w:r>
        <w:rPr>
          <w:rFonts w:hint="eastAsia" w:ascii="宋体" w:hAnsi="宋体" w:cs="宋体"/>
          <w:kern w:val="0"/>
          <w:sz w:val="21"/>
          <w:szCs w:val="21"/>
        </w:rPr>
        <w:t>系</w:t>
      </w:r>
      <w:r>
        <w:rPr>
          <w:rFonts w:hint="eastAsia" w:ascii="宋体" w:hAnsi="宋体" w:cs="宋体"/>
          <w:kern w:val="0"/>
          <w:sz w:val="21"/>
          <w:szCs w:val="21"/>
          <w:u w:val="single"/>
        </w:rPr>
        <w:t>（</w:t>
      </w:r>
      <w:r>
        <w:rPr>
          <w:rFonts w:hint="eastAsia" w:ascii="宋体" w:hAnsi="宋体"/>
          <w:sz w:val="21"/>
          <w:szCs w:val="21"/>
          <w:u w:val="single"/>
        </w:rPr>
        <w:t>谈判单位</w:t>
      </w:r>
      <w:r>
        <w:rPr>
          <w:rFonts w:hint="eastAsia" w:ascii="宋体" w:hAnsi="宋体" w:cs="宋体"/>
          <w:kern w:val="0"/>
          <w:sz w:val="21"/>
          <w:szCs w:val="21"/>
          <w:u w:val="single"/>
        </w:rPr>
        <w:t>名称）</w:t>
      </w:r>
      <w:r>
        <w:rPr>
          <w:rFonts w:hint="eastAsia" w:ascii="宋体" w:hAnsi="宋体" w:cs="宋体"/>
          <w:kern w:val="0"/>
          <w:sz w:val="21"/>
          <w:szCs w:val="21"/>
        </w:rPr>
        <w:t>的法定代表人，现授权</w:t>
      </w:r>
      <w:r>
        <w:rPr>
          <w:rFonts w:hint="eastAsia" w:ascii="宋体" w:hAnsi="宋体" w:cs="宋体"/>
          <w:kern w:val="0"/>
          <w:sz w:val="21"/>
          <w:szCs w:val="21"/>
          <w:u w:val="single"/>
        </w:rPr>
        <w:t>（姓名、职务）</w:t>
      </w:r>
      <w:r>
        <w:rPr>
          <w:rFonts w:hint="eastAsia" w:ascii="宋体" w:hAnsi="宋体" w:cs="宋体"/>
          <w:kern w:val="0"/>
          <w:sz w:val="21"/>
          <w:szCs w:val="21"/>
        </w:rPr>
        <w:t>为我方代理人。代理人根据授权，以我方名义签署、澄清、补正、修改、撤回、提交</w:t>
      </w:r>
      <w:r>
        <w:rPr>
          <w:rFonts w:hint="eastAsia" w:ascii="宋体" w:hAnsi="宋体" w:cs="宋体"/>
          <w:kern w:val="0"/>
          <w:sz w:val="21"/>
          <w:szCs w:val="21"/>
          <w:u w:val="single"/>
        </w:rPr>
        <w:t>（项目名称、</w:t>
      </w:r>
      <w:r>
        <w:rPr>
          <w:rFonts w:hint="eastAsia" w:ascii="宋体" w:hAnsi="宋体"/>
          <w:sz w:val="21"/>
          <w:szCs w:val="21"/>
          <w:u w:val="single"/>
        </w:rPr>
        <w:t>项目</w:t>
      </w:r>
      <w:r>
        <w:rPr>
          <w:rFonts w:hint="eastAsia" w:ascii="宋体" w:hAnsi="宋体" w:cs="宋体"/>
          <w:kern w:val="0"/>
          <w:sz w:val="21"/>
          <w:szCs w:val="21"/>
          <w:u w:val="single"/>
        </w:rPr>
        <w:t>编号）</w:t>
      </w:r>
      <w:r>
        <w:rPr>
          <w:rFonts w:hint="eastAsia" w:ascii="宋体" w:hAnsi="宋体" w:cs="宋体"/>
          <w:kern w:val="0"/>
          <w:sz w:val="21"/>
          <w:szCs w:val="21"/>
        </w:rPr>
        <w:t>响应文件及与本谈判项目的有关事宜，其法律后果由我方承担。</w:t>
      </w:r>
    </w:p>
    <w:p>
      <w:pPr>
        <w:spacing w:line="360" w:lineRule="auto"/>
        <w:ind w:firstLine="435"/>
        <w:outlineLvl w:val="9"/>
        <w:rPr>
          <w:rFonts w:ascii="宋体" w:hAnsi="宋体" w:cs="宋体"/>
          <w:kern w:val="0"/>
          <w:szCs w:val="21"/>
        </w:rPr>
      </w:pPr>
    </w:p>
    <w:p>
      <w:pPr>
        <w:spacing w:line="360" w:lineRule="auto"/>
        <w:ind w:firstLine="435"/>
        <w:outlineLvl w:val="9"/>
        <w:rPr>
          <w:rFonts w:ascii="宋体" w:hAnsi="宋体" w:cs="宋体"/>
          <w:kern w:val="0"/>
          <w:szCs w:val="21"/>
        </w:rPr>
      </w:pPr>
    </w:p>
    <w:p>
      <w:pPr>
        <w:spacing w:line="360" w:lineRule="auto"/>
        <w:ind w:firstLine="435"/>
        <w:outlineLvl w:val="9"/>
        <w:rPr>
          <w:rFonts w:ascii="宋体" w:hAnsi="宋体" w:cs="宋体"/>
          <w:kern w:val="0"/>
          <w:szCs w:val="21"/>
        </w:rPr>
      </w:pPr>
    </w:p>
    <w:p>
      <w:pPr>
        <w:spacing w:line="360" w:lineRule="auto"/>
        <w:ind w:firstLine="435"/>
        <w:outlineLvl w:val="9"/>
        <w:rPr>
          <w:rFonts w:ascii="宋体" w:hAnsi="宋体" w:cs="宋体"/>
          <w:kern w:val="0"/>
          <w:szCs w:val="21"/>
        </w:rPr>
      </w:pPr>
      <w:r>
        <w:rPr>
          <w:rFonts w:hint="eastAsia" w:ascii="宋体" w:hAnsi="宋体" w:cs="宋体"/>
          <w:kern w:val="0"/>
          <w:szCs w:val="21"/>
        </w:rPr>
        <w:t>代理人无转委托权。</w:t>
      </w:r>
    </w:p>
    <w:p>
      <w:pPr>
        <w:spacing w:line="360" w:lineRule="auto"/>
        <w:ind w:firstLine="435"/>
        <w:outlineLvl w:val="9"/>
        <w:rPr>
          <w:rFonts w:ascii="宋体" w:hAnsi="宋体"/>
          <w:szCs w:val="21"/>
        </w:rPr>
      </w:pPr>
      <w:r>
        <w:rPr>
          <w:rFonts w:hint="eastAsia" w:ascii="宋体" w:hAnsi="宋体"/>
          <w:szCs w:val="21"/>
        </w:rPr>
        <w:t>本授权书于年月日签字生效，特此声明。</w:t>
      </w:r>
    </w:p>
    <w:p>
      <w:pPr>
        <w:adjustRightInd w:val="0"/>
        <w:snapToGrid w:val="0"/>
        <w:spacing w:beforeLines="50" w:line="360" w:lineRule="auto"/>
        <w:ind w:firstLine="420" w:firstLineChars="200"/>
        <w:outlineLvl w:val="9"/>
        <w:rPr>
          <w:rFonts w:ascii="宋体" w:hAnsi="宋体"/>
          <w:szCs w:val="21"/>
        </w:rPr>
      </w:pPr>
      <w:r>
        <w:rPr>
          <w:rFonts w:ascii="宋体" w:hAnsi="宋体"/>
          <w:szCs w:val="21"/>
        </w:rPr>
        <w:pict>
          <v:rect id="_x0000_s1029" o:spid="_x0000_s1029" o:spt="1" style="position:absolute;left:0pt;margin-left:-9pt;margin-top:1.45pt;height:102.35pt;width:111.1pt;z-index:-251640832;mso-width-relative:page;mso-height-relative:page;"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lgr4DY&#10;AAAACQEAAA8AAAAAAAAAAQAgAAAAIgAAAGRycy9kb3ducmV2LnhtbFBLAQIUABQAAAAIAIdO4kD5&#10;6DIs5wEAANwDAAAOAAAAAAAAAAEAIAAAACcBAABkcnMvZTJvRG9jLnhtbFBLBQYAAAAABgAGAFkB&#10;AACABQ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w:r>
      <w:r>
        <w:rPr>
          <w:rFonts w:ascii="宋体" w:hAnsi="宋体"/>
          <w:szCs w:val="21"/>
        </w:rPr>
        <w:pict>
          <v:rect id="_x0000_s1028" o:spid="_x0000_s1028" o:spt="1" style="position:absolute;left:0pt;margin-left:272.1pt;margin-top:0.3pt;height:100.1pt;width:122.5pt;z-index:-251638784;mso-width-relative:page;mso-height-relative:page;"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8tU7fW&#10;AAAACAEAAA8AAAAAAAAAAQAgAAAAIgAAAGRycy9kb3ducmV2LnhtbFBLAQIUABQAAAAIAIdO4kCj&#10;vPDx6QEAANwDAAAOAAAAAAAAAAEAIAAAACUBAABkcnMvZTJvRG9jLnhtbFBLBQYAAAAABgAGAFkB&#10;AACABQ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营业执照副本复印件（法定代表人身份证明书中已有此附件）</w:t>
                  </w:r>
                </w:p>
                <w:p>
                  <w:pPr>
                    <w:rPr>
                      <w:highlight w:val="yellow"/>
                    </w:rPr>
                  </w:pPr>
                </w:p>
              </w:txbxContent>
            </v:textbox>
          </v:rect>
        </w:pict>
      </w:r>
      <w:r>
        <w:rPr>
          <w:rFonts w:ascii="宋体" w:hAnsi="宋体"/>
          <w:szCs w:val="21"/>
        </w:rPr>
        <w:pict>
          <v:rect id="_x0000_s1027" o:spid="_x0000_s1027" o:spt="1" style="position:absolute;left:0pt;flip:x;margin-left:133.45pt;margin-top:1.35pt;height:100.65pt;width:112.85pt;z-index:-251639808;mso-width-relative:page;mso-height-relative:page;"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4Us4r1gAAAAkBAAAPAAAAAAAAAAEAIAAAACIAAABkcnMvZG93bnJldi54bWxQSwECFAAUAAAA&#10;CACHTuJA7pF0x/ABAADmAwAADgAAAAAAAAABACAAAAAlAQAAZHJzL2Uyb0RvYy54bWxQSwUGAAAA&#10;AAYABgBZAQAAhw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w: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outlineLvl w:val="9"/>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outlineLvl w:val="9"/>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spacing w:line="360" w:lineRule="auto"/>
        <w:outlineLvl w:val="9"/>
        <w:rPr>
          <w:rFonts w:ascii="宋体" w:hAnsi="宋体"/>
          <w:szCs w:val="21"/>
        </w:rPr>
        <w:sectPr>
          <w:pgSz w:w="11906" w:h="16838"/>
          <w:pgMar w:top="1440" w:right="1797" w:bottom="1440" w:left="1797" w:header="851" w:footer="851" w:gutter="0"/>
          <w:pgNumType w:fmt="decimal"/>
          <w:cols w:space="720" w:num="1"/>
          <w:docGrid w:linePitch="312"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hint="eastAsia" w:ascii="宋体" w:hAnsi="宋体" w:eastAsia="宋体" w:cs="宋体"/>
          <w:b/>
          <w:sz w:val="32"/>
          <w:szCs w:val="32"/>
        </w:rPr>
      </w:pPr>
      <w:bookmarkStart w:id="143" w:name="_Toc18944"/>
      <w:bookmarkStart w:id="144" w:name="_Toc11357"/>
      <w:bookmarkStart w:id="145" w:name="_Toc8191"/>
      <w:bookmarkStart w:id="146" w:name="_Toc2295"/>
      <w:r>
        <w:rPr>
          <w:rFonts w:hint="eastAsia" w:ascii="宋体" w:hAnsi="宋体" w:eastAsia="宋体" w:cs="宋体"/>
          <w:b/>
          <w:sz w:val="32"/>
          <w:szCs w:val="32"/>
        </w:rPr>
        <w:t>四、谈判单位资格证明文件</w:t>
      </w:r>
      <w:bookmarkEnd w:id="143"/>
      <w:bookmarkEnd w:id="144"/>
      <w:bookmarkEnd w:id="145"/>
      <w:bookmarkEnd w:id="146"/>
    </w:p>
    <w:p>
      <w:pPr>
        <w:adjustRightInd w:val="0"/>
        <w:snapToGrid w:val="0"/>
        <w:spacing w:line="360" w:lineRule="auto"/>
        <w:outlineLvl w:val="9"/>
        <w:rPr>
          <w:rFonts w:ascii="仿宋" w:hAnsi="仿宋" w:eastAsia="仿宋"/>
          <w:bCs/>
          <w:szCs w:val="21"/>
        </w:rPr>
      </w:pPr>
    </w:p>
    <w:p>
      <w:pPr>
        <w:adjustRightInd w:val="0"/>
        <w:snapToGrid w:val="0"/>
        <w:spacing w:line="360" w:lineRule="auto"/>
        <w:ind w:firstLine="420" w:firstLineChars="200"/>
        <w:outlineLvl w:val="9"/>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内的资格要求，本章节须附下列证明文件复印件：</w:t>
      </w:r>
    </w:p>
    <w:p>
      <w:pPr>
        <w:widowControl/>
        <w:spacing w:line="360" w:lineRule="auto"/>
        <w:ind w:firstLine="420" w:firstLineChars="200"/>
        <w:outlineLvl w:val="9"/>
        <w:rPr>
          <w:rFonts w:hint="eastAsia" w:ascii="宋体" w:hAnsi="宋体" w:eastAsia="宋体" w:cs="宋体"/>
          <w:szCs w:val="21"/>
        </w:rPr>
      </w:pPr>
      <w:r>
        <w:rPr>
          <w:rFonts w:hint="eastAsia" w:ascii="宋体" w:hAnsi="宋体" w:eastAsia="宋体" w:cs="宋体"/>
          <w:iCs/>
          <w:lang w:val="en-US" w:eastAsia="zh-CN"/>
        </w:rPr>
        <w:t>1.</w:t>
      </w:r>
      <w:r>
        <w:rPr>
          <w:rFonts w:hint="eastAsia" w:ascii="宋体" w:hAnsi="宋体" w:eastAsia="宋体" w:cs="宋体"/>
          <w:iCs/>
        </w:rPr>
        <w:t>谈判单位须为具有独立法人资格、自主经营、独立核算的公司</w:t>
      </w:r>
      <w:r>
        <w:rPr>
          <w:rFonts w:hint="eastAsia" w:ascii="宋体" w:hAnsi="宋体" w:eastAsia="宋体" w:cs="宋体"/>
          <w:iCs/>
          <w:lang w:val="en-US" w:eastAsia="zh-CN"/>
        </w:rPr>
        <w:t>/单位</w:t>
      </w:r>
      <w:r>
        <w:rPr>
          <w:rFonts w:hint="eastAsia" w:ascii="宋体" w:hAnsi="宋体" w:eastAsia="宋体" w:cs="宋体"/>
          <w:iCs/>
        </w:rPr>
        <w:t>。</w:t>
      </w:r>
      <w:r>
        <w:rPr>
          <w:rFonts w:hint="eastAsia" w:hAnsi="宋体"/>
          <w:iCs/>
          <w:color w:val="auto"/>
          <w:highlight w:val="none"/>
        </w:rPr>
        <w:t>须提供营业执照</w:t>
      </w:r>
      <w:r>
        <w:rPr>
          <w:rFonts w:hint="eastAsia" w:hAnsi="宋体"/>
          <w:iCs/>
          <w:color w:val="auto"/>
          <w:highlight w:val="none"/>
          <w:lang w:eastAsia="zh-CN"/>
        </w:rPr>
        <w:t>副本</w:t>
      </w:r>
      <w:r>
        <w:rPr>
          <w:rFonts w:hint="eastAsia" w:hAnsi="宋体"/>
          <w:iCs/>
          <w:color w:val="auto"/>
          <w:highlight w:val="none"/>
        </w:rPr>
        <w:t>复印件（须加盖谈判单位公章）或事业单位法人证书副</w:t>
      </w:r>
      <w:r>
        <w:rPr>
          <w:rFonts w:hint="eastAsia" w:hAnsi="宋体"/>
          <w:iCs/>
          <w:color w:val="auto"/>
          <w:highlight w:val="none"/>
          <w:lang w:eastAsia="zh-CN"/>
        </w:rPr>
        <w:t>本</w:t>
      </w:r>
      <w:r>
        <w:rPr>
          <w:rFonts w:hint="eastAsia" w:hAnsi="宋体"/>
          <w:iCs/>
          <w:color w:val="auto"/>
          <w:highlight w:val="none"/>
        </w:rPr>
        <w:t>复印件</w:t>
      </w:r>
      <w:r>
        <w:rPr>
          <w:rFonts w:hint="eastAsia" w:hAnsi="宋体"/>
          <w:iCs/>
          <w:color w:val="auto"/>
          <w:highlight w:val="none"/>
          <w:lang w:eastAsia="zh-CN"/>
        </w:rPr>
        <w:t>（</w:t>
      </w:r>
      <w:r>
        <w:rPr>
          <w:rFonts w:hint="eastAsia" w:hAnsi="宋体"/>
          <w:iCs/>
          <w:color w:val="auto"/>
          <w:highlight w:val="none"/>
        </w:rPr>
        <w:t>须加盖谈判单位公章</w:t>
      </w:r>
      <w:r>
        <w:rPr>
          <w:rFonts w:hint="eastAsia" w:hAnsi="宋体"/>
          <w:iCs/>
          <w:color w:val="auto"/>
          <w:highlight w:val="none"/>
          <w:lang w:eastAsia="zh-CN"/>
        </w:rPr>
        <w:t>）</w:t>
      </w:r>
      <w:r>
        <w:rPr>
          <w:rFonts w:hint="eastAsia" w:hAnsi="宋体"/>
          <w:iCs/>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Cs w:val="21"/>
          <w:lang w:val="en-US" w:eastAsia="zh-CN"/>
        </w:rPr>
        <w:t>2</w:t>
      </w:r>
      <w:r>
        <w:rPr>
          <w:rFonts w:hint="eastAsia" w:ascii="宋体" w:hAnsi="宋体" w:eastAsia="宋体" w:cs="宋体"/>
          <w:szCs w:val="21"/>
        </w:rPr>
        <w:t>.</w:t>
      </w:r>
      <w:r>
        <w:rPr>
          <w:rFonts w:hint="eastAsia" w:ascii="宋体" w:hAnsi="宋体" w:eastAsia="宋体" w:cs="宋体"/>
        </w:rPr>
        <w:t>谈判单位在本项目响应文件递交截止之日前36个月内须具有</w:t>
      </w:r>
      <w:r>
        <w:rPr>
          <w:rFonts w:hint="eastAsia" w:ascii="宋体" w:hAnsi="宋体" w:eastAsia="宋体" w:cs="宋体"/>
          <w:u w:val="none"/>
        </w:rPr>
        <w:t>单项合同金额</w:t>
      </w:r>
      <w:r>
        <w:rPr>
          <w:rFonts w:hint="eastAsia" w:ascii="宋体" w:hAnsi="宋体" w:eastAsia="宋体" w:cs="宋体"/>
          <w:u w:val="none"/>
          <w:lang w:eastAsia="zh-CN"/>
        </w:rPr>
        <w:t>不少于</w:t>
      </w:r>
      <w:r>
        <w:rPr>
          <w:rFonts w:hint="eastAsia" w:ascii="宋体" w:hAnsi="宋体" w:eastAsia="宋体" w:cs="宋体"/>
          <w:u w:val="none"/>
          <w:lang w:val="en-US" w:eastAsia="zh-CN"/>
        </w:rPr>
        <w:t>7</w:t>
      </w:r>
      <w:r>
        <w:rPr>
          <w:rFonts w:hint="eastAsia" w:ascii="宋体" w:hAnsi="宋体" w:eastAsia="宋体" w:cs="宋体"/>
          <w:u w:val="none"/>
        </w:rPr>
        <w:t>万元/年的票款押运网络监控服务业绩。</w:t>
      </w:r>
      <w:r>
        <w:rPr>
          <w:rFonts w:hint="eastAsia" w:ascii="宋体" w:hAnsi="宋体" w:eastAsia="宋体" w:cs="宋体"/>
          <w:sz w:val="21"/>
          <w:szCs w:val="21"/>
          <w:lang w:val="en-US" w:eastAsia="zh-CN"/>
        </w:rPr>
        <w:t>不接受联合体业绩、港澳台或境外业绩。</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业绩证明材料以同时提供的合同复印件和发票（开票金额不少于合同金额的10%）复印件（均须加盖谈判单位公章）为准，业绩金额以合同中金额为准，时间以合同中甲方签字时间为准。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kern w:val="0"/>
          <w:szCs w:val="21"/>
        </w:rPr>
      </w:pPr>
      <w:r>
        <w:rPr>
          <w:rFonts w:hint="eastAsia" w:ascii="宋体" w:hAnsi="宋体" w:cs="宋体"/>
          <w:iCs/>
        </w:rPr>
        <w:t>3</w:t>
      </w:r>
      <w:r>
        <w:rPr>
          <w:rFonts w:hint="eastAsia" w:ascii="宋体" w:hAnsi="宋体" w:cs="宋体"/>
          <w:iCs/>
          <w:lang w:eastAsia="zh-CN"/>
        </w:rPr>
        <w:t>.</w:t>
      </w:r>
      <w:r>
        <w:rPr>
          <w:rFonts w:hint="eastAsia" w:ascii="宋体" w:hAnsi="宋体" w:cs="宋体"/>
          <w:kern w:val="0"/>
          <w:szCs w:val="21"/>
        </w:rPr>
        <w:t>谈判单位认为与本项目资格条件有关的其它证明文件（如有，格式自拟）。</w:t>
      </w:r>
    </w:p>
    <w:p>
      <w:pPr>
        <w:adjustRightInd w:val="0"/>
        <w:snapToGrid w:val="0"/>
        <w:spacing w:line="360" w:lineRule="auto"/>
        <w:ind w:firstLine="422" w:firstLineChars="200"/>
        <w:outlineLvl w:val="9"/>
        <w:rPr>
          <w:rFonts w:ascii="宋体" w:hAnsi="宋体"/>
          <w:b/>
          <w:bCs/>
          <w:szCs w:val="21"/>
        </w:rPr>
      </w:pPr>
    </w:p>
    <w:p>
      <w:pPr>
        <w:adjustRightInd w:val="0"/>
        <w:snapToGrid w:val="0"/>
        <w:spacing w:line="360" w:lineRule="auto"/>
        <w:ind w:firstLine="422" w:firstLineChars="200"/>
        <w:outlineLvl w:val="9"/>
        <w:rPr>
          <w:rFonts w:ascii="宋体" w:hAnsi="宋体"/>
          <w:b/>
          <w:bCs/>
          <w:szCs w:val="21"/>
        </w:rPr>
      </w:pPr>
      <w:r>
        <w:rPr>
          <w:rFonts w:hint="eastAsia" w:ascii="宋体" w:hAnsi="宋体"/>
          <w:b/>
          <w:bCs/>
          <w:szCs w:val="21"/>
        </w:rPr>
        <w:t>备注：</w:t>
      </w:r>
    </w:p>
    <w:p>
      <w:pPr>
        <w:adjustRightInd w:val="0"/>
        <w:snapToGrid w:val="0"/>
        <w:spacing w:line="360" w:lineRule="auto"/>
        <w:ind w:firstLine="422" w:firstLineChars="200"/>
        <w:outlineLvl w:val="9"/>
        <w:rPr>
          <w:rFonts w:ascii="宋体" w:hAnsi="宋体"/>
          <w:b/>
          <w:bCs/>
          <w:szCs w:val="21"/>
        </w:rPr>
      </w:pPr>
      <w:r>
        <w:rPr>
          <w:rFonts w:hint="eastAsia" w:ascii="宋体" w:hAnsi="宋体"/>
          <w:b/>
          <w:bCs/>
          <w:szCs w:val="21"/>
        </w:rPr>
        <w:t>1、上述证明文件复印件均须加盖谈判单位公章。</w:t>
      </w:r>
    </w:p>
    <w:p>
      <w:pPr>
        <w:adjustRightInd w:val="0"/>
        <w:snapToGrid w:val="0"/>
        <w:spacing w:line="360" w:lineRule="auto"/>
        <w:ind w:firstLine="422" w:firstLineChars="200"/>
        <w:outlineLvl w:val="9"/>
        <w:rPr>
          <w:rFonts w:hint="eastAsia" w:ascii="宋体" w:hAnsi="宋体"/>
          <w:b/>
          <w:bCs/>
          <w:szCs w:val="21"/>
        </w:rPr>
      </w:pPr>
      <w:r>
        <w:rPr>
          <w:rFonts w:hint="eastAsia" w:ascii="宋体" w:hAnsi="宋体"/>
          <w:b/>
          <w:bCs/>
          <w:szCs w:val="21"/>
        </w:rPr>
        <w:t>2、上述证明文件原件须用文件袋单独包装，在响应文件递交的同时一并提交。</w:t>
      </w:r>
    </w:p>
    <w:p>
      <w:pPr>
        <w:pStyle w:val="2"/>
        <w:outlineLvl w:val="9"/>
        <w:rPr>
          <w:rFonts w:hint="eastAsia"/>
        </w:rPr>
      </w:pPr>
    </w:p>
    <w:p>
      <w:pPr>
        <w:pStyle w:val="2"/>
        <w:outlineLvl w:val="9"/>
        <w:sectPr>
          <w:pgSz w:w="11906" w:h="16838"/>
          <w:pgMar w:top="1440" w:right="1797" w:bottom="1440" w:left="1797" w:header="851" w:footer="851" w:gutter="0"/>
          <w:pgNumType w:fmt="decimal"/>
          <w:cols w:space="720" w:num="1"/>
        </w:sectPr>
      </w:pPr>
    </w:p>
    <w:p>
      <w:pPr>
        <w:adjustRightInd w:val="0"/>
        <w:snapToGrid w:val="0"/>
        <w:spacing w:line="360" w:lineRule="auto"/>
        <w:ind w:right="24"/>
        <w:jc w:val="center"/>
        <w:outlineLvl w:val="1"/>
        <w:rPr>
          <w:rFonts w:hint="eastAsia" w:ascii="宋体" w:hAnsi="宋体" w:eastAsia="宋体" w:cs="宋体"/>
          <w:b/>
          <w:sz w:val="32"/>
          <w:szCs w:val="32"/>
          <w:lang w:eastAsia="zh-CN"/>
        </w:rPr>
      </w:pPr>
      <w:bookmarkStart w:id="147" w:name="_Toc30403"/>
      <w:bookmarkStart w:id="148" w:name="_Toc7528"/>
      <w:bookmarkStart w:id="149" w:name="_Toc9230"/>
      <w:bookmarkStart w:id="150" w:name="_Toc20484"/>
      <w:r>
        <w:rPr>
          <w:rFonts w:hint="eastAsia" w:ascii="宋体" w:hAnsi="宋体" w:eastAsia="宋体" w:cs="宋体"/>
          <w:b/>
          <w:sz w:val="32"/>
          <w:szCs w:val="32"/>
        </w:rPr>
        <w:t>五、服务方案</w:t>
      </w:r>
      <w:bookmarkEnd w:id="147"/>
      <w:bookmarkEnd w:id="148"/>
      <w:bookmarkEnd w:id="149"/>
      <w:r>
        <w:rPr>
          <w:rFonts w:hint="eastAsia" w:ascii="宋体" w:hAnsi="宋体" w:cs="宋体"/>
          <w:b/>
          <w:sz w:val="32"/>
          <w:szCs w:val="32"/>
          <w:lang w:eastAsia="zh-CN"/>
        </w:rPr>
        <w:t>（如有）</w:t>
      </w:r>
      <w:bookmarkEnd w:id="150"/>
    </w:p>
    <w:p>
      <w:pPr>
        <w:adjustRightInd w:val="0"/>
        <w:snapToGrid w:val="0"/>
        <w:ind w:left="-88" w:leftChars="-42" w:firstLine="211" w:firstLineChars="100"/>
        <w:jc w:val="center"/>
        <w:outlineLvl w:val="9"/>
        <w:rPr>
          <w:rFonts w:ascii="黑体" w:hAnsi="宋体" w:eastAsia="黑体"/>
          <w:b/>
          <w:bCs/>
          <w:sz w:val="21"/>
          <w:szCs w:val="21"/>
        </w:rPr>
      </w:pPr>
    </w:p>
    <w:p>
      <w:pPr>
        <w:adjustRightInd w:val="0"/>
        <w:snapToGrid w:val="0"/>
        <w:outlineLvl w:val="9"/>
        <w:rPr>
          <w:rFonts w:ascii="宋体" w:hAnsi="宋体"/>
          <w:b/>
          <w:sz w:val="21"/>
          <w:szCs w:val="21"/>
        </w:rPr>
      </w:pPr>
      <w:r>
        <w:rPr>
          <w:rFonts w:hint="eastAsia" w:ascii="宋体" w:hAnsi="宋体"/>
          <w:b/>
          <w:sz w:val="21"/>
          <w:szCs w:val="21"/>
          <w:lang w:val="en-US" w:eastAsia="zh-CN"/>
        </w:rPr>
        <w:t>1.</w:t>
      </w:r>
      <w:r>
        <w:rPr>
          <w:rFonts w:hint="eastAsia" w:ascii="宋体" w:hAnsi="宋体"/>
          <w:b/>
          <w:sz w:val="21"/>
          <w:szCs w:val="21"/>
        </w:rPr>
        <w:t>服务方案说明</w:t>
      </w:r>
    </w:p>
    <w:p>
      <w:pPr>
        <w:adjustRightInd w:val="0"/>
        <w:snapToGrid w:val="0"/>
        <w:spacing w:line="360" w:lineRule="auto"/>
        <w:ind w:firstLine="420" w:firstLineChars="200"/>
        <w:outlineLvl w:val="9"/>
        <w:rPr>
          <w:rFonts w:ascii="宋体" w:hAnsi="宋体"/>
          <w:sz w:val="21"/>
          <w:szCs w:val="21"/>
        </w:rPr>
      </w:pPr>
    </w:p>
    <w:p>
      <w:pPr>
        <w:adjustRightInd w:val="0"/>
        <w:snapToGrid w:val="0"/>
        <w:spacing w:line="360" w:lineRule="auto"/>
        <w:ind w:firstLine="420" w:firstLineChars="200"/>
        <w:outlineLvl w:val="9"/>
        <w:rPr>
          <w:rFonts w:ascii="宋体" w:hAnsi="宋体"/>
          <w:sz w:val="21"/>
          <w:szCs w:val="21"/>
        </w:rPr>
      </w:pPr>
      <w:r>
        <w:rPr>
          <w:rFonts w:hint="eastAsia" w:ascii="宋体" w:hAnsi="宋体"/>
          <w:sz w:val="21"/>
          <w:szCs w:val="21"/>
        </w:rPr>
        <w:t>1</w:t>
      </w:r>
      <w:r>
        <w:rPr>
          <w:rFonts w:hint="eastAsia" w:ascii="宋体" w:hAnsi="宋体"/>
          <w:sz w:val="21"/>
          <w:szCs w:val="21"/>
          <w:lang w:eastAsia="zh-CN"/>
        </w:rPr>
        <w:t>.</w:t>
      </w:r>
      <w:r>
        <w:rPr>
          <w:rFonts w:hint="eastAsia" w:ascii="宋体" w:hAnsi="宋体"/>
          <w:sz w:val="21"/>
          <w:szCs w:val="21"/>
          <w:lang w:val="en-US" w:eastAsia="zh-CN"/>
        </w:rPr>
        <w:t>1</w:t>
      </w:r>
      <w:r>
        <w:rPr>
          <w:rFonts w:hint="eastAsia" w:ascii="宋体" w:hAnsi="宋体"/>
          <w:sz w:val="21"/>
          <w:szCs w:val="21"/>
          <w:lang w:eastAsia="zh-CN"/>
        </w:rPr>
        <w:t>谈判单位</w:t>
      </w:r>
      <w:r>
        <w:rPr>
          <w:rFonts w:hint="eastAsia" w:ascii="宋体" w:hAnsi="宋体"/>
          <w:sz w:val="21"/>
          <w:szCs w:val="21"/>
        </w:rPr>
        <w:t>应根据“用户需求书”规定编写服务方案或服务大纲。</w:t>
      </w:r>
    </w:p>
    <w:p>
      <w:pPr>
        <w:adjustRightInd w:val="0"/>
        <w:snapToGrid w:val="0"/>
        <w:spacing w:line="360" w:lineRule="auto"/>
        <w:ind w:firstLine="420" w:firstLineChars="200"/>
        <w:outlineLvl w:val="9"/>
        <w:rPr>
          <w:rFonts w:ascii="宋体" w:hAnsi="宋体"/>
          <w:sz w:val="21"/>
          <w:szCs w:val="21"/>
        </w:rPr>
      </w:pPr>
      <w:r>
        <w:rPr>
          <w:rFonts w:hint="eastAsia" w:ascii="宋体" w:hAnsi="宋体"/>
          <w:sz w:val="21"/>
          <w:szCs w:val="21"/>
          <w:lang w:val="en-US" w:eastAsia="zh-CN"/>
        </w:rPr>
        <w:t>1.2</w:t>
      </w:r>
      <w:r>
        <w:rPr>
          <w:rFonts w:hint="eastAsia" w:ascii="宋体" w:hAnsi="宋体"/>
          <w:sz w:val="21"/>
          <w:szCs w:val="21"/>
        </w:rPr>
        <w:t>服务方案或服务大纲应包括：(1)服务目标、范围和任务；(2)服务方案；(3)服务团队组织安排计划；(4)工作流程；(5)进度计划及保证措施；(6)质量保证措施；(7)合理化建议；(8)其他。</w:t>
      </w: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pStyle w:val="27"/>
        <w:adjustRightInd w:val="0"/>
        <w:snapToGrid w:val="0"/>
        <w:spacing w:line="360" w:lineRule="auto"/>
        <w:outlineLvl w:val="9"/>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9"/>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exact"/>
        <w:outlineLvl w:val="9"/>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28"/>
          <w:szCs w:val="28"/>
        </w:rPr>
      </w:pPr>
      <w:r>
        <w:rPr>
          <w:rFonts w:ascii="宋体" w:hAnsi="宋体"/>
          <w:sz w:val="24"/>
        </w:rPr>
        <w:br w:type="page"/>
      </w:r>
      <w:bookmarkStart w:id="151" w:name="_Toc5387"/>
      <w:bookmarkStart w:id="152" w:name="_Toc15835"/>
      <w:bookmarkStart w:id="153" w:name="_Toc25553"/>
      <w:bookmarkStart w:id="154" w:name="_Toc21225"/>
      <w:r>
        <w:rPr>
          <w:rFonts w:hint="eastAsia" w:ascii="宋体" w:hAnsi="宋体" w:eastAsia="宋体" w:cs="宋体"/>
          <w:b/>
          <w:sz w:val="32"/>
          <w:szCs w:val="32"/>
        </w:rPr>
        <w:t>六、报价一览表</w:t>
      </w:r>
      <w:bookmarkEnd w:id="151"/>
      <w:bookmarkEnd w:id="152"/>
      <w:bookmarkEnd w:id="153"/>
      <w:bookmarkEnd w:id="154"/>
    </w:p>
    <w:p>
      <w:pPr>
        <w:adjustRightInd w:val="0"/>
        <w:snapToGrid w:val="0"/>
        <w:jc w:val="right"/>
        <w:rPr>
          <w:rFonts w:ascii="黑体" w:hAnsi="宋体" w:eastAsia="黑体"/>
          <w:sz w:val="24"/>
        </w:rPr>
      </w:pPr>
    </w:p>
    <w:tbl>
      <w:tblPr>
        <w:tblStyle w:val="46"/>
        <w:tblW w:w="88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3600"/>
        <w:gridCol w:w="3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8" w:hRule="atLeast"/>
        </w:trPr>
        <w:tc>
          <w:tcPr>
            <w:tcW w:w="1620" w:type="dxa"/>
            <w:vAlign w:val="center"/>
          </w:tcPr>
          <w:p>
            <w:pPr>
              <w:tabs>
                <w:tab w:val="left" w:pos="403"/>
                <w:tab w:val="center" w:pos="3781"/>
              </w:tabs>
              <w:spacing w:line="420" w:lineRule="exact"/>
              <w:ind w:right="-5206" w:rightChars="-2479" w:firstLine="315" w:firstLineChars="15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7200" w:type="dxa"/>
            <w:gridSpan w:val="2"/>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trPr>
        <w:tc>
          <w:tcPr>
            <w:tcW w:w="1620" w:type="dxa"/>
            <w:vAlign w:val="center"/>
          </w:tcPr>
          <w:p>
            <w:pPr>
              <w:tabs>
                <w:tab w:val="left" w:pos="403"/>
                <w:tab w:val="center" w:pos="3781"/>
              </w:tabs>
              <w:spacing w:line="420" w:lineRule="exact"/>
              <w:ind w:right="-5206" w:rightChars="-2479" w:firstLine="315" w:firstLineChars="150"/>
              <w:rPr>
                <w:rFonts w:ascii="宋体" w:hAnsi="宋体"/>
                <w:szCs w:val="21"/>
              </w:rPr>
            </w:pPr>
            <w:r>
              <w:rPr>
                <w:rFonts w:hint="eastAsia" w:ascii="宋体" w:hAnsi="宋体"/>
                <w:szCs w:val="21"/>
              </w:rPr>
              <w:t>项目</w:t>
            </w:r>
            <w:r>
              <w:rPr>
                <w:rFonts w:ascii="宋体" w:hAnsi="宋体"/>
                <w:szCs w:val="21"/>
              </w:rPr>
              <w:t>编号</w:t>
            </w:r>
          </w:p>
        </w:tc>
        <w:tc>
          <w:tcPr>
            <w:tcW w:w="7200" w:type="dxa"/>
            <w:gridSpan w:val="2"/>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trPr>
        <w:tc>
          <w:tcPr>
            <w:tcW w:w="1620" w:type="dxa"/>
            <w:vAlign w:val="center"/>
          </w:tcPr>
          <w:p>
            <w:pPr>
              <w:spacing w:line="420" w:lineRule="exact"/>
              <w:jc w:val="center"/>
              <w:rPr>
                <w:rFonts w:ascii="宋体" w:hAnsi="宋体"/>
                <w:szCs w:val="21"/>
              </w:rPr>
            </w:pPr>
            <w:r>
              <w:rPr>
                <w:rFonts w:hint="eastAsia" w:ascii="宋体" w:hAnsi="宋体"/>
                <w:szCs w:val="21"/>
              </w:rPr>
              <w:t>服务期限</w:t>
            </w:r>
          </w:p>
        </w:tc>
        <w:tc>
          <w:tcPr>
            <w:tcW w:w="7200" w:type="dxa"/>
            <w:gridSpan w:val="2"/>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3" w:hRule="atLeast"/>
        </w:trPr>
        <w:tc>
          <w:tcPr>
            <w:tcW w:w="1620" w:type="dxa"/>
            <w:vAlign w:val="center"/>
          </w:tcPr>
          <w:p>
            <w:pPr>
              <w:spacing w:line="420" w:lineRule="exact"/>
              <w:jc w:val="center"/>
              <w:rPr>
                <w:rFonts w:ascii="宋体" w:hAnsi="宋体"/>
                <w:b/>
                <w:szCs w:val="21"/>
              </w:rPr>
            </w:pPr>
            <w:r>
              <w:rPr>
                <w:rFonts w:hint="eastAsia" w:ascii="宋体" w:hAnsi="宋体"/>
                <w:b/>
                <w:szCs w:val="21"/>
              </w:rPr>
              <w:t>谈判</w:t>
            </w:r>
            <w:r>
              <w:rPr>
                <w:rFonts w:ascii="宋体" w:hAnsi="宋体"/>
                <w:b/>
                <w:szCs w:val="21"/>
              </w:rPr>
              <w:t>总报价</w:t>
            </w:r>
          </w:p>
        </w:tc>
        <w:tc>
          <w:tcPr>
            <w:tcW w:w="3600" w:type="dxa"/>
            <w:vAlign w:val="center"/>
          </w:tcPr>
          <w:p>
            <w:pPr>
              <w:jc w:val="center"/>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600" w:type="dxa"/>
            <w:vAlign w:val="center"/>
          </w:tcPr>
          <w:p>
            <w:pPr>
              <w:spacing w:line="420" w:lineRule="exact"/>
              <w:jc w:val="center"/>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1620" w:type="dxa"/>
            <w:vAlign w:val="center"/>
          </w:tcPr>
          <w:p>
            <w:pPr>
              <w:spacing w:line="420" w:lineRule="exact"/>
              <w:jc w:val="center"/>
              <w:rPr>
                <w:rFonts w:ascii="宋体" w:hAnsi="宋体"/>
                <w:szCs w:val="21"/>
              </w:rPr>
            </w:pPr>
            <w:r>
              <w:rPr>
                <w:rFonts w:ascii="宋体" w:hAnsi="宋体"/>
                <w:szCs w:val="21"/>
              </w:rPr>
              <w:t>备  注</w:t>
            </w:r>
          </w:p>
        </w:tc>
        <w:tc>
          <w:tcPr>
            <w:tcW w:w="7200" w:type="dxa"/>
            <w:gridSpan w:val="2"/>
            <w:vAlign w:val="center"/>
          </w:tcPr>
          <w:p>
            <w:pPr>
              <w:spacing w:line="420" w:lineRule="exact"/>
              <w:rPr>
                <w:rFonts w:ascii="宋体" w:hAnsi="宋体"/>
                <w:szCs w:val="21"/>
              </w:rPr>
            </w:pPr>
          </w:p>
        </w:tc>
      </w:tr>
    </w:tbl>
    <w:p>
      <w:pPr>
        <w:adjustRightInd w:val="0"/>
        <w:snapToGrid w:val="0"/>
        <w:spacing w:line="360" w:lineRule="auto"/>
        <w:rPr>
          <w:rFonts w:ascii="宋体" w:hAnsi="宋体"/>
          <w:b/>
          <w:szCs w:val="21"/>
        </w:rPr>
      </w:pPr>
      <w:r>
        <w:rPr>
          <w:rFonts w:hint="eastAsia" w:ascii="宋体" w:hAnsi="宋体"/>
          <w:b/>
          <w:szCs w:val="21"/>
        </w:rPr>
        <w:t>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szCs w:val="21"/>
        </w:rPr>
      </w:pPr>
      <w:r>
        <w:rPr>
          <w:rFonts w:hint="eastAsia" w:ascii="宋体" w:hAnsi="宋体"/>
          <w:b/>
          <w:szCs w:val="21"/>
        </w:rPr>
        <w:t>2.本表内“谈判总报价”是包含了所有隐含的管理费、税金和利润等其他费用的报价。</w:t>
      </w: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p>
    <w:p>
      <w:pPr>
        <w:pStyle w:val="27"/>
        <w:adjustRightInd w:val="0"/>
        <w:snapToGrid w:val="0"/>
        <w:spacing w:line="360" w:lineRule="auto"/>
        <w:outlineLvl w:val="9"/>
        <w:rPr>
          <w:rFonts w:ascii="宋体" w:hAnsi="宋体"/>
          <w:bCs/>
          <w:sz w:val="21"/>
          <w:szCs w:val="21"/>
        </w:rPr>
      </w:pPr>
      <w:bookmarkStart w:id="155" w:name="_Toc5231"/>
      <w:r>
        <w:rPr>
          <w:rFonts w:hint="eastAsia" w:ascii="宋体" w:hAnsi="宋体"/>
          <w:sz w:val="21"/>
          <w:szCs w:val="21"/>
        </w:rPr>
        <w:t>谈判单位名称：</w:t>
      </w:r>
      <w:r>
        <w:rPr>
          <w:rFonts w:hint="eastAsia" w:ascii="宋体" w:hAnsi="宋体"/>
          <w:sz w:val="21"/>
          <w:szCs w:val="21"/>
          <w:u w:val="single"/>
        </w:rPr>
        <w:t xml:space="preserve">    （盖单位章）</w:t>
      </w:r>
      <w:bookmarkEnd w:id="155"/>
      <w:r>
        <w:rPr>
          <w:rFonts w:hint="eastAsia" w:ascii="宋体" w:hAnsi="宋体"/>
          <w:sz w:val="21"/>
          <w:szCs w:val="21"/>
          <w:u w:val="single"/>
        </w:rPr>
        <w:t xml:space="preserve">    </w:t>
      </w:r>
    </w:p>
    <w:p>
      <w:pPr>
        <w:adjustRightInd w:val="0"/>
        <w:snapToGrid w:val="0"/>
        <w:spacing w:line="360" w:lineRule="auto"/>
        <w:outlineLvl w:val="9"/>
        <w:rPr>
          <w:rFonts w:ascii="宋体" w:hAnsi="宋体"/>
          <w:szCs w:val="21"/>
        </w:rPr>
      </w:pPr>
      <w:bookmarkStart w:id="156" w:name="_Toc28605"/>
      <w:r>
        <w:rPr>
          <w:rFonts w:hint="eastAsia" w:ascii="宋体" w:hAnsi="宋体"/>
          <w:szCs w:val="21"/>
        </w:rPr>
        <w:t>法定代表人或其委托代理人(签字或盖章)：</w:t>
      </w:r>
      <w:bookmarkEnd w:id="156"/>
      <w:r>
        <w:rPr>
          <w:rFonts w:hint="eastAsia" w:ascii="宋体" w:hAnsi="宋体"/>
          <w:szCs w:val="21"/>
          <w:u w:val="single"/>
        </w:rPr>
        <w:t xml:space="preserve">               </w:t>
      </w:r>
    </w:p>
    <w:p>
      <w:pPr>
        <w:spacing w:line="360" w:lineRule="auto"/>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jc w:val="center"/>
        <w:rPr>
          <w:rFonts w:ascii="黑体" w:eastAsia="黑体"/>
          <w:b/>
          <w:bCs/>
          <w:sz w:val="32"/>
          <w:szCs w:val="32"/>
        </w:rPr>
      </w:pPr>
    </w:p>
    <w:p>
      <w:pPr>
        <w:adjustRightInd w:val="0"/>
        <w:snapToGrid w:val="0"/>
        <w:jc w:val="center"/>
        <w:rPr>
          <w:rFonts w:ascii="黑体" w:eastAsia="黑体"/>
          <w:b/>
          <w:bCs/>
          <w:sz w:val="32"/>
          <w:szCs w:val="32"/>
        </w:rPr>
      </w:pPr>
    </w:p>
    <w:p>
      <w:pPr>
        <w:adjustRightInd w:val="0"/>
        <w:snapToGrid w:val="0"/>
        <w:jc w:val="center"/>
        <w:rPr>
          <w:rFonts w:ascii="黑体" w:eastAsia="黑体"/>
          <w:b/>
          <w:bCs/>
          <w:color w:val="FF0000"/>
          <w:sz w:val="32"/>
          <w:szCs w:val="32"/>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eastAsia="宋体" w:cs="宋体"/>
          <w:b/>
          <w:sz w:val="32"/>
          <w:szCs w:val="32"/>
        </w:rPr>
      </w:pPr>
      <w:bookmarkStart w:id="157" w:name="_Toc28059"/>
      <w:bookmarkStart w:id="158" w:name="_Toc26804"/>
      <w:bookmarkStart w:id="159" w:name="_Toc27599"/>
      <w:r>
        <w:rPr>
          <w:rFonts w:hint="eastAsia" w:ascii="宋体" w:hAnsi="宋体" w:eastAsia="宋体" w:cs="宋体"/>
          <w:b/>
          <w:sz w:val="32"/>
          <w:szCs w:val="32"/>
        </w:rPr>
        <w:t>七、分项价格表</w:t>
      </w:r>
      <w:bookmarkEnd w:id="157"/>
      <w:bookmarkEnd w:id="158"/>
      <w:bookmarkEnd w:id="159"/>
    </w:p>
    <w:p>
      <w:pPr>
        <w:spacing w:line="360" w:lineRule="exact"/>
        <w:rPr>
          <w:rFonts w:ascii="楷体_GB2312" w:eastAsia="楷体_GB2312"/>
          <w:b/>
        </w:rPr>
      </w:pPr>
    </w:p>
    <w:p>
      <w:pPr>
        <w:spacing w:line="360" w:lineRule="exact"/>
        <w:ind w:firstLine="210" w:firstLineChars="100"/>
        <w:jc w:val="left"/>
        <w:rPr>
          <w:rFonts w:hint="eastAsia" w:ascii="宋体" w:hAnsi="宋体" w:eastAsia="宋体"/>
          <w:lang w:eastAsia="zh-CN"/>
        </w:rPr>
      </w:pPr>
      <w:r>
        <w:rPr>
          <w:rFonts w:hint="eastAsia" w:ascii="宋体" w:hAnsi="宋体"/>
          <w:b w:val="0"/>
          <w:bCs/>
        </w:rPr>
        <w:t>项目</w:t>
      </w:r>
      <w:r>
        <w:rPr>
          <w:rFonts w:hint="eastAsia" w:ascii="宋体" w:hAnsi="宋体"/>
        </w:rPr>
        <w:t xml:space="preserve">名称：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金额单位：元</w:t>
      </w:r>
    </w:p>
    <w:tbl>
      <w:tblPr>
        <w:tblStyle w:val="46"/>
        <w:tblpPr w:leftFromText="180" w:rightFromText="180" w:vertAnchor="text" w:horzAnchor="page" w:tblpXSpec="center" w:tblpY="236"/>
        <w:tblOverlap w:val="never"/>
        <w:tblW w:w="9036" w:type="dxa"/>
        <w:jc w:val="center"/>
        <w:tblInd w:w="-3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6"/>
        <w:gridCol w:w="1215"/>
        <w:gridCol w:w="1539"/>
        <w:gridCol w:w="1350"/>
        <w:gridCol w:w="1350"/>
        <w:gridCol w:w="1363"/>
        <w:gridCol w:w="142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35" w:hRule="atLeast"/>
          <w:jc w:val="center"/>
        </w:trPr>
        <w:tc>
          <w:tcPr>
            <w:tcW w:w="796" w:type="dxa"/>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15" w:type="dxa"/>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服务名称</w:t>
            </w:r>
          </w:p>
        </w:tc>
        <w:tc>
          <w:tcPr>
            <w:tcW w:w="1539" w:type="dxa"/>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计量单位</w:t>
            </w:r>
          </w:p>
        </w:tc>
        <w:tc>
          <w:tcPr>
            <w:tcW w:w="1350" w:type="dxa"/>
            <w:tcBorders>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控制价</w:t>
            </w:r>
          </w:p>
        </w:tc>
        <w:tc>
          <w:tcPr>
            <w:tcW w:w="1350" w:type="dxa"/>
            <w:tcBorders>
              <w:lef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3" w:type="dxa"/>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小计</w:t>
            </w:r>
          </w:p>
        </w:tc>
        <w:tc>
          <w:tcPr>
            <w:tcW w:w="1423" w:type="dxa"/>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jc w:val="center"/>
        </w:trPr>
        <w:tc>
          <w:tcPr>
            <w:tcW w:w="796"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215"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联网报警单价</w:t>
            </w:r>
          </w:p>
        </w:tc>
        <w:tc>
          <w:tcPr>
            <w:tcW w:w="1539"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元/月/网点</w:t>
            </w:r>
          </w:p>
        </w:tc>
        <w:tc>
          <w:tcPr>
            <w:tcW w:w="1350" w:type="dxa"/>
            <w:tcBorders>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185</w:t>
            </w:r>
            <w:r>
              <w:rPr>
                <w:rFonts w:hint="eastAsia" w:ascii="宋体" w:hAnsi="宋体" w:eastAsia="宋体" w:cs="宋体"/>
                <w:sz w:val="21"/>
                <w:szCs w:val="21"/>
                <w:lang w:val="en-US" w:eastAsia="zh-CN"/>
              </w:rPr>
              <w:t>.00</w:t>
            </w:r>
          </w:p>
        </w:tc>
        <w:tc>
          <w:tcPr>
            <w:tcW w:w="1350" w:type="dxa"/>
            <w:tcBorders>
              <w:lef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p>
        </w:tc>
        <w:tc>
          <w:tcPr>
            <w:tcW w:w="1363" w:type="dxa"/>
            <w:vAlign w:val="center"/>
          </w:tcPr>
          <w:p>
            <w:pPr>
              <w:adjustRightInd w:val="0"/>
              <w:snapToGrid w:val="0"/>
              <w:spacing w:line="360" w:lineRule="auto"/>
              <w:jc w:val="center"/>
              <w:rPr>
                <w:rFonts w:hint="eastAsia" w:ascii="宋体" w:hAnsi="宋体" w:eastAsia="宋体" w:cs="宋体"/>
                <w:sz w:val="21"/>
                <w:szCs w:val="21"/>
              </w:rPr>
            </w:pPr>
          </w:p>
        </w:tc>
        <w:tc>
          <w:tcPr>
            <w:tcW w:w="1423" w:type="dxa"/>
            <w:vAlign w:val="center"/>
          </w:tcPr>
          <w:p>
            <w:pPr>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jc w:val="center"/>
        </w:trPr>
        <w:tc>
          <w:tcPr>
            <w:tcW w:w="796"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215"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视频监控单价</w:t>
            </w:r>
          </w:p>
        </w:tc>
        <w:tc>
          <w:tcPr>
            <w:tcW w:w="1539"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元/月/网点</w:t>
            </w:r>
          </w:p>
        </w:tc>
        <w:tc>
          <w:tcPr>
            <w:tcW w:w="1350" w:type="dxa"/>
            <w:tcBorders>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185</w:t>
            </w:r>
            <w:r>
              <w:rPr>
                <w:rFonts w:hint="eastAsia" w:ascii="宋体" w:hAnsi="宋体" w:eastAsia="宋体" w:cs="宋体"/>
                <w:sz w:val="21"/>
                <w:szCs w:val="21"/>
                <w:lang w:val="en-US" w:eastAsia="zh-CN"/>
              </w:rPr>
              <w:t>.00</w:t>
            </w:r>
          </w:p>
        </w:tc>
        <w:tc>
          <w:tcPr>
            <w:tcW w:w="1350" w:type="dxa"/>
            <w:tcBorders>
              <w:lef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p>
        </w:tc>
        <w:tc>
          <w:tcPr>
            <w:tcW w:w="1363" w:type="dxa"/>
            <w:vAlign w:val="center"/>
          </w:tcPr>
          <w:p>
            <w:pPr>
              <w:adjustRightInd w:val="0"/>
              <w:snapToGrid w:val="0"/>
              <w:spacing w:line="360" w:lineRule="auto"/>
              <w:jc w:val="center"/>
              <w:rPr>
                <w:rFonts w:hint="eastAsia" w:ascii="宋体" w:hAnsi="宋体" w:eastAsia="宋体" w:cs="宋体"/>
                <w:sz w:val="21"/>
                <w:szCs w:val="21"/>
              </w:rPr>
            </w:pPr>
          </w:p>
        </w:tc>
        <w:tc>
          <w:tcPr>
            <w:tcW w:w="1423" w:type="dxa"/>
            <w:vAlign w:val="center"/>
          </w:tcPr>
          <w:p>
            <w:pPr>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1" w:hRule="atLeast"/>
          <w:jc w:val="center"/>
        </w:trPr>
        <w:tc>
          <w:tcPr>
            <w:tcW w:w="796"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1215"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初装费</w:t>
            </w:r>
          </w:p>
        </w:tc>
        <w:tc>
          <w:tcPr>
            <w:tcW w:w="1539"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元/网点</w:t>
            </w:r>
          </w:p>
        </w:tc>
        <w:tc>
          <w:tcPr>
            <w:tcW w:w="1350" w:type="dxa"/>
            <w:tcBorders>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2980</w:t>
            </w:r>
            <w:r>
              <w:rPr>
                <w:rFonts w:hint="eastAsia" w:ascii="宋体" w:hAnsi="宋体" w:eastAsia="宋体" w:cs="宋体"/>
                <w:sz w:val="21"/>
                <w:szCs w:val="21"/>
                <w:lang w:val="en-US" w:eastAsia="zh-CN"/>
              </w:rPr>
              <w:t>.00</w:t>
            </w:r>
          </w:p>
        </w:tc>
        <w:tc>
          <w:tcPr>
            <w:tcW w:w="1350" w:type="dxa"/>
            <w:tcBorders>
              <w:lef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p>
        </w:tc>
        <w:tc>
          <w:tcPr>
            <w:tcW w:w="1363" w:type="dxa"/>
            <w:vAlign w:val="center"/>
          </w:tcPr>
          <w:p>
            <w:pPr>
              <w:adjustRightInd w:val="0"/>
              <w:snapToGrid w:val="0"/>
              <w:spacing w:line="360" w:lineRule="auto"/>
              <w:jc w:val="center"/>
              <w:rPr>
                <w:rFonts w:hint="eastAsia" w:ascii="宋体" w:hAnsi="宋体" w:eastAsia="宋体" w:cs="宋体"/>
                <w:sz w:val="21"/>
                <w:szCs w:val="21"/>
              </w:rPr>
            </w:pPr>
          </w:p>
        </w:tc>
        <w:tc>
          <w:tcPr>
            <w:tcW w:w="1423" w:type="dxa"/>
            <w:vAlign w:val="center"/>
          </w:tcPr>
          <w:p>
            <w:pPr>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796"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4</w:t>
            </w:r>
          </w:p>
        </w:tc>
        <w:tc>
          <w:tcPr>
            <w:tcW w:w="1215"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网点</w:t>
            </w:r>
          </w:p>
        </w:tc>
        <w:tc>
          <w:tcPr>
            <w:tcW w:w="1539"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个</w:t>
            </w:r>
          </w:p>
        </w:tc>
        <w:tc>
          <w:tcPr>
            <w:tcW w:w="1350" w:type="dxa"/>
            <w:tcBorders>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18</w:t>
            </w:r>
          </w:p>
        </w:tc>
        <w:tc>
          <w:tcPr>
            <w:tcW w:w="1350" w:type="dxa"/>
            <w:tcBorders>
              <w:left w:val="single" w:color="auto" w:sz="4"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363" w:type="dxa"/>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18</w:t>
            </w:r>
          </w:p>
        </w:tc>
        <w:tc>
          <w:tcPr>
            <w:tcW w:w="1423" w:type="dxa"/>
            <w:vAlign w:val="center"/>
          </w:tcPr>
          <w:p>
            <w:pPr>
              <w:adjustRightInd w:val="0"/>
              <w:snapToGrid w:val="0"/>
              <w:spacing w:line="360" w:lineRule="auto"/>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796"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1215"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服务期</w:t>
            </w:r>
          </w:p>
        </w:tc>
        <w:tc>
          <w:tcPr>
            <w:tcW w:w="1539"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月</w:t>
            </w:r>
          </w:p>
        </w:tc>
        <w:tc>
          <w:tcPr>
            <w:tcW w:w="1350" w:type="dxa"/>
            <w:tcBorders>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1350" w:type="dxa"/>
            <w:tcBorders>
              <w:left w:val="single" w:color="auto" w:sz="4"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363" w:type="dxa"/>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14</w:t>
            </w:r>
          </w:p>
        </w:tc>
        <w:tc>
          <w:tcPr>
            <w:tcW w:w="14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lang w:val="en-US"/>
              </w:rPr>
            </w:pPr>
            <w:r>
              <w:rPr>
                <w:rFonts w:hint="eastAsia" w:ascii="宋体" w:hAnsi="宋体" w:eastAsia="宋体" w:cs="宋体"/>
                <w:kern w:val="0"/>
                <w:sz w:val="21"/>
                <w:szCs w:val="21"/>
                <w:lang w:bidi="ar"/>
              </w:rPr>
              <w:t>服务期为预估量，结算时按实际服务天数结算。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36" w:hRule="atLeast"/>
          <w:jc w:val="center"/>
        </w:trPr>
        <w:tc>
          <w:tcPr>
            <w:tcW w:w="2011" w:type="dxa"/>
            <w:gridSpan w:val="2"/>
            <w:vAlign w:val="center"/>
          </w:tcPr>
          <w:p>
            <w:pPr>
              <w:widowControl/>
              <w:jc w:val="center"/>
              <w:textAlignment w:val="center"/>
              <w:outlineLvl w:val="9"/>
              <w:rPr>
                <w:rFonts w:hint="eastAsia" w:ascii="宋体" w:hAnsi="宋体" w:eastAsia="宋体" w:cs="宋体"/>
                <w:kern w:val="0"/>
                <w:sz w:val="21"/>
                <w:szCs w:val="21"/>
                <w:lang w:bidi="ar"/>
              </w:rPr>
            </w:pPr>
            <w:r>
              <w:rPr>
                <w:rFonts w:hint="eastAsia" w:ascii="宋体" w:hAnsi="宋体" w:eastAsia="宋体" w:cs="宋体"/>
                <w:sz w:val="21"/>
                <w:szCs w:val="21"/>
              </w:rPr>
              <w:t>合    计</w:t>
            </w:r>
          </w:p>
        </w:tc>
        <w:tc>
          <w:tcPr>
            <w:tcW w:w="7025" w:type="dxa"/>
            <w:gridSpan w:val="5"/>
            <w:vAlign w:val="center"/>
          </w:tcPr>
          <w:p>
            <w:pPr>
              <w:adjustRightInd w:val="0"/>
              <w:snapToGrid w:val="0"/>
              <w:spacing w:line="360" w:lineRule="auto"/>
              <w:jc w:val="center"/>
              <w:rPr>
                <w:rFonts w:hint="eastAsia" w:ascii="宋体" w:hAnsi="宋体" w:eastAsia="宋体" w:cs="宋体"/>
                <w:kern w:val="0"/>
                <w:sz w:val="21"/>
                <w:szCs w:val="21"/>
                <w:lang w:bidi="ar"/>
              </w:rPr>
            </w:pPr>
          </w:p>
        </w:tc>
      </w:tr>
    </w:tbl>
    <w:p/>
    <w:p>
      <w:pPr>
        <w:adjustRightInd w:val="0"/>
        <w:snapToGrid w:val="0"/>
        <w:spacing w:line="360" w:lineRule="auto"/>
        <w:ind w:left="-88" w:leftChars="-42"/>
        <w:rPr>
          <w:rFonts w:ascii="宋体" w:hAnsi="宋体"/>
          <w:b/>
          <w:szCs w:val="21"/>
        </w:rPr>
      </w:pPr>
      <w:r>
        <w:rPr>
          <w:rFonts w:hint="eastAsia" w:ascii="宋体" w:hAnsi="宋体"/>
          <w:b/>
          <w:szCs w:val="21"/>
        </w:rPr>
        <w:t>备注：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b/>
          <w:szCs w:val="21"/>
        </w:rPr>
      </w:pPr>
      <w:r>
        <w:rPr>
          <w:rFonts w:hint="eastAsia" w:ascii="宋体" w:hAnsi="宋体"/>
          <w:b/>
          <w:szCs w:val="21"/>
        </w:rPr>
        <w:t>1</w:t>
      </w:r>
      <w:r>
        <w:rPr>
          <w:rFonts w:hint="eastAsia" w:ascii="宋体" w:hAnsi="宋体"/>
          <w:b/>
          <w:szCs w:val="21"/>
          <w:lang w:eastAsia="zh-CN"/>
        </w:rPr>
        <w:t>.</w:t>
      </w:r>
      <w:r>
        <w:rPr>
          <w:rFonts w:hint="eastAsia" w:ascii="宋体" w:hAnsi="宋体"/>
          <w:b/>
          <w:szCs w:val="21"/>
        </w:rPr>
        <w:t>所有报价保留小数点后两位，小数点后第三位“四舍五入”。</w:t>
      </w:r>
    </w:p>
    <w:p>
      <w:pPr>
        <w:keepNext w:val="0"/>
        <w:keepLines w:val="0"/>
        <w:pageBreakBefore w:val="0"/>
        <w:widowControl w:val="0"/>
        <w:kinsoku/>
        <w:wordWrap/>
        <w:overflowPunct/>
        <w:topLinePunct w:val="0"/>
        <w:autoSpaceDE/>
        <w:autoSpaceDN/>
        <w:bidi w:val="0"/>
        <w:adjustRightInd w:val="0"/>
        <w:snapToGrid w:val="0"/>
        <w:spacing w:line="360" w:lineRule="auto"/>
        <w:ind w:left="631" w:leftChars="200" w:hanging="211" w:hangingChars="100"/>
        <w:textAlignment w:val="auto"/>
        <w:rPr>
          <w:rFonts w:ascii="宋体" w:hAnsi="宋体"/>
          <w:b/>
          <w:szCs w:val="21"/>
        </w:rPr>
      </w:pPr>
      <w:r>
        <w:rPr>
          <w:rFonts w:hint="eastAsia" w:ascii="宋体" w:hAnsi="宋体"/>
          <w:b/>
          <w:szCs w:val="21"/>
          <w:lang w:val="en-US" w:eastAsia="zh-CN"/>
        </w:rPr>
        <w:t>2.</w:t>
      </w:r>
      <w:r>
        <w:rPr>
          <w:rFonts w:hint="eastAsia" w:ascii="宋体" w:hAnsi="宋体"/>
          <w:b/>
          <w:szCs w:val="21"/>
        </w:rPr>
        <w:t>本表包含谈判文件“用户需求书”或其他部分对该项目所有要求的详细报价。“合计”金额应与《报价一览表》内“谈判总报价”金额一致。栏目“单价”为综合单价，应包含所有隐含的管理费、税金和利润等其他费用</w:t>
      </w:r>
      <w:r>
        <w:rPr>
          <w:rFonts w:hint="eastAsia" w:ascii="宋体" w:hAnsi="宋体"/>
          <w:b/>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ascii="宋体" w:hAnsi="宋体"/>
          <w:b/>
          <w:szCs w:val="21"/>
        </w:rPr>
      </w:pPr>
      <w:r>
        <w:rPr>
          <w:rFonts w:hint="eastAsia" w:ascii="宋体" w:hAnsi="宋体"/>
          <w:b/>
          <w:szCs w:val="21"/>
          <w:lang w:val="en-US" w:eastAsia="zh-CN"/>
        </w:rPr>
        <w:t>3.</w:t>
      </w:r>
      <w:r>
        <w:rPr>
          <w:rFonts w:hint="eastAsia" w:ascii="宋体" w:hAnsi="宋体"/>
          <w:b/>
          <w:szCs w:val="21"/>
        </w:rPr>
        <w:t>“服务名称”是指本项目分项服务的内容。</w:t>
      </w:r>
    </w:p>
    <w:p>
      <w:pPr>
        <w:pStyle w:val="27"/>
        <w:adjustRightInd w:val="0"/>
        <w:snapToGrid w:val="0"/>
        <w:spacing w:line="360" w:lineRule="auto"/>
        <w:outlineLvl w:val="0"/>
        <w:rPr>
          <w:rFonts w:ascii="宋体" w:hAnsi="宋体"/>
          <w:sz w:val="21"/>
          <w:szCs w:val="21"/>
        </w:rPr>
      </w:pPr>
    </w:p>
    <w:p>
      <w:pPr>
        <w:pStyle w:val="27"/>
        <w:adjustRightInd w:val="0"/>
        <w:snapToGrid w:val="0"/>
        <w:spacing w:line="360" w:lineRule="auto"/>
        <w:outlineLvl w:val="0"/>
        <w:rPr>
          <w:rFonts w:ascii="宋体" w:hAnsi="宋体"/>
          <w:sz w:val="21"/>
          <w:szCs w:val="21"/>
        </w:rPr>
      </w:pP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left="-88" w:leftChars="-42" w:firstLine="211" w:firstLineChars="100"/>
        <w:rPr>
          <w:rFonts w:ascii="宋体" w:hAnsi="宋体"/>
          <w:b/>
          <w:szCs w:val="21"/>
        </w:rPr>
      </w:pPr>
    </w:p>
    <w:p>
      <w:pPr>
        <w:adjustRightInd w:val="0"/>
        <w:snapToGrid w:val="0"/>
        <w:jc w:val="center"/>
        <w:rPr>
          <w:rFonts w:ascii="黑体" w:hAnsi="宋体" w:eastAsia="黑体"/>
          <w:b/>
          <w:sz w:val="32"/>
          <w:szCs w:val="32"/>
        </w:rPr>
        <w:sectPr>
          <w:pgSz w:w="11906" w:h="16838"/>
          <w:pgMar w:top="1440" w:right="1797" w:bottom="1440" w:left="1797"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eastAsia="宋体" w:cs="宋体"/>
          <w:b/>
          <w:sz w:val="32"/>
          <w:szCs w:val="32"/>
          <w:lang w:val="en-US" w:eastAsia="zh-CN"/>
        </w:rPr>
      </w:pPr>
      <w:bookmarkStart w:id="160" w:name="_Toc27585"/>
      <w:bookmarkStart w:id="161" w:name="_Toc22739"/>
      <w:bookmarkStart w:id="162" w:name="_Toc9077"/>
      <w:bookmarkStart w:id="163" w:name="_Toc27918"/>
      <w:r>
        <w:rPr>
          <w:rFonts w:hint="eastAsia" w:ascii="宋体" w:hAnsi="宋体" w:eastAsia="宋体" w:cs="宋体"/>
          <w:b/>
          <w:sz w:val="32"/>
          <w:szCs w:val="32"/>
        </w:rPr>
        <w:t>八、其他资料</w:t>
      </w:r>
      <w:bookmarkEnd w:id="160"/>
      <w:bookmarkEnd w:id="161"/>
      <w:bookmarkEnd w:id="162"/>
      <w:r>
        <w:rPr>
          <w:rFonts w:hint="eastAsia" w:ascii="宋体" w:hAnsi="宋体" w:cs="宋体"/>
          <w:b/>
          <w:sz w:val="32"/>
          <w:szCs w:val="32"/>
          <w:lang w:eastAsia="zh-CN"/>
        </w:rPr>
        <w:t>（如有）</w:t>
      </w:r>
      <w:bookmarkEnd w:id="163"/>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ascii="宋体" w:hAnsi="宋体"/>
          <w:szCs w:val="21"/>
        </w:rPr>
      </w:pPr>
      <w:bookmarkStart w:id="164" w:name="_Toc22084"/>
      <w:bookmarkStart w:id="165" w:name="_Toc10648"/>
      <w:bookmarkStart w:id="166" w:name="_Toc5412"/>
      <w:bookmarkStart w:id="167" w:name="_Toc18188"/>
      <w:r>
        <w:rPr>
          <w:rFonts w:hint="eastAsia" w:ascii="宋体" w:hAnsi="宋体"/>
          <w:szCs w:val="21"/>
        </w:rPr>
        <w:t>谈判单位认为需要提供的其他报价资料，格式自拟。</w:t>
      </w:r>
      <w:bookmarkEnd w:id="164"/>
      <w:bookmarkEnd w:id="165"/>
      <w:bookmarkEnd w:id="166"/>
      <w:bookmarkEnd w:id="167"/>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altName w:val="宋体"/>
    <w:panose1 w:val="00000000000000000000"/>
    <w:charset w:val="86"/>
    <w:family w:val="swiss"/>
    <w:pitch w:val="default"/>
    <w:sig w:usb0="00000000" w:usb1="00000000"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50" o:spid="_x0000_s2050" o:spt="202" type="#_x0000_t202" style="position:absolute;left:0pt;margin-top:0pt;height:144pt;width:144pt;mso-position-horizontal:center;mso-position-horizontal-relative:margin;mso-wrap-style:none;z-index:251688960;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51" o:spid="_x0000_s2051" o:spt="202" type="#_x0000_t202" style="position:absolute;left:0pt;margin-top:0pt;height:144pt;width:144pt;mso-position-horizontal:center;mso-position-horizontal-relative:margin;mso-wrap-style:none;z-index:251689984;mso-width-relative:page;mso-height-relative:page;" filled="f" stroked="f" coordsize="21600,21600">
          <v:path/>
          <v:fill on="f" focussize="0,0"/>
          <v:stroke on="f"/>
          <v:imagedata o:title=""/>
          <o:lock v:ext="edit" aspectratio="f"/>
          <v:textbox inset="0mm,0mm,0mm,0mm" style="mso-fit-shape-to-text:t;">
            <w:txbxContent>
              <w:sdt>
                <w:sdtPr>
                  <w:id w:val="1659268109"/>
                </w:sdtPr>
                <w:sdtContent>
                  <w:p>
                    <w:pPr>
                      <w:pStyle w:val="30"/>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2"/>
                </w:pPr>
              </w:p>
            </w:txbxContent>
          </v:textbox>
        </v:shape>
      </w:pic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52" o:spid="_x0000_s2052" o:spt="202" type="#_x0000_t202" style="position:absolute;left:0pt;margin-top:0pt;height:144pt;width:144pt;mso-position-horizontal:center;mso-position-horizontal-relative:margin;mso-wrap-style:none;z-index:251691008;mso-width-relative:page;mso-height-relative:page;" filled="f" stroked="f" coordsize="21600,21600">
          <v:path/>
          <v:fill on="f" focussize="0,0"/>
          <v:stroke on="f"/>
          <v:imagedata o:title=""/>
          <o:lock v:ext="edit" aspectratio="f"/>
          <v:textbox inset="0mm,0mm,0mm,0mm" style="mso-fit-shape-to-text:t;">
            <w:txbxContent>
              <w:sdt>
                <w:sdtPr>
                  <w:id w:val="11816411"/>
                </w:sdtPr>
                <w:sdtContent>
                  <w:p>
                    <w:pPr>
                      <w:pStyle w:val="30"/>
                      <w:jc w:val="center"/>
                    </w:pPr>
                    <w:r>
                      <w:fldChar w:fldCharType="begin"/>
                    </w:r>
                    <w:r>
                      <w:instrText xml:space="preserve">PAGE   \* MERGEFORMAT</w:instrText>
                    </w:r>
                    <w:r>
                      <w:fldChar w:fldCharType="separate"/>
                    </w:r>
                    <w:r>
                      <w:rPr>
                        <w:lang w:val="zh-CN"/>
                      </w:rPr>
                      <w:t>14</w:t>
                    </w:r>
                    <w:r>
                      <w:rPr>
                        <w:lang w:val="zh-CN"/>
                      </w:rPr>
                      <w:fldChar w:fldCharType="end"/>
                    </w:r>
                  </w:p>
                </w:sdtContent>
              </w:sdt>
              <w:p>
                <w:pPr>
                  <w:pStyle w:val="2"/>
                </w:pPr>
              </w:p>
            </w:txbxContent>
          </v:textbox>
        </v:shape>
      </w:pict>
    </w: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53" o:spid="_x0000_s2053" o:spt="202" type="#_x0000_t202" style="position:absolute;left:0pt;margin-top:0pt;height:144pt;width:144pt;mso-position-horizontal:center;mso-position-horizontal-relative:margin;mso-wrap-style:none;z-index:251692032;mso-width-relative:page;mso-height-relative:page;" filled="f" stroked="f" coordsize="21600,21600">
          <v:path/>
          <v:fill on="f" focussize="0,0"/>
          <v:stroke on="f"/>
          <v:imagedata o:title=""/>
          <o:lock v:ext="edit" aspectratio="f"/>
          <v:textbox inset="0mm,0mm,0mm,0mm" style="mso-fit-shape-to-text:t;">
            <w:txbxContent>
              <w:sdt>
                <w:sdtPr>
                  <w:id w:val="1654331982"/>
                </w:sdtPr>
                <w:sdtContent>
                  <w:p>
                    <w:pPr>
                      <w:pStyle w:val="30"/>
                      <w:jc w:val="center"/>
                    </w:pPr>
                    <w:r>
                      <w:fldChar w:fldCharType="begin"/>
                    </w:r>
                    <w:r>
                      <w:instrText xml:space="preserve">PAGE   \* MERGEFORMAT</w:instrText>
                    </w:r>
                    <w:r>
                      <w:fldChar w:fldCharType="separate"/>
                    </w:r>
                    <w:r>
                      <w:rPr>
                        <w:lang w:val="zh-CN"/>
                      </w:rPr>
                      <w:t>19</w:t>
                    </w:r>
                    <w:r>
                      <w:rPr>
                        <w:lang w:val="zh-CN"/>
                      </w:rPr>
                      <w:fldChar w:fldCharType="end"/>
                    </w:r>
                  </w:p>
                </w:sdtContent>
              </w:sdt>
              <w:p>
                <w:pPr>
                  <w:pStyle w:val="2"/>
                </w:pPr>
              </w:p>
            </w:txbxContent>
          </v:textbox>
        </v:shape>
      </w:pict>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49" o:spid="_x0000_s2049"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3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293A88"/>
    <w:multiLevelType w:val="singleLevel"/>
    <w:tmpl w:val="FE293A88"/>
    <w:lvl w:ilvl="0" w:tentative="0">
      <w:start w:val="3"/>
      <w:numFmt w:val="chineseCounting"/>
      <w:pStyle w:val="358"/>
      <w:suff w:val="nothing"/>
      <w:lvlText w:val="%1、"/>
      <w:lvlJc w:val="left"/>
      <w:rPr>
        <w:rFonts w:hint="eastAsia"/>
      </w:rPr>
    </w:lvl>
  </w:abstractNum>
  <w:abstractNum w:abstractNumId="1">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2">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1E9A421"/>
    <w:multiLevelType w:val="singleLevel"/>
    <w:tmpl w:val="11E9A421"/>
    <w:lvl w:ilvl="0" w:tentative="0">
      <w:start w:val="9"/>
      <w:numFmt w:val="chineseCounting"/>
      <w:suff w:val="nothing"/>
      <w:lvlText w:val="%1、"/>
      <w:lvlJc w:val="left"/>
      <w:rPr>
        <w:rFonts w:hint="eastAsia"/>
      </w:rPr>
    </w:lvl>
  </w:abstractNum>
  <w:abstractNum w:abstractNumId="4">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snapToGrid/>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0784A"/>
    <w:rsid w:val="00005EC9"/>
    <w:rsid w:val="00006D21"/>
    <w:rsid w:val="00016902"/>
    <w:rsid w:val="000274C6"/>
    <w:rsid w:val="00052640"/>
    <w:rsid w:val="00063D15"/>
    <w:rsid w:val="00074928"/>
    <w:rsid w:val="00091C9D"/>
    <w:rsid w:val="000C106E"/>
    <w:rsid w:val="000E7968"/>
    <w:rsid w:val="00115FE6"/>
    <w:rsid w:val="00116BAE"/>
    <w:rsid w:val="001453A1"/>
    <w:rsid w:val="00162D59"/>
    <w:rsid w:val="00186162"/>
    <w:rsid w:val="001C23BF"/>
    <w:rsid w:val="001D6D72"/>
    <w:rsid w:val="002069C8"/>
    <w:rsid w:val="002139EB"/>
    <w:rsid w:val="0022188F"/>
    <w:rsid w:val="00222DFA"/>
    <w:rsid w:val="00230A1A"/>
    <w:rsid w:val="002314A3"/>
    <w:rsid w:val="002504FF"/>
    <w:rsid w:val="002523FD"/>
    <w:rsid w:val="0025312F"/>
    <w:rsid w:val="00255546"/>
    <w:rsid w:val="00286014"/>
    <w:rsid w:val="002B1D56"/>
    <w:rsid w:val="002F262C"/>
    <w:rsid w:val="003102A2"/>
    <w:rsid w:val="00331810"/>
    <w:rsid w:val="00380064"/>
    <w:rsid w:val="00381105"/>
    <w:rsid w:val="00381BB4"/>
    <w:rsid w:val="003958B2"/>
    <w:rsid w:val="0039632C"/>
    <w:rsid w:val="003B1109"/>
    <w:rsid w:val="003D080C"/>
    <w:rsid w:val="003D6204"/>
    <w:rsid w:val="003F46A7"/>
    <w:rsid w:val="004014FD"/>
    <w:rsid w:val="00423B85"/>
    <w:rsid w:val="004263EB"/>
    <w:rsid w:val="00453EE9"/>
    <w:rsid w:val="00473865"/>
    <w:rsid w:val="0048093D"/>
    <w:rsid w:val="00495DBC"/>
    <w:rsid w:val="00495F57"/>
    <w:rsid w:val="004978CA"/>
    <w:rsid w:val="004B3D80"/>
    <w:rsid w:val="004B41B1"/>
    <w:rsid w:val="00504DED"/>
    <w:rsid w:val="00526589"/>
    <w:rsid w:val="00545140"/>
    <w:rsid w:val="0055214F"/>
    <w:rsid w:val="005556A5"/>
    <w:rsid w:val="0056117D"/>
    <w:rsid w:val="0056143E"/>
    <w:rsid w:val="0058754B"/>
    <w:rsid w:val="005C688B"/>
    <w:rsid w:val="005E6BBB"/>
    <w:rsid w:val="00641E72"/>
    <w:rsid w:val="0068504A"/>
    <w:rsid w:val="0068515F"/>
    <w:rsid w:val="00687C87"/>
    <w:rsid w:val="006B6300"/>
    <w:rsid w:val="006D0A13"/>
    <w:rsid w:val="006E025D"/>
    <w:rsid w:val="006F5FAC"/>
    <w:rsid w:val="0070784A"/>
    <w:rsid w:val="00730CC6"/>
    <w:rsid w:val="00740D0D"/>
    <w:rsid w:val="00793ABB"/>
    <w:rsid w:val="0079784E"/>
    <w:rsid w:val="007D0446"/>
    <w:rsid w:val="007F3811"/>
    <w:rsid w:val="00802770"/>
    <w:rsid w:val="0081382B"/>
    <w:rsid w:val="00842E06"/>
    <w:rsid w:val="008511F3"/>
    <w:rsid w:val="008B6242"/>
    <w:rsid w:val="008C7C9F"/>
    <w:rsid w:val="00915948"/>
    <w:rsid w:val="00923E97"/>
    <w:rsid w:val="009A5642"/>
    <w:rsid w:val="009B5270"/>
    <w:rsid w:val="009C10AF"/>
    <w:rsid w:val="009D41D7"/>
    <w:rsid w:val="009D7D4A"/>
    <w:rsid w:val="009E03FD"/>
    <w:rsid w:val="009E2384"/>
    <w:rsid w:val="00A34DC1"/>
    <w:rsid w:val="00A41E73"/>
    <w:rsid w:val="00A618F2"/>
    <w:rsid w:val="00A61CCE"/>
    <w:rsid w:val="00A92B7C"/>
    <w:rsid w:val="00AA1709"/>
    <w:rsid w:val="00AB013C"/>
    <w:rsid w:val="00AD758B"/>
    <w:rsid w:val="00AF11ED"/>
    <w:rsid w:val="00B01BA0"/>
    <w:rsid w:val="00B74689"/>
    <w:rsid w:val="00B82298"/>
    <w:rsid w:val="00B832A9"/>
    <w:rsid w:val="00B92FA2"/>
    <w:rsid w:val="00BE15B5"/>
    <w:rsid w:val="00C0069B"/>
    <w:rsid w:val="00C20479"/>
    <w:rsid w:val="00C21D69"/>
    <w:rsid w:val="00C532E5"/>
    <w:rsid w:val="00C57914"/>
    <w:rsid w:val="00C6008B"/>
    <w:rsid w:val="00C758E3"/>
    <w:rsid w:val="00CB534B"/>
    <w:rsid w:val="00CE51F2"/>
    <w:rsid w:val="00CE631C"/>
    <w:rsid w:val="00CE703D"/>
    <w:rsid w:val="00CF0192"/>
    <w:rsid w:val="00CF040C"/>
    <w:rsid w:val="00D164FE"/>
    <w:rsid w:val="00D31733"/>
    <w:rsid w:val="00D43330"/>
    <w:rsid w:val="00D45708"/>
    <w:rsid w:val="00D6362F"/>
    <w:rsid w:val="00D84A7F"/>
    <w:rsid w:val="00DA51BD"/>
    <w:rsid w:val="00DF363F"/>
    <w:rsid w:val="00E32EEF"/>
    <w:rsid w:val="00E74692"/>
    <w:rsid w:val="00E77817"/>
    <w:rsid w:val="00E944EE"/>
    <w:rsid w:val="00EF6911"/>
    <w:rsid w:val="00F37996"/>
    <w:rsid w:val="00F410E0"/>
    <w:rsid w:val="00F579E9"/>
    <w:rsid w:val="00FA6734"/>
    <w:rsid w:val="00FE3699"/>
    <w:rsid w:val="00FF60BD"/>
    <w:rsid w:val="01375331"/>
    <w:rsid w:val="01403F6F"/>
    <w:rsid w:val="014D6F55"/>
    <w:rsid w:val="01932790"/>
    <w:rsid w:val="01EA6EEC"/>
    <w:rsid w:val="01F95304"/>
    <w:rsid w:val="01FB72A8"/>
    <w:rsid w:val="021B19D1"/>
    <w:rsid w:val="02263AD9"/>
    <w:rsid w:val="024C0DC0"/>
    <w:rsid w:val="02787973"/>
    <w:rsid w:val="02787D91"/>
    <w:rsid w:val="029A1968"/>
    <w:rsid w:val="02AB7973"/>
    <w:rsid w:val="02BF5617"/>
    <w:rsid w:val="02FB4FEB"/>
    <w:rsid w:val="03727DAF"/>
    <w:rsid w:val="03D41287"/>
    <w:rsid w:val="03F31A5E"/>
    <w:rsid w:val="03F91117"/>
    <w:rsid w:val="03FC0CEA"/>
    <w:rsid w:val="04240981"/>
    <w:rsid w:val="042B3AFB"/>
    <w:rsid w:val="04EE0D07"/>
    <w:rsid w:val="054E6891"/>
    <w:rsid w:val="05EB6762"/>
    <w:rsid w:val="05F777CC"/>
    <w:rsid w:val="061842D1"/>
    <w:rsid w:val="067428EB"/>
    <w:rsid w:val="067B6F39"/>
    <w:rsid w:val="06D605B3"/>
    <w:rsid w:val="070C68F7"/>
    <w:rsid w:val="071C6A43"/>
    <w:rsid w:val="072B22BC"/>
    <w:rsid w:val="074C43F1"/>
    <w:rsid w:val="07650D5D"/>
    <w:rsid w:val="07A76048"/>
    <w:rsid w:val="07B16F85"/>
    <w:rsid w:val="08232382"/>
    <w:rsid w:val="082F5114"/>
    <w:rsid w:val="083D23B2"/>
    <w:rsid w:val="086136BB"/>
    <w:rsid w:val="08786792"/>
    <w:rsid w:val="08807627"/>
    <w:rsid w:val="089F6734"/>
    <w:rsid w:val="093252EE"/>
    <w:rsid w:val="09422E59"/>
    <w:rsid w:val="094A4EE7"/>
    <w:rsid w:val="0959407C"/>
    <w:rsid w:val="097D1C20"/>
    <w:rsid w:val="098A3350"/>
    <w:rsid w:val="09A23D38"/>
    <w:rsid w:val="09AB154E"/>
    <w:rsid w:val="09BA117F"/>
    <w:rsid w:val="0A2948BE"/>
    <w:rsid w:val="0A316A36"/>
    <w:rsid w:val="0A451CA7"/>
    <w:rsid w:val="0AE24958"/>
    <w:rsid w:val="0B4432D5"/>
    <w:rsid w:val="0B590F4A"/>
    <w:rsid w:val="0B8511E8"/>
    <w:rsid w:val="0BAA700E"/>
    <w:rsid w:val="0BEB10E2"/>
    <w:rsid w:val="0C1A66D1"/>
    <w:rsid w:val="0C411CD0"/>
    <w:rsid w:val="0C5B1FA9"/>
    <w:rsid w:val="0C8E4136"/>
    <w:rsid w:val="0CA062F8"/>
    <w:rsid w:val="0CED2457"/>
    <w:rsid w:val="0D2C1377"/>
    <w:rsid w:val="0D5C5AB2"/>
    <w:rsid w:val="0D614F04"/>
    <w:rsid w:val="0D6A4C3D"/>
    <w:rsid w:val="0D6B79A8"/>
    <w:rsid w:val="0DCC335E"/>
    <w:rsid w:val="0DF87606"/>
    <w:rsid w:val="0E04554D"/>
    <w:rsid w:val="0E0C0187"/>
    <w:rsid w:val="0E94477A"/>
    <w:rsid w:val="0EBC2000"/>
    <w:rsid w:val="0F143C2E"/>
    <w:rsid w:val="0F340DCE"/>
    <w:rsid w:val="0F3918CC"/>
    <w:rsid w:val="0F397095"/>
    <w:rsid w:val="0FD663C6"/>
    <w:rsid w:val="0FEA3549"/>
    <w:rsid w:val="1008523D"/>
    <w:rsid w:val="10190CBD"/>
    <w:rsid w:val="102D14D1"/>
    <w:rsid w:val="10D355A2"/>
    <w:rsid w:val="11342822"/>
    <w:rsid w:val="1165541F"/>
    <w:rsid w:val="117935E0"/>
    <w:rsid w:val="118640B3"/>
    <w:rsid w:val="121F52D5"/>
    <w:rsid w:val="12321665"/>
    <w:rsid w:val="126C7EC0"/>
    <w:rsid w:val="1277417D"/>
    <w:rsid w:val="12BE7F96"/>
    <w:rsid w:val="12E70400"/>
    <w:rsid w:val="12F745E0"/>
    <w:rsid w:val="12F96D8F"/>
    <w:rsid w:val="1342515B"/>
    <w:rsid w:val="1356443E"/>
    <w:rsid w:val="1360694E"/>
    <w:rsid w:val="136253A7"/>
    <w:rsid w:val="136544CD"/>
    <w:rsid w:val="13A72C3B"/>
    <w:rsid w:val="13A934D3"/>
    <w:rsid w:val="13C0328F"/>
    <w:rsid w:val="13C719E1"/>
    <w:rsid w:val="13DC2553"/>
    <w:rsid w:val="14215CAB"/>
    <w:rsid w:val="149B2B25"/>
    <w:rsid w:val="157939BE"/>
    <w:rsid w:val="15B360ED"/>
    <w:rsid w:val="161C194F"/>
    <w:rsid w:val="167D6633"/>
    <w:rsid w:val="16C7330C"/>
    <w:rsid w:val="16CE41FA"/>
    <w:rsid w:val="16E77616"/>
    <w:rsid w:val="16F862E2"/>
    <w:rsid w:val="176159C8"/>
    <w:rsid w:val="17762075"/>
    <w:rsid w:val="17C50F2C"/>
    <w:rsid w:val="18353457"/>
    <w:rsid w:val="1871686D"/>
    <w:rsid w:val="188542AB"/>
    <w:rsid w:val="1888103C"/>
    <w:rsid w:val="18940F06"/>
    <w:rsid w:val="189E1726"/>
    <w:rsid w:val="18AE213F"/>
    <w:rsid w:val="18EF3A7F"/>
    <w:rsid w:val="19266EAE"/>
    <w:rsid w:val="193E61A9"/>
    <w:rsid w:val="19B175FE"/>
    <w:rsid w:val="19BA2DA6"/>
    <w:rsid w:val="19E17184"/>
    <w:rsid w:val="19FB2C3C"/>
    <w:rsid w:val="1A1B5EE6"/>
    <w:rsid w:val="1A351A94"/>
    <w:rsid w:val="1A3B188F"/>
    <w:rsid w:val="1A4F4961"/>
    <w:rsid w:val="1A527E86"/>
    <w:rsid w:val="1A62471E"/>
    <w:rsid w:val="1A864FC7"/>
    <w:rsid w:val="1A967D50"/>
    <w:rsid w:val="1A970FB3"/>
    <w:rsid w:val="1AAB45F6"/>
    <w:rsid w:val="1AF205C1"/>
    <w:rsid w:val="1B106349"/>
    <w:rsid w:val="1B133EBD"/>
    <w:rsid w:val="1B524AC2"/>
    <w:rsid w:val="1B791B76"/>
    <w:rsid w:val="1BBD3D34"/>
    <w:rsid w:val="1BBE13E9"/>
    <w:rsid w:val="1BC54211"/>
    <w:rsid w:val="1BCC07FF"/>
    <w:rsid w:val="1BED31A7"/>
    <w:rsid w:val="1C2D03AA"/>
    <w:rsid w:val="1CE400B3"/>
    <w:rsid w:val="1D2119DA"/>
    <w:rsid w:val="1D481945"/>
    <w:rsid w:val="1D9F6122"/>
    <w:rsid w:val="1E2B1E83"/>
    <w:rsid w:val="1E453774"/>
    <w:rsid w:val="1E5E5C12"/>
    <w:rsid w:val="1E7277E4"/>
    <w:rsid w:val="1E8D7EC4"/>
    <w:rsid w:val="1EB05FC3"/>
    <w:rsid w:val="1EB57C64"/>
    <w:rsid w:val="1EB75293"/>
    <w:rsid w:val="1EE456C8"/>
    <w:rsid w:val="1EFA23B0"/>
    <w:rsid w:val="1F2F00D5"/>
    <w:rsid w:val="1F375C0D"/>
    <w:rsid w:val="1F3D0CE1"/>
    <w:rsid w:val="1F541C2F"/>
    <w:rsid w:val="1FA7260B"/>
    <w:rsid w:val="1FEE3736"/>
    <w:rsid w:val="2034266D"/>
    <w:rsid w:val="20441BF7"/>
    <w:rsid w:val="20567811"/>
    <w:rsid w:val="207B20B8"/>
    <w:rsid w:val="20AE2C72"/>
    <w:rsid w:val="20C87EE6"/>
    <w:rsid w:val="20DF6696"/>
    <w:rsid w:val="21156537"/>
    <w:rsid w:val="218469C1"/>
    <w:rsid w:val="21FB6487"/>
    <w:rsid w:val="22620C72"/>
    <w:rsid w:val="22754B37"/>
    <w:rsid w:val="22AE5F02"/>
    <w:rsid w:val="22E54FD6"/>
    <w:rsid w:val="24552B00"/>
    <w:rsid w:val="24582CE4"/>
    <w:rsid w:val="246C3202"/>
    <w:rsid w:val="24CD7C86"/>
    <w:rsid w:val="250462EA"/>
    <w:rsid w:val="252D7657"/>
    <w:rsid w:val="25355DF2"/>
    <w:rsid w:val="25390605"/>
    <w:rsid w:val="253A3746"/>
    <w:rsid w:val="25671777"/>
    <w:rsid w:val="256C29A0"/>
    <w:rsid w:val="25752417"/>
    <w:rsid w:val="25933BDB"/>
    <w:rsid w:val="25B66BA8"/>
    <w:rsid w:val="25E70ABF"/>
    <w:rsid w:val="26CF4594"/>
    <w:rsid w:val="271E4DAB"/>
    <w:rsid w:val="274759C4"/>
    <w:rsid w:val="274B7559"/>
    <w:rsid w:val="27944F81"/>
    <w:rsid w:val="28166B73"/>
    <w:rsid w:val="282442D9"/>
    <w:rsid w:val="284367B5"/>
    <w:rsid w:val="285718A5"/>
    <w:rsid w:val="28EB4C69"/>
    <w:rsid w:val="28F865CB"/>
    <w:rsid w:val="29053276"/>
    <w:rsid w:val="29250E1B"/>
    <w:rsid w:val="295A53EB"/>
    <w:rsid w:val="29803AA3"/>
    <w:rsid w:val="29884B07"/>
    <w:rsid w:val="298957C4"/>
    <w:rsid w:val="29DF4E52"/>
    <w:rsid w:val="2A1D6A45"/>
    <w:rsid w:val="2A6F6EBA"/>
    <w:rsid w:val="2A830C79"/>
    <w:rsid w:val="2AD11736"/>
    <w:rsid w:val="2B1029CF"/>
    <w:rsid w:val="2B5F0E77"/>
    <w:rsid w:val="2B7F64C1"/>
    <w:rsid w:val="2BA3212D"/>
    <w:rsid w:val="2BE7007A"/>
    <w:rsid w:val="2BFE408A"/>
    <w:rsid w:val="2C234403"/>
    <w:rsid w:val="2CDF0482"/>
    <w:rsid w:val="2D22640D"/>
    <w:rsid w:val="2D464D5F"/>
    <w:rsid w:val="2D4E5097"/>
    <w:rsid w:val="2D592D22"/>
    <w:rsid w:val="2DFB00B5"/>
    <w:rsid w:val="2E697CA3"/>
    <w:rsid w:val="2E6D4E98"/>
    <w:rsid w:val="2E7931EC"/>
    <w:rsid w:val="2E7B0389"/>
    <w:rsid w:val="2E944745"/>
    <w:rsid w:val="2E9705D3"/>
    <w:rsid w:val="2E9C3022"/>
    <w:rsid w:val="2EBE0475"/>
    <w:rsid w:val="2EC1790D"/>
    <w:rsid w:val="2EE23871"/>
    <w:rsid w:val="2F1D1D68"/>
    <w:rsid w:val="2F2A65B2"/>
    <w:rsid w:val="2F6C2DFA"/>
    <w:rsid w:val="3022617D"/>
    <w:rsid w:val="30464B56"/>
    <w:rsid w:val="30473068"/>
    <w:rsid w:val="307C2C0D"/>
    <w:rsid w:val="30967620"/>
    <w:rsid w:val="30BD1FE5"/>
    <w:rsid w:val="30F36C74"/>
    <w:rsid w:val="30F90CD1"/>
    <w:rsid w:val="30F9318B"/>
    <w:rsid w:val="31272F44"/>
    <w:rsid w:val="31936105"/>
    <w:rsid w:val="31B658D4"/>
    <w:rsid w:val="31F90746"/>
    <w:rsid w:val="32316E69"/>
    <w:rsid w:val="325B404D"/>
    <w:rsid w:val="32887E5F"/>
    <w:rsid w:val="329A50AF"/>
    <w:rsid w:val="329E5AD1"/>
    <w:rsid w:val="32CC51E5"/>
    <w:rsid w:val="32E6051A"/>
    <w:rsid w:val="32F33B15"/>
    <w:rsid w:val="33A718ED"/>
    <w:rsid w:val="33AA3E3F"/>
    <w:rsid w:val="34AC6BE3"/>
    <w:rsid w:val="34EB329F"/>
    <w:rsid w:val="34FE1F7D"/>
    <w:rsid w:val="35270865"/>
    <w:rsid w:val="35C42A65"/>
    <w:rsid w:val="3609516B"/>
    <w:rsid w:val="361B7BDC"/>
    <w:rsid w:val="364221AD"/>
    <w:rsid w:val="36627D01"/>
    <w:rsid w:val="36AC6FD2"/>
    <w:rsid w:val="36AE45FE"/>
    <w:rsid w:val="36D4159F"/>
    <w:rsid w:val="36E67798"/>
    <w:rsid w:val="36FF0DB1"/>
    <w:rsid w:val="37067020"/>
    <w:rsid w:val="372649E2"/>
    <w:rsid w:val="372C59AA"/>
    <w:rsid w:val="373000B7"/>
    <w:rsid w:val="37824D2F"/>
    <w:rsid w:val="37963F54"/>
    <w:rsid w:val="379A6B89"/>
    <w:rsid w:val="37BF2E3D"/>
    <w:rsid w:val="37D107AA"/>
    <w:rsid w:val="37FD7E74"/>
    <w:rsid w:val="38926D93"/>
    <w:rsid w:val="38B04B0E"/>
    <w:rsid w:val="38FD54AF"/>
    <w:rsid w:val="390741E5"/>
    <w:rsid w:val="391F264A"/>
    <w:rsid w:val="39243472"/>
    <w:rsid w:val="392B2144"/>
    <w:rsid w:val="394205BC"/>
    <w:rsid w:val="3997588E"/>
    <w:rsid w:val="39B46D56"/>
    <w:rsid w:val="39C828E7"/>
    <w:rsid w:val="39DD557C"/>
    <w:rsid w:val="39FC4298"/>
    <w:rsid w:val="3A4536A9"/>
    <w:rsid w:val="3A552184"/>
    <w:rsid w:val="3A800711"/>
    <w:rsid w:val="3A810CA0"/>
    <w:rsid w:val="3A96496C"/>
    <w:rsid w:val="3A9F3479"/>
    <w:rsid w:val="3ABC7EEE"/>
    <w:rsid w:val="3AED2009"/>
    <w:rsid w:val="3B1939D0"/>
    <w:rsid w:val="3B581890"/>
    <w:rsid w:val="3BAB26D3"/>
    <w:rsid w:val="3BD009CC"/>
    <w:rsid w:val="3BF45BDB"/>
    <w:rsid w:val="3C2B1FE6"/>
    <w:rsid w:val="3C8779B9"/>
    <w:rsid w:val="3C8B2C2B"/>
    <w:rsid w:val="3C940215"/>
    <w:rsid w:val="3C9F058C"/>
    <w:rsid w:val="3CC97C4F"/>
    <w:rsid w:val="3CCA29EB"/>
    <w:rsid w:val="3CCC5DBF"/>
    <w:rsid w:val="3D497E6A"/>
    <w:rsid w:val="3D634958"/>
    <w:rsid w:val="3D6C6B53"/>
    <w:rsid w:val="3D8C6BB2"/>
    <w:rsid w:val="3D987150"/>
    <w:rsid w:val="3D9E333B"/>
    <w:rsid w:val="3DBC00BF"/>
    <w:rsid w:val="3DCB1A6B"/>
    <w:rsid w:val="3DED30AA"/>
    <w:rsid w:val="3E3102BB"/>
    <w:rsid w:val="3E614AA5"/>
    <w:rsid w:val="3EB02545"/>
    <w:rsid w:val="3EB21D54"/>
    <w:rsid w:val="3F18661A"/>
    <w:rsid w:val="3F5668BB"/>
    <w:rsid w:val="3F7512EA"/>
    <w:rsid w:val="3F9730B9"/>
    <w:rsid w:val="3FBD58AF"/>
    <w:rsid w:val="3FC55901"/>
    <w:rsid w:val="3FC9458D"/>
    <w:rsid w:val="3FD033AD"/>
    <w:rsid w:val="401F021A"/>
    <w:rsid w:val="404148A6"/>
    <w:rsid w:val="40572AB6"/>
    <w:rsid w:val="405D3459"/>
    <w:rsid w:val="4068264C"/>
    <w:rsid w:val="407728FD"/>
    <w:rsid w:val="40CA0DB3"/>
    <w:rsid w:val="40DC5CDB"/>
    <w:rsid w:val="410603FC"/>
    <w:rsid w:val="410D06B8"/>
    <w:rsid w:val="41A274B6"/>
    <w:rsid w:val="41C034AF"/>
    <w:rsid w:val="42311D52"/>
    <w:rsid w:val="424A712C"/>
    <w:rsid w:val="4263268C"/>
    <w:rsid w:val="429F7E60"/>
    <w:rsid w:val="42A66B85"/>
    <w:rsid w:val="42CB2D35"/>
    <w:rsid w:val="42D21256"/>
    <w:rsid w:val="42F759C4"/>
    <w:rsid w:val="43023463"/>
    <w:rsid w:val="434660D0"/>
    <w:rsid w:val="43554BAC"/>
    <w:rsid w:val="435D3A52"/>
    <w:rsid w:val="43A027A3"/>
    <w:rsid w:val="43AA1E91"/>
    <w:rsid w:val="43AF27CC"/>
    <w:rsid w:val="43BA343C"/>
    <w:rsid w:val="43F8127E"/>
    <w:rsid w:val="4428525F"/>
    <w:rsid w:val="444A0170"/>
    <w:rsid w:val="44667276"/>
    <w:rsid w:val="44A37922"/>
    <w:rsid w:val="44B63420"/>
    <w:rsid w:val="44B71DE6"/>
    <w:rsid w:val="44BE70AA"/>
    <w:rsid w:val="44DB6B8D"/>
    <w:rsid w:val="45F8252B"/>
    <w:rsid w:val="46153B79"/>
    <w:rsid w:val="4625595A"/>
    <w:rsid w:val="4655670F"/>
    <w:rsid w:val="46CD6A3D"/>
    <w:rsid w:val="46D23AA8"/>
    <w:rsid w:val="46D446A7"/>
    <w:rsid w:val="47165D61"/>
    <w:rsid w:val="475D1752"/>
    <w:rsid w:val="47767BD4"/>
    <w:rsid w:val="477D0471"/>
    <w:rsid w:val="47FB44E3"/>
    <w:rsid w:val="4804332F"/>
    <w:rsid w:val="488A747A"/>
    <w:rsid w:val="489640A7"/>
    <w:rsid w:val="489E300A"/>
    <w:rsid w:val="4955748F"/>
    <w:rsid w:val="49694B92"/>
    <w:rsid w:val="49737357"/>
    <w:rsid w:val="49E301D3"/>
    <w:rsid w:val="4A0366CF"/>
    <w:rsid w:val="4A256483"/>
    <w:rsid w:val="4A38641F"/>
    <w:rsid w:val="4A800E57"/>
    <w:rsid w:val="4A9F5D83"/>
    <w:rsid w:val="4AB52052"/>
    <w:rsid w:val="4AF859CC"/>
    <w:rsid w:val="4B657DEC"/>
    <w:rsid w:val="4B8152D3"/>
    <w:rsid w:val="4B965649"/>
    <w:rsid w:val="4BBA0F4B"/>
    <w:rsid w:val="4BC03621"/>
    <w:rsid w:val="4BC22F72"/>
    <w:rsid w:val="4BEC1DA9"/>
    <w:rsid w:val="4C454D9D"/>
    <w:rsid w:val="4C6D4FD8"/>
    <w:rsid w:val="4C956109"/>
    <w:rsid w:val="4CBC2827"/>
    <w:rsid w:val="4CC312B6"/>
    <w:rsid w:val="4CDD2221"/>
    <w:rsid w:val="4CEC7C13"/>
    <w:rsid w:val="4D1737DC"/>
    <w:rsid w:val="4D2E5116"/>
    <w:rsid w:val="4D3002F8"/>
    <w:rsid w:val="4D4946C3"/>
    <w:rsid w:val="4D6215E1"/>
    <w:rsid w:val="4D667D39"/>
    <w:rsid w:val="4D6A6CFA"/>
    <w:rsid w:val="4D6F53B7"/>
    <w:rsid w:val="4D8C427F"/>
    <w:rsid w:val="4D9739B2"/>
    <w:rsid w:val="4DB579D1"/>
    <w:rsid w:val="4DBD70EB"/>
    <w:rsid w:val="4E6E459C"/>
    <w:rsid w:val="4E98618A"/>
    <w:rsid w:val="4E9D352C"/>
    <w:rsid w:val="4EB95E17"/>
    <w:rsid w:val="4F6B02B8"/>
    <w:rsid w:val="4FA43165"/>
    <w:rsid w:val="4FB6214D"/>
    <w:rsid w:val="4FFA2095"/>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3EC2A4F"/>
    <w:rsid w:val="5444354A"/>
    <w:rsid w:val="547A6B2A"/>
    <w:rsid w:val="54C51909"/>
    <w:rsid w:val="551D6AF9"/>
    <w:rsid w:val="55A60ADC"/>
    <w:rsid w:val="55D857C5"/>
    <w:rsid w:val="56253A26"/>
    <w:rsid w:val="5638334C"/>
    <w:rsid w:val="56780FF9"/>
    <w:rsid w:val="56870578"/>
    <w:rsid w:val="569241C0"/>
    <w:rsid w:val="56A33B67"/>
    <w:rsid w:val="56A40E03"/>
    <w:rsid w:val="56C45A8D"/>
    <w:rsid w:val="56E20A0E"/>
    <w:rsid w:val="5737516A"/>
    <w:rsid w:val="57431AE0"/>
    <w:rsid w:val="57730A91"/>
    <w:rsid w:val="57A27BD5"/>
    <w:rsid w:val="57C762A2"/>
    <w:rsid w:val="5812512F"/>
    <w:rsid w:val="588C140C"/>
    <w:rsid w:val="58B21650"/>
    <w:rsid w:val="58C00F3E"/>
    <w:rsid w:val="59103E6F"/>
    <w:rsid w:val="59373C72"/>
    <w:rsid w:val="5945207E"/>
    <w:rsid w:val="595B4F2E"/>
    <w:rsid w:val="596D221D"/>
    <w:rsid w:val="59A237B5"/>
    <w:rsid w:val="59A77712"/>
    <w:rsid w:val="59B02759"/>
    <w:rsid w:val="5A72604D"/>
    <w:rsid w:val="5A7F77CE"/>
    <w:rsid w:val="5AA20C09"/>
    <w:rsid w:val="5ABC5F71"/>
    <w:rsid w:val="5AF81EC0"/>
    <w:rsid w:val="5B0E4DAE"/>
    <w:rsid w:val="5B0E6862"/>
    <w:rsid w:val="5B58464F"/>
    <w:rsid w:val="5B8509D1"/>
    <w:rsid w:val="5B90297B"/>
    <w:rsid w:val="5C11606C"/>
    <w:rsid w:val="5C4E0A2D"/>
    <w:rsid w:val="5C524815"/>
    <w:rsid w:val="5C64452B"/>
    <w:rsid w:val="5C7719CE"/>
    <w:rsid w:val="5C8E79BD"/>
    <w:rsid w:val="5D2719C9"/>
    <w:rsid w:val="5D2773E7"/>
    <w:rsid w:val="5D285026"/>
    <w:rsid w:val="5D5C0E3F"/>
    <w:rsid w:val="5D5E619D"/>
    <w:rsid w:val="5D697358"/>
    <w:rsid w:val="5D747A99"/>
    <w:rsid w:val="5D9249ED"/>
    <w:rsid w:val="5DA1646B"/>
    <w:rsid w:val="5DDC5DDB"/>
    <w:rsid w:val="5DF04FFA"/>
    <w:rsid w:val="5E063C72"/>
    <w:rsid w:val="5E19167C"/>
    <w:rsid w:val="5E3C01D4"/>
    <w:rsid w:val="5E6F443D"/>
    <w:rsid w:val="5E70354F"/>
    <w:rsid w:val="5E8C7523"/>
    <w:rsid w:val="5E94632E"/>
    <w:rsid w:val="5E9C2B92"/>
    <w:rsid w:val="5EBB3678"/>
    <w:rsid w:val="5F111534"/>
    <w:rsid w:val="5FBC6FFC"/>
    <w:rsid w:val="5FD91B32"/>
    <w:rsid w:val="5FDE3D1C"/>
    <w:rsid w:val="5FEB36B0"/>
    <w:rsid w:val="600037C3"/>
    <w:rsid w:val="60070235"/>
    <w:rsid w:val="600B76B1"/>
    <w:rsid w:val="60247960"/>
    <w:rsid w:val="60337FBD"/>
    <w:rsid w:val="60557909"/>
    <w:rsid w:val="608B596D"/>
    <w:rsid w:val="608E7CA1"/>
    <w:rsid w:val="60B20DDE"/>
    <w:rsid w:val="60CF6017"/>
    <w:rsid w:val="60EC58A1"/>
    <w:rsid w:val="60F765D6"/>
    <w:rsid w:val="61273959"/>
    <w:rsid w:val="619B0A4D"/>
    <w:rsid w:val="61BC5698"/>
    <w:rsid w:val="61C05E29"/>
    <w:rsid w:val="61E220CA"/>
    <w:rsid w:val="621F3A28"/>
    <w:rsid w:val="623817CD"/>
    <w:rsid w:val="623D310F"/>
    <w:rsid w:val="625671C6"/>
    <w:rsid w:val="626D5F1F"/>
    <w:rsid w:val="628D5A05"/>
    <w:rsid w:val="629635F2"/>
    <w:rsid w:val="62DB156F"/>
    <w:rsid w:val="62E35C5C"/>
    <w:rsid w:val="6308602C"/>
    <w:rsid w:val="63655BF1"/>
    <w:rsid w:val="6381414F"/>
    <w:rsid w:val="639869FA"/>
    <w:rsid w:val="63A6496D"/>
    <w:rsid w:val="63A83FEC"/>
    <w:rsid w:val="63D92053"/>
    <w:rsid w:val="63E37B79"/>
    <w:rsid w:val="63FC1B88"/>
    <w:rsid w:val="64035403"/>
    <w:rsid w:val="642B1E03"/>
    <w:rsid w:val="643644F2"/>
    <w:rsid w:val="644D4301"/>
    <w:rsid w:val="6477289B"/>
    <w:rsid w:val="649176C0"/>
    <w:rsid w:val="64987293"/>
    <w:rsid w:val="649E57C1"/>
    <w:rsid w:val="64A11F98"/>
    <w:rsid w:val="64D179F6"/>
    <w:rsid w:val="64D442AC"/>
    <w:rsid w:val="650401CF"/>
    <w:rsid w:val="65040F88"/>
    <w:rsid w:val="653D52DC"/>
    <w:rsid w:val="655373D5"/>
    <w:rsid w:val="65A300A1"/>
    <w:rsid w:val="65DB5C3D"/>
    <w:rsid w:val="65DC330D"/>
    <w:rsid w:val="66126967"/>
    <w:rsid w:val="66780DEE"/>
    <w:rsid w:val="668E1E21"/>
    <w:rsid w:val="66926F8C"/>
    <w:rsid w:val="66966882"/>
    <w:rsid w:val="669A6533"/>
    <w:rsid w:val="66F269C9"/>
    <w:rsid w:val="67285BDC"/>
    <w:rsid w:val="67C1521F"/>
    <w:rsid w:val="67FB2FC2"/>
    <w:rsid w:val="6838125F"/>
    <w:rsid w:val="684E7153"/>
    <w:rsid w:val="68942469"/>
    <w:rsid w:val="68996F46"/>
    <w:rsid w:val="68A270B1"/>
    <w:rsid w:val="69522C18"/>
    <w:rsid w:val="69A85914"/>
    <w:rsid w:val="69B54893"/>
    <w:rsid w:val="69F0666F"/>
    <w:rsid w:val="69FA018D"/>
    <w:rsid w:val="6A25465E"/>
    <w:rsid w:val="6A572716"/>
    <w:rsid w:val="6A87076D"/>
    <w:rsid w:val="6A9454E3"/>
    <w:rsid w:val="6A945F72"/>
    <w:rsid w:val="6ACF2D0F"/>
    <w:rsid w:val="6AFC23BD"/>
    <w:rsid w:val="6B287CCA"/>
    <w:rsid w:val="6B37191E"/>
    <w:rsid w:val="6BA069ED"/>
    <w:rsid w:val="6BA33D44"/>
    <w:rsid w:val="6C3A4C18"/>
    <w:rsid w:val="6C4068D5"/>
    <w:rsid w:val="6C8568B5"/>
    <w:rsid w:val="6CB00C5D"/>
    <w:rsid w:val="6D0441AB"/>
    <w:rsid w:val="6D481945"/>
    <w:rsid w:val="6D6650F6"/>
    <w:rsid w:val="6D6D32A5"/>
    <w:rsid w:val="6D96704E"/>
    <w:rsid w:val="6EF06A3A"/>
    <w:rsid w:val="6F231086"/>
    <w:rsid w:val="6F2C1077"/>
    <w:rsid w:val="6F4412DE"/>
    <w:rsid w:val="6FB01FF6"/>
    <w:rsid w:val="702D3037"/>
    <w:rsid w:val="70854008"/>
    <w:rsid w:val="70A00296"/>
    <w:rsid w:val="72525910"/>
    <w:rsid w:val="7272141E"/>
    <w:rsid w:val="729A51BF"/>
    <w:rsid w:val="72C31F67"/>
    <w:rsid w:val="730F2443"/>
    <w:rsid w:val="738A19B2"/>
    <w:rsid w:val="73FB1814"/>
    <w:rsid w:val="74460C31"/>
    <w:rsid w:val="745948C9"/>
    <w:rsid w:val="74782083"/>
    <w:rsid w:val="74F00783"/>
    <w:rsid w:val="74F21A8E"/>
    <w:rsid w:val="75092D2E"/>
    <w:rsid w:val="751F35C6"/>
    <w:rsid w:val="752673FA"/>
    <w:rsid w:val="75445278"/>
    <w:rsid w:val="756D2420"/>
    <w:rsid w:val="75D33B60"/>
    <w:rsid w:val="75EB0030"/>
    <w:rsid w:val="767A1884"/>
    <w:rsid w:val="7681376B"/>
    <w:rsid w:val="771405C6"/>
    <w:rsid w:val="77186802"/>
    <w:rsid w:val="77244002"/>
    <w:rsid w:val="7759121E"/>
    <w:rsid w:val="778C19C1"/>
    <w:rsid w:val="77DE7388"/>
    <w:rsid w:val="78123276"/>
    <w:rsid w:val="781B6350"/>
    <w:rsid w:val="78661D77"/>
    <w:rsid w:val="787542C9"/>
    <w:rsid w:val="787C4A52"/>
    <w:rsid w:val="787D1A38"/>
    <w:rsid w:val="78833D88"/>
    <w:rsid w:val="78C70562"/>
    <w:rsid w:val="792279DB"/>
    <w:rsid w:val="797C1AA1"/>
    <w:rsid w:val="7A934CC7"/>
    <w:rsid w:val="7AB93CAD"/>
    <w:rsid w:val="7ADD5745"/>
    <w:rsid w:val="7AFB7263"/>
    <w:rsid w:val="7B062FF2"/>
    <w:rsid w:val="7B4771D3"/>
    <w:rsid w:val="7B4969DA"/>
    <w:rsid w:val="7B4B57FE"/>
    <w:rsid w:val="7BBA7BC4"/>
    <w:rsid w:val="7BF444AB"/>
    <w:rsid w:val="7BFE0356"/>
    <w:rsid w:val="7C050FEE"/>
    <w:rsid w:val="7C1F696C"/>
    <w:rsid w:val="7C241FA4"/>
    <w:rsid w:val="7C2F7F24"/>
    <w:rsid w:val="7C4F6127"/>
    <w:rsid w:val="7C557027"/>
    <w:rsid w:val="7C774202"/>
    <w:rsid w:val="7CF32D47"/>
    <w:rsid w:val="7CF47DC4"/>
    <w:rsid w:val="7D2D7E4F"/>
    <w:rsid w:val="7D3D1C6F"/>
    <w:rsid w:val="7D7D2444"/>
    <w:rsid w:val="7DC17AA5"/>
    <w:rsid w:val="7E3F400C"/>
    <w:rsid w:val="7E3F5C67"/>
    <w:rsid w:val="7E485A8B"/>
    <w:rsid w:val="7E710432"/>
    <w:rsid w:val="7E784FFE"/>
    <w:rsid w:val="7F0D36A8"/>
    <w:rsid w:val="7F0D6F9B"/>
    <w:rsid w:val="7F267E5E"/>
    <w:rsid w:val="7F511034"/>
    <w:rsid w:val="7FB12B06"/>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jc w:val="center"/>
      <w:outlineLvl w:val="0"/>
    </w:pPr>
    <w:rPr>
      <w:b/>
      <w:bCs/>
      <w:kern w:val="0"/>
      <w:sz w:val="24"/>
      <w:szCs w:val="20"/>
    </w:rPr>
  </w:style>
  <w:style w:type="paragraph" w:styleId="4">
    <w:name w:val="heading 2"/>
    <w:basedOn w:val="1"/>
    <w:next w:val="1"/>
    <w:link w:val="64"/>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3"/>
    <w:qFormat/>
    <w:uiPriority w:val="99"/>
    <w:pPr>
      <w:widowControl/>
      <w:ind w:firstLine="420"/>
      <w:jc w:val="left"/>
    </w:pPr>
    <w:rPr>
      <w:kern w:val="0"/>
      <w:sz w:val="20"/>
      <w:szCs w:val="20"/>
    </w:rPr>
  </w:style>
  <w:style w:type="paragraph" w:styleId="14">
    <w:name w:val="Document Map"/>
    <w:basedOn w:val="1"/>
    <w:link w:val="127"/>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09"/>
    <w:unhideWhenUsed/>
    <w:qFormat/>
    <w:uiPriority w:val="99"/>
    <w:pPr>
      <w:jc w:val="left"/>
    </w:pPr>
  </w:style>
  <w:style w:type="paragraph" w:styleId="17">
    <w:name w:val="Salutation"/>
    <w:basedOn w:val="1"/>
    <w:next w:val="1"/>
    <w:link w:val="114"/>
    <w:qFormat/>
    <w:uiPriority w:val="0"/>
    <w:rPr>
      <w:rFonts w:ascii="仿宋_GB2312" w:eastAsia="仿宋_GB2312"/>
      <w:sz w:val="24"/>
    </w:rPr>
  </w:style>
  <w:style w:type="paragraph" w:styleId="18">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7"/>
    <w:qFormat/>
    <w:uiPriority w:val="99"/>
    <w:pPr>
      <w:spacing w:after="120"/>
    </w:pPr>
  </w:style>
  <w:style w:type="paragraph" w:styleId="20">
    <w:name w:val="Body Text Indent"/>
    <w:basedOn w:val="1"/>
    <w:link w:val="97"/>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6"/>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39"/>
    <w:qFormat/>
    <w:uiPriority w:val="0"/>
    <w:rPr>
      <w:rFonts w:ascii="Calibri" w:hAnsi="Calibri" w:cs="黑体"/>
      <w:sz w:val="24"/>
      <w:szCs w:val="22"/>
    </w:rPr>
  </w:style>
  <w:style w:type="paragraph" w:styleId="28">
    <w:name w:val="Body Text Indent 2"/>
    <w:basedOn w:val="1"/>
    <w:link w:val="101"/>
    <w:qFormat/>
    <w:uiPriority w:val="0"/>
    <w:pPr>
      <w:spacing w:after="120" w:line="480" w:lineRule="auto"/>
      <w:ind w:left="420" w:leftChars="200"/>
    </w:pPr>
  </w:style>
  <w:style w:type="paragraph" w:styleId="29">
    <w:name w:val="Balloon Text"/>
    <w:basedOn w:val="1"/>
    <w:link w:val="96"/>
    <w:qFormat/>
    <w:uiPriority w:val="0"/>
    <w:rPr>
      <w:rFonts w:ascii="Calibri" w:hAnsi="Calibri" w:cs="黑体"/>
      <w:sz w:val="18"/>
      <w:szCs w:val="18"/>
    </w:rPr>
  </w:style>
  <w:style w:type="paragraph" w:styleId="30">
    <w:name w:val="footer"/>
    <w:basedOn w:val="1"/>
    <w:link w:val="62"/>
    <w:unhideWhenUsed/>
    <w:qFormat/>
    <w:uiPriority w:val="0"/>
    <w:pPr>
      <w:tabs>
        <w:tab w:val="center" w:pos="4153"/>
        <w:tab w:val="right" w:pos="8306"/>
      </w:tabs>
      <w:snapToGrid w:val="0"/>
      <w:jc w:val="left"/>
    </w:pPr>
    <w:rPr>
      <w:sz w:val="18"/>
      <w:szCs w:val="18"/>
    </w:rPr>
  </w:style>
  <w:style w:type="paragraph" w:styleId="31">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5"/>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4"/>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2"/>
    <w:qFormat/>
    <w:uiPriority w:val="0"/>
    <w:pPr>
      <w:spacing w:after="120" w:line="480" w:lineRule="auto"/>
    </w:pPr>
  </w:style>
  <w:style w:type="paragraph" w:styleId="4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0"/>
    <w:qFormat/>
    <w:uiPriority w:val="0"/>
    <w:pPr>
      <w:spacing w:before="240" w:after="60"/>
      <w:jc w:val="center"/>
      <w:outlineLvl w:val="0"/>
    </w:pPr>
    <w:rPr>
      <w:rFonts w:ascii="Cambria" w:hAnsi="Cambria"/>
      <w:b/>
      <w:sz w:val="32"/>
    </w:rPr>
  </w:style>
  <w:style w:type="paragraph" w:styleId="44">
    <w:name w:val="annotation subject"/>
    <w:basedOn w:val="16"/>
    <w:next w:val="16"/>
    <w:link w:val="86"/>
    <w:qFormat/>
    <w:uiPriority w:val="0"/>
    <w:rPr>
      <w:rFonts w:ascii="Calibri" w:hAnsi="Calibri" w:cs="黑体"/>
      <w:b/>
      <w:bCs/>
    </w:rPr>
  </w:style>
  <w:style w:type="paragraph" w:styleId="45">
    <w:name w:val="Body Text First Indent"/>
    <w:basedOn w:val="19"/>
    <w:link w:val="175"/>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Char"/>
    <w:basedOn w:val="48"/>
    <w:link w:val="31"/>
    <w:qFormat/>
    <w:uiPriority w:val="0"/>
    <w:rPr>
      <w:sz w:val="18"/>
      <w:szCs w:val="18"/>
    </w:rPr>
  </w:style>
  <w:style w:type="character" w:customStyle="1" w:styleId="62">
    <w:name w:val="页脚 Char"/>
    <w:basedOn w:val="48"/>
    <w:link w:val="30"/>
    <w:qFormat/>
    <w:uiPriority w:val="0"/>
    <w:rPr>
      <w:sz w:val="18"/>
      <w:szCs w:val="18"/>
    </w:rPr>
  </w:style>
  <w:style w:type="character" w:customStyle="1" w:styleId="63">
    <w:name w:val="标题 1 Char1"/>
    <w:basedOn w:val="48"/>
    <w:link w:val="3"/>
    <w:qFormat/>
    <w:uiPriority w:val="0"/>
    <w:rPr>
      <w:rFonts w:ascii="Times New Roman" w:hAnsi="Times New Roman" w:eastAsia="宋体" w:cs="Times New Roman"/>
      <w:b/>
      <w:bCs/>
      <w:kern w:val="0"/>
      <w:sz w:val="24"/>
      <w:szCs w:val="20"/>
    </w:rPr>
  </w:style>
  <w:style w:type="character" w:customStyle="1" w:styleId="64">
    <w:name w:val="标题 2 Char1"/>
    <w:basedOn w:val="48"/>
    <w:link w:val="4"/>
    <w:qFormat/>
    <w:uiPriority w:val="0"/>
    <w:rPr>
      <w:rFonts w:ascii="Arial" w:hAnsi="Arial" w:eastAsia="宋体" w:cs="Times New Roman"/>
      <w:b/>
      <w:bCs/>
      <w:kern w:val="0"/>
      <w:sz w:val="24"/>
      <w:szCs w:val="32"/>
    </w:rPr>
  </w:style>
  <w:style w:type="character" w:customStyle="1" w:styleId="65">
    <w:name w:val="标题 3 Char1"/>
    <w:basedOn w:val="48"/>
    <w:link w:val="5"/>
    <w:qFormat/>
    <w:uiPriority w:val="0"/>
    <w:rPr>
      <w:rFonts w:ascii="Times New Roman" w:hAnsi="Times New Roman" w:eastAsia="宋体" w:cs="Times New Roman"/>
      <w:b/>
      <w:bCs/>
      <w:kern w:val="0"/>
      <w:sz w:val="32"/>
      <w:szCs w:val="32"/>
    </w:rPr>
  </w:style>
  <w:style w:type="character" w:customStyle="1" w:styleId="66">
    <w:name w:val="标题 4 Char1"/>
    <w:basedOn w:val="48"/>
    <w:link w:val="6"/>
    <w:qFormat/>
    <w:uiPriority w:val="0"/>
    <w:rPr>
      <w:rFonts w:ascii="Arial" w:hAnsi="Arial" w:eastAsia="黑体" w:cs="Times New Roman"/>
      <w:b/>
      <w:bCs/>
      <w:kern w:val="0"/>
      <w:sz w:val="28"/>
      <w:szCs w:val="28"/>
    </w:rPr>
  </w:style>
  <w:style w:type="character" w:customStyle="1" w:styleId="67">
    <w:name w:val="标题 5 Char1"/>
    <w:basedOn w:val="48"/>
    <w:link w:val="7"/>
    <w:qFormat/>
    <w:uiPriority w:val="0"/>
    <w:rPr>
      <w:rFonts w:ascii="Times New Roman" w:hAnsi="Times New Roman" w:eastAsia="宋体" w:cs="Times New Roman"/>
      <w:b/>
      <w:bCs/>
      <w:kern w:val="0"/>
      <w:sz w:val="28"/>
      <w:szCs w:val="28"/>
    </w:rPr>
  </w:style>
  <w:style w:type="character" w:customStyle="1" w:styleId="68">
    <w:name w:val="标题 6 Char1"/>
    <w:basedOn w:val="48"/>
    <w:link w:val="8"/>
    <w:qFormat/>
    <w:uiPriority w:val="0"/>
    <w:rPr>
      <w:rFonts w:ascii="Arial" w:hAnsi="Arial" w:eastAsia="黑体" w:cs="Times New Roman"/>
      <w:b/>
      <w:bCs/>
      <w:kern w:val="0"/>
      <w:sz w:val="24"/>
      <w:szCs w:val="24"/>
    </w:rPr>
  </w:style>
  <w:style w:type="character" w:customStyle="1" w:styleId="69">
    <w:name w:val="标题 7 Char1"/>
    <w:basedOn w:val="48"/>
    <w:link w:val="9"/>
    <w:qFormat/>
    <w:uiPriority w:val="0"/>
    <w:rPr>
      <w:rFonts w:ascii="Times New Roman" w:hAnsi="Times New Roman" w:eastAsia="宋体" w:cs="Times New Roman"/>
      <w:b/>
      <w:bCs/>
      <w:kern w:val="0"/>
      <w:sz w:val="24"/>
      <w:szCs w:val="24"/>
    </w:rPr>
  </w:style>
  <w:style w:type="character" w:customStyle="1" w:styleId="70">
    <w:name w:val="标题 8 Char1"/>
    <w:basedOn w:val="48"/>
    <w:link w:val="10"/>
    <w:qFormat/>
    <w:uiPriority w:val="0"/>
    <w:rPr>
      <w:rFonts w:ascii="Arial" w:hAnsi="Arial" w:eastAsia="黑体" w:cs="Times New Roman"/>
      <w:kern w:val="0"/>
      <w:sz w:val="24"/>
      <w:szCs w:val="24"/>
    </w:rPr>
  </w:style>
  <w:style w:type="character" w:customStyle="1" w:styleId="71">
    <w:name w:val="标题 9 Char1"/>
    <w:basedOn w:val="48"/>
    <w:link w:val="11"/>
    <w:qFormat/>
    <w:uiPriority w:val="0"/>
    <w:rPr>
      <w:rFonts w:ascii="Arial" w:hAnsi="Arial" w:eastAsia="黑体" w:cs="Times New Roman"/>
      <w:kern w:val="0"/>
      <w:sz w:val="20"/>
      <w:szCs w:val="21"/>
    </w:rPr>
  </w:style>
  <w:style w:type="character" w:customStyle="1" w:styleId="72">
    <w:name w:val="正文文本 2 Char"/>
    <w:basedOn w:val="48"/>
    <w:link w:val="39"/>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Char1"/>
    <w:link w:val="44"/>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Char1"/>
    <w:link w:val="29"/>
    <w:qFormat/>
    <w:locked/>
    <w:uiPriority w:val="0"/>
    <w:rPr>
      <w:rFonts w:ascii="Calibri" w:hAnsi="Calibri" w:eastAsia="宋体" w:cs="黑体"/>
      <w:sz w:val="18"/>
      <w:szCs w:val="18"/>
    </w:rPr>
  </w:style>
  <w:style w:type="character" w:customStyle="1" w:styleId="97">
    <w:name w:val="正文文本缩进 Char"/>
    <w:basedOn w:val="48"/>
    <w:link w:val="20"/>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Char2"/>
    <w:basedOn w:val="48"/>
    <w:link w:val="43"/>
    <w:qFormat/>
    <w:uiPriority w:val="0"/>
    <w:rPr>
      <w:rFonts w:ascii="Cambria" w:hAnsi="Cambria" w:eastAsia="宋体" w:cs="Times New Roman"/>
      <w:b/>
      <w:sz w:val="32"/>
      <w:szCs w:val="24"/>
    </w:rPr>
  </w:style>
  <w:style w:type="character" w:customStyle="1" w:styleId="101">
    <w:name w:val="正文文本缩进 2 Char"/>
    <w:basedOn w:val="48"/>
    <w:link w:val="28"/>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Char2"/>
    <w:basedOn w:val="48"/>
    <w:link w:val="25"/>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Char"/>
    <w:basedOn w:val="48"/>
    <w:link w:val="16"/>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Char"/>
    <w:basedOn w:val="48"/>
    <w:link w:val="40"/>
    <w:qFormat/>
    <w:uiPriority w:val="0"/>
    <w:rPr>
      <w:rFonts w:ascii="Arial" w:hAnsi="Arial" w:eastAsia="宋体" w:cs="Arial"/>
      <w:kern w:val="0"/>
      <w:sz w:val="24"/>
      <w:szCs w:val="24"/>
    </w:rPr>
  </w:style>
  <w:style w:type="character" w:customStyle="1" w:styleId="114">
    <w:name w:val="称呼 Char"/>
    <w:basedOn w:val="48"/>
    <w:link w:val="17"/>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Char"/>
    <w:basedOn w:val="48"/>
    <w:link w:val="19"/>
    <w:qFormat/>
    <w:uiPriority w:val="99"/>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0"/>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Char1"/>
    <w:link w:val="36"/>
    <w:qFormat/>
    <w:uiPriority w:val="0"/>
    <w:rPr>
      <w:rFonts w:ascii="Calibri" w:hAnsi="Calibri" w:eastAsia="宋体" w:cs="黑体"/>
      <w:sz w:val="16"/>
      <w:szCs w:val="16"/>
    </w:rPr>
  </w:style>
  <w:style w:type="character" w:customStyle="1" w:styleId="125">
    <w:name w:val="副标题 Char"/>
    <w:basedOn w:val="48"/>
    <w:link w:val="34"/>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Char"/>
    <w:basedOn w:val="48"/>
    <w:link w:val="14"/>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Char1"/>
    <w:link w:val="27"/>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Char"/>
    <w:basedOn w:val="48"/>
    <w:link w:val="18"/>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首行缩进 Char"/>
    <w:basedOn w:val="172"/>
    <w:link w:val="45"/>
    <w:qFormat/>
    <w:uiPriority w:val="0"/>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19"/>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99"/>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4"/>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3"/>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3"/>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3"/>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Char"/>
    <w:link w:val="13"/>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Char"/>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4"/>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3"/>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6"/>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4"/>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4"/>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0" textRotate="1"/>
    <customShpInfo spid="_x0000_s2051" textRotate="1"/>
    <customShpInfo spid="_x0000_s2052" textRotate="1"/>
    <customShpInfo spid="_x0000_s2053" textRotate="1"/>
    <customShpInfo spid="_x0000_s2049" textRotate="1"/>
    <customShpInfo spid="_x0000_s1046"/>
    <customShpInfo spid="_x0000_s1048"/>
    <customShpInfo spid="_x0000_s1049"/>
    <customShpInfo spid="_x0000_s1051"/>
    <customShpInfo spid="_x0000_s1052"/>
    <customShpInfo spid="_x0000_s1053"/>
    <customShpInfo spid="_x0000_s1050"/>
    <customShpInfo spid="_x0000_s1047"/>
    <customShpInfo spid="_x0000_s1045"/>
    <customShpInfo spid="_x0000_s1054"/>
    <customShpInfo spid="_x0000_s1044"/>
    <customShpInfo spid="_x0000_s1026"/>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826FB6-06FC-427B-9A58-F9CDCD57E2E4}">
  <ds:schemaRefs/>
</ds:datastoreItem>
</file>

<file path=docProps/app.xml><?xml version="1.0" encoding="utf-8"?>
<Properties xmlns="http://schemas.openxmlformats.org/officeDocument/2006/extended-properties" xmlns:vt="http://schemas.openxmlformats.org/officeDocument/2006/docPropsVTypes">
  <Template>Normal</Template>
  <Pages>37</Pages>
  <Words>2982</Words>
  <Characters>17000</Characters>
  <Lines>141</Lines>
  <Paragraphs>39</Paragraphs>
  <TotalTime>4</TotalTime>
  <ScaleCrop>false</ScaleCrop>
  <LinksUpToDate>false</LinksUpToDate>
  <CharactersWithSpaces>19943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2019-09-03T02:10:00Z</dcterms:created>
  <dc:creator>李 毅</dc:creator>
  <cp:lastModifiedBy>彭光静</cp:lastModifiedBy>
  <cp:lastPrinted>2019-09-10T07:16:00Z</cp:lastPrinted>
  <dcterms:modified xsi:type="dcterms:W3CDTF">2019-10-12T01:27:29Z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