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left"/>
        <w:rPr>
          <w:rFonts w:hint="default" w:ascii="仿宋_GB2312" w:hAnsi="仿宋" w:eastAsia="仿宋_GB2312" w:cs="仿宋"/>
          <w:szCs w:val="28"/>
        </w:rPr>
      </w:pPr>
      <w:bookmarkStart w:id="0" w:name="_Toc3034"/>
      <w:bookmarkStart w:id="1" w:name="_Toc460422413"/>
      <w:bookmarkStart w:id="2" w:name="_Toc26360"/>
      <w:bookmarkStart w:id="3" w:name="_Toc464727448"/>
      <w:r>
        <w:rPr>
          <w:rFonts w:ascii="仿宋_GB2312" w:hAnsi="仿宋" w:eastAsia="仿宋_GB2312" w:cs="仿宋"/>
          <w:szCs w:val="28"/>
        </w:rPr>
        <w:t>需求清单</w:t>
      </w:r>
      <w:bookmarkEnd w:id="0"/>
      <w:bookmarkEnd w:id="1"/>
      <w:bookmarkEnd w:id="2"/>
      <w:bookmarkEnd w:id="3"/>
    </w:p>
    <w:p>
      <w:pPr>
        <w:spacing w:line="360" w:lineRule="auto"/>
        <w:jc w:val="both"/>
        <w:outlineLvl w:val="2"/>
        <w:rPr>
          <w:rFonts w:hint="default" w:ascii="仿宋_GB2312" w:hAnsi="仿宋" w:eastAsia="仿宋_GB2312"/>
          <w:snapToGrid w:val="0"/>
          <w:kern w:val="0"/>
          <w:sz w:val="24"/>
          <w:szCs w:val="24"/>
        </w:rPr>
      </w:pPr>
      <w:bookmarkStart w:id="4" w:name="_Toc464485163"/>
      <w:r>
        <w:rPr>
          <w:rFonts w:hint="eastAsia" w:ascii="仿宋_GB2312" w:hAnsi="仿宋" w:eastAsia="仿宋_GB2312"/>
          <w:snapToGrid w:val="0"/>
          <w:kern w:val="0"/>
          <w:sz w:val="24"/>
          <w:szCs w:val="24"/>
          <w:lang w:val="en-US" w:eastAsia="zh-CN"/>
        </w:rPr>
        <w:t>1</w:t>
      </w:r>
      <w:r>
        <w:rPr>
          <w:rFonts w:ascii="仿宋_GB2312" w:hAnsi="仿宋" w:eastAsia="仿宋_GB2312"/>
          <w:snapToGrid w:val="0"/>
          <w:kern w:val="0"/>
          <w:sz w:val="24"/>
          <w:szCs w:val="24"/>
        </w:rPr>
        <w:t>号线</w:t>
      </w:r>
      <w:bookmarkEnd w:id="4"/>
      <w:r>
        <w:rPr>
          <w:rFonts w:ascii="仿宋_GB2312" w:hAnsi="仿宋" w:eastAsia="仿宋_GB2312"/>
          <w:snapToGrid w:val="0"/>
          <w:kern w:val="0"/>
          <w:sz w:val="24"/>
          <w:szCs w:val="24"/>
        </w:rPr>
        <w:t>需求清单</w:t>
      </w:r>
    </w:p>
    <w:tbl>
      <w:tblPr>
        <w:tblStyle w:val="3"/>
        <w:tblW w:w="1020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"/>
        <w:gridCol w:w="2535"/>
        <w:gridCol w:w="3360"/>
        <w:gridCol w:w="1050"/>
        <w:gridCol w:w="735"/>
        <w:gridCol w:w="85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物资名称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数显钟控制板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DSR08MB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烟台持久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数显钟时间板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DSR05XD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烟台持久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数显钟星期板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DSR08XW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烟台持久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数显子钟开关电源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DSR08P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烟台持久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数显子钟钟壳（含附件）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1800x700mm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烟台持久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*为与现有设备配套使用，此项需求须原厂原配产品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注：表格中所列型号及规格为最低要求。如部分产品已停产升级，请出示相关证明材料。</w:t>
      </w:r>
    </w:p>
    <w:p>
      <w:pPr>
        <w:spacing w:line="360" w:lineRule="auto"/>
        <w:jc w:val="both"/>
        <w:rPr>
          <w:rFonts w:ascii="仿宋_GB2312" w:hAnsi="仿宋" w:eastAsia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" w:eastAsia="仿宋_GB2312"/>
          <w:snapToGrid w:val="0"/>
          <w:kern w:val="0"/>
          <w:sz w:val="24"/>
          <w:szCs w:val="24"/>
          <w:lang w:val="en-US" w:eastAsia="zh-CN"/>
        </w:rPr>
        <w:t>2</w:t>
      </w:r>
      <w:r>
        <w:rPr>
          <w:rFonts w:ascii="仿宋_GB2312" w:hAnsi="仿宋" w:eastAsia="仿宋_GB2312"/>
          <w:snapToGrid w:val="0"/>
          <w:kern w:val="0"/>
          <w:sz w:val="24"/>
          <w:szCs w:val="24"/>
        </w:rPr>
        <w:t>号线需求清单</w:t>
      </w:r>
    </w:p>
    <w:tbl>
      <w:tblPr>
        <w:tblStyle w:val="3"/>
        <w:tblW w:w="1017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5"/>
        <w:gridCol w:w="2490"/>
        <w:gridCol w:w="3315"/>
        <w:gridCol w:w="1105"/>
        <w:gridCol w:w="765"/>
        <w:gridCol w:w="890"/>
        <w:gridCol w:w="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站台LCD显示屏（42＂)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BDL4270EL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飞利浦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送受话器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HMN3596A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MOTOROLA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无线手持台写频线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MTP3150手持机编程线，MOTOROLA，PMKN4129，适用于MTP3150手持台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MOTOROLA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固定台写频线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HKN6184C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MOTOROLA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手持台MTP850写频线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PMKN4026</w:t>
            </w:r>
            <w:bookmarkStart w:id="5" w:name="_GoBack"/>
            <w:bookmarkEnd w:id="5"/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MOTOROLA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台式麦克风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GMDN2217AB，须跟B1909调度台配套使用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车载通信控制器主机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FH-MV-CCM-01为设备型号，须包含安装软件：FHCCS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烽火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网络延长器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NP8205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2DT中继板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ISDN 30B+D PRI 中继接口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昆明塔迪兰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站厅LCD显示屏（55"）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BDL5570EL（55寸屏）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飞利浦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时钟子钟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CJ-SR2.3/03-3D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烟台持久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ZXM S385V2.4&amp;3.0后安装子架整件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S385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中兴通讯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解码器框架</w:t>
            </w:r>
          </w:p>
        </w:tc>
        <w:tc>
          <w:tcPr>
            <w:tcW w:w="3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长48.5cm，高31cm，上宽24.5cm，槽宽15.5cm、槽长4cm，材质：铝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"C:\\DOCUME~1\\user\\LOCALS~1\\Temp\\ksohtml\\clip_image2.png"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609600" cy="876300"/>
                  <wp:effectExtent l="0" t="0" r="0" b="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*为与现有设备配套使用，此项需求须原厂原配产品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注：表格中所列型号及规格为最低要求。如部分产品已停产升级，请出示相关证明材料。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Sans 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libaricon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ightIcon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ck_ico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uggest_icon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efly-dpl-ico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ck-icon_back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 SC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Sun-Identity-H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E54C7"/>
    <w:rsid w:val="187503C7"/>
    <w:rsid w:val="214E5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1"/>
    <w:basedOn w:val="1"/>
    <w:next w:val="5"/>
    <w:qFormat/>
    <w:uiPriority w:val="0"/>
    <w:pPr>
      <w:spacing w:before="240" w:line="300" w:lineRule="auto"/>
      <w:outlineLvl w:val="1"/>
    </w:pPr>
    <w:rPr>
      <w:rFonts w:ascii="宋体" w:hAnsi="宋体"/>
      <w:b/>
      <w:snapToGrid w:val="0"/>
      <w:kern w:val="0"/>
      <w:sz w:val="28"/>
    </w:rPr>
  </w:style>
  <w:style w:type="paragraph" w:customStyle="1" w:styleId="5">
    <w:name w:val="正文缩进1"/>
    <w:basedOn w:val="1"/>
    <w:qFormat/>
    <w:uiPriority w:val="0"/>
    <w:pPr>
      <w:tabs>
        <w:tab w:val="left" w:pos="720"/>
      </w:tabs>
      <w:ind w:left="624" w:hanging="624"/>
      <w:textAlignment w:val="baseline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2017-07-19T02:06:00Z</dcterms:created>
  <dc:creator>黄梦泽</dc:creator>
  <cp:lastModifiedBy>黄梦泽</cp:lastModifiedBy>
  <dcterms:modified xsi:type="dcterms:W3CDTF">2017-08-09T02:12:07Z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