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Lines="100" w:line="360" w:lineRule="auto"/>
        <w:jc w:val="left"/>
        <w:rPr>
          <w:rFonts w:ascii="仿宋_GB2312" w:hAnsi="仿宋" w:eastAsia="仿宋_GB2312" w:cs="仿宋"/>
          <w:szCs w:val="28"/>
        </w:rPr>
      </w:pPr>
      <w:bookmarkStart w:id="0" w:name="_Toc465691966"/>
      <w:bookmarkStart w:id="1" w:name="_Toc28111"/>
      <w:bookmarkStart w:id="2" w:name="_Toc26241"/>
      <w:bookmarkStart w:id="3" w:name="_Toc460422413"/>
      <w:bookmarkStart w:id="4" w:name="_Toc465341619"/>
      <w:bookmarkStart w:id="5" w:name="_Toc486320215"/>
      <w:bookmarkStart w:id="6" w:name="_Toc465691850"/>
      <w:bookmarkStart w:id="7" w:name="_Toc465692531"/>
      <w:bookmarkStart w:id="8" w:name="_Toc26360"/>
      <w:bookmarkStart w:id="9" w:name="_Toc12663"/>
      <w:bookmarkStart w:id="10" w:name="_Toc465692291"/>
      <w:r>
        <w:rPr>
          <w:rFonts w:hint="eastAsia" w:ascii="仿宋_GB2312" w:hAnsi="仿宋" w:eastAsia="仿宋_GB2312" w:cs="仿宋"/>
          <w:sz w:val="28"/>
          <w:szCs w:val="28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60" w:lineRule="auto"/>
        <w:jc w:val="left"/>
        <w:outlineLvl w:val="1"/>
        <w:rPr>
          <w:rFonts w:hint="default" w:ascii="仿宋_GB2312" w:hAnsi="仿宋" w:eastAsia="仿宋_GB2312" w:cs="仿宋"/>
          <w:b/>
          <w:sz w:val="24"/>
          <w:szCs w:val="24"/>
        </w:rPr>
      </w:pPr>
      <w:bookmarkStart w:id="11" w:name="_Toc486320217"/>
      <w:r>
        <w:rPr>
          <w:rFonts w:ascii="仿宋_GB2312" w:hAnsi="仿宋" w:eastAsia="仿宋_GB2312" w:cs="仿宋"/>
          <w:b/>
          <w:sz w:val="24"/>
          <w:szCs w:val="24"/>
        </w:rPr>
        <w:t>1号线需求清单</w:t>
      </w:r>
      <w:bookmarkEnd w:id="11"/>
      <w:bookmarkStart w:id="13" w:name="_GoBack"/>
      <w:bookmarkEnd w:id="13"/>
    </w:p>
    <w:tbl>
      <w:tblPr>
        <w:tblStyle w:val="3"/>
        <w:tblW w:w="9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281"/>
        <w:gridCol w:w="2601"/>
        <w:gridCol w:w="1325"/>
        <w:gridCol w:w="875"/>
        <w:gridCol w:w="1050"/>
        <w:gridCol w:w="1603"/>
      </w:tblGrid>
      <w:tr>
        <w:tblPrEx>
          <w:tblLayout w:type="fixed"/>
        </w:tblPrEx>
        <w:trPr>
          <w:trHeight w:val="423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物资型号/规格/材质/技术参数等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</w:tblPrEx>
        <w:trPr>
          <w:trHeight w:val="47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紧急解锁盖板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YT01 PMMA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株洲壹星、亚太、IFE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消防锤面板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117*227mm，突出部分4mm（有机玻璃）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株洲壹星、亚太、中车株机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hint="default" w:ascii="仿宋_GB2312" w:hAnsi="仿宋" w:eastAsia="仿宋_GB2312" w:cs="仿宋"/>
          <w:b/>
          <w:sz w:val="24"/>
          <w:szCs w:val="24"/>
        </w:rPr>
      </w:pPr>
      <w:bookmarkStart w:id="12" w:name="_Toc486320218"/>
      <w:r>
        <w:rPr>
          <w:rFonts w:ascii="仿宋_GB2312" w:hAnsi="仿宋" w:eastAsia="仿宋_GB2312" w:cs="仿宋"/>
          <w:b/>
          <w:sz w:val="24"/>
          <w:szCs w:val="24"/>
        </w:rPr>
        <w:t>2号线需求清单</w:t>
      </w:r>
      <w:bookmarkEnd w:id="12"/>
    </w:p>
    <w:tbl>
      <w:tblPr>
        <w:tblStyle w:val="3"/>
        <w:tblW w:w="9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316"/>
        <w:gridCol w:w="2561"/>
        <w:gridCol w:w="1325"/>
        <w:gridCol w:w="883"/>
        <w:gridCol w:w="1030"/>
        <w:gridCol w:w="16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物资型号/规格/材质等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O型圈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Φ215×3.8  NBR70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轨道车雨刮器喷水软管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DZ523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306C"/>
    <w:rsid w:val="5CAD3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qFormat/>
    <w:uiPriority w:val="0"/>
    <w:pPr>
      <w:numPr>
        <w:ilvl w:val="0"/>
        <w:numId w:val="1"/>
      </w:numPr>
      <w:tabs>
        <w:tab w:val="left" w:pos="470"/>
      </w:tabs>
      <w:spacing w:before="240"/>
      <w:outlineLvl w:val="0"/>
    </w:pPr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2017-07-19T01:58:00Z</dcterms:created>
  <dc:creator>黄梦泽</dc:creator>
  <cp:lastModifiedBy>黄梦泽</cp:lastModifiedBy>
  <dcterms:modified xsi:type="dcterms:W3CDTF">2017-07-19T02:05:24Z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